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B" w:rsidRDefault="001527D6" w:rsidP="001527D6">
      <w:pPr>
        <w:jc w:val="center"/>
      </w:pPr>
      <w:r>
        <w:rPr>
          <w:noProof/>
          <w:lang w:bidi="ar-SA"/>
        </w:rPr>
        <w:drawing>
          <wp:inline distT="0" distB="0" distL="0" distR="0">
            <wp:extent cx="768350" cy="1126490"/>
            <wp:effectExtent l="19050" t="0" r="0" b="0"/>
            <wp:docPr id="1" name="Picture 1" descr="Grb Opcine Doboj I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cine Doboj Ist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D6" w:rsidRDefault="001527D6" w:rsidP="001527D6">
      <w:pPr>
        <w:jc w:val="center"/>
      </w:pPr>
      <w:proofErr w:type="spellStart"/>
      <w:r>
        <w:t>Općina</w:t>
      </w:r>
      <w:proofErr w:type="spellEnd"/>
      <w:r>
        <w:t xml:space="preserve"> </w:t>
      </w:r>
      <w:proofErr w:type="spellStart"/>
      <w:r>
        <w:t>Doboj</w:t>
      </w:r>
      <w:proofErr w:type="spellEnd"/>
      <w:r>
        <w:t xml:space="preserve"> </w:t>
      </w:r>
      <w:proofErr w:type="spellStart"/>
      <w:r>
        <w:t>Istok</w:t>
      </w:r>
      <w:proofErr w:type="spellEnd"/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8D4609" w:rsidRDefault="008D4609" w:rsidP="001527D6">
      <w:pPr>
        <w:jc w:val="center"/>
      </w:pPr>
    </w:p>
    <w:p w:rsidR="008D4609" w:rsidRDefault="008D4609" w:rsidP="001527D6">
      <w:pPr>
        <w:jc w:val="center"/>
      </w:pPr>
    </w:p>
    <w:p w:rsidR="008D4609" w:rsidRDefault="008D4609" w:rsidP="001527D6">
      <w:pPr>
        <w:jc w:val="center"/>
      </w:pPr>
    </w:p>
    <w:p w:rsidR="008D4609" w:rsidRDefault="008D4609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Pr="003D3588" w:rsidRDefault="001527D6" w:rsidP="003D3588">
      <w:pPr>
        <w:jc w:val="center"/>
        <w:rPr>
          <w:b/>
          <w:sz w:val="32"/>
          <w:szCs w:val="32"/>
        </w:rPr>
      </w:pPr>
      <w:r w:rsidRPr="003D3588">
        <w:rPr>
          <w:b/>
          <w:sz w:val="32"/>
          <w:szCs w:val="32"/>
        </w:rPr>
        <w:t xml:space="preserve">INFORMACIJA O REZULTATIMA ANKETE O ZADOVOLJSTVU GRAĐANA RADOM OPĆINSKOG VIJEĆA DOBOJ ISTOK </w:t>
      </w:r>
    </w:p>
    <w:p w:rsidR="001527D6" w:rsidRDefault="001527D6" w:rsidP="001527D6">
      <w:pPr>
        <w:jc w:val="center"/>
      </w:pPr>
    </w:p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Pr="001527D6" w:rsidRDefault="001527D6" w:rsidP="001527D6"/>
    <w:p w:rsidR="001527D6" w:rsidRDefault="001527D6" w:rsidP="001527D6"/>
    <w:p w:rsidR="001527D6" w:rsidRDefault="001527D6" w:rsidP="001527D6"/>
    <w:p w:rsidR="001527D6" w:rsidRDefault="001527D6" w:rsidP="001527D6">
      <w:pPr>
        <w:jc w:val="center"/>
      </w:pPr>
      <w:proofErr w:type="spellStart"/>
      <w:r>
        <w:t>Doboj</w:t>
      </w:r>
      <w:proofErr w:type="spellEnd"/>
      <w:r>
        <w:t xml:space="preserve"> </w:t>
      </w:r>
      <w:proofErr w:type="spellStart"/>
      <w:r>
        <w:t>Istok</w:t>
      </w:r>
      <w:proofErr w:type="spellEnd"/>
      <w:r>
        <w:t xml:space="preserve">, </w:t>
      </w:r>
      <w:proofErr w:type="spellStart"/>
      <w:r>
        <w:t>februar</w:t>
      </w:r>
      <w:proofErr w:type="spellEnd"/>
      <w:r>
        <w:t xml:space="preserve"> 2024 </w:t>
      </w:r>
      <w:proofErr w:type="spellStart"/>
      <w:r>
        <w:t>godine</w:t>
      </w:r>
      <w:proofErr w:type="spellEnd"/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8D4609" w:rsidRDefault="008D4609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</w:p>
    <w:p w:rsidR="001527D6" w:rsidRDefault="001527D6" w:rsidP="001527D6">
      <w:pPr>
        <w:jc w:val="center"/>
      </w:pPr>
      <w:proofErr w:type="spellStart"/>
      <w:r>
        <w:t>Uvod</w:t>
      </w:r>
      <w:proofErr w:type="spellEnd"/>
    </w:p>
    <w:p w:rsidR="001527D6" w:rsidRDefault="001527D6" w:rsidP="001527D6">
      <w:pPr>
        <w:jc w:val="center"/>
      </w:pPr>
    </w:p>
    <w:p w:rsidR="001527D6" w:rsidRDefault="001527D6" w:rsidP="001527D6">
      <w:pPr>
        <w:jc w:val="both"/>
      </w:pPr>
      <w:proofErr w:type="spellStart"/>
      <w:r>
        <w:t>Općina</w:t>
      </w:r>
      <w:proofErr w:type="spellEnd"/>
      <w:r>
        <w:t xml:space="preserve"> </w:t>
      </w:r>
      <w:proofErr w:type="spellStart"/>
      <w:r>
        <w:t>Doboj</w:t>
      </w:r>
      <w:proofErr w:type="spellEnd"/>
      <w:r>
        <w:t xml:space="preserve"> </w:t>
      </w:r>
      <w:proofErr w:type="spellStart"/>
      <w:r>
        <w:t>Istok</w:t>
      </w:r>
      <w:proofErr w:type="spellEnd"/>
      <w:r>
        <w:t xml:space="preserve"> je u </w:t>
      </w:r>
      <w:proofErr w:type="spellStart"/>
      <w:r>
        <w:t>januaru</w:t>
      </w:r>
      <w:proofErr w:type="spellEnd"/>
      <w:r>
        <w:t xml:space="preserve"> 2024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provela</w:t>
      </w:r>
      <w:proofErr w:type="spellEnd"/>
      <w:r>
        <w:t xml:space="preserve"> </w:t>
      </w:r>
      <w:proofErr w:type="spellStart"/>
      <w:r>
        <w:t>anketiranje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stepena</w:t>
      </w:r>
      <w:proofErr w:type="spellEnd"/>
      <w:r>
        <w:t xml:space="preserve"> </w:t>
      </w:r>
      <w:proofErr w:type="spellStart"/>
      <w:r>
        <w:t>zadovoljstva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Doboj</w:t>
      </w:r>
      <w:proofErr w:type="spellEnd"/>
      <w:r>
        <w:t xml:space="preserve"> </w:t>
      </w:r>
      <w:proofErr w:type="spellStart"/>
      <w:r>
        <w:t>Istok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se </w:t>
      </w:r>
      <w:proofErr w:type="spellStart"/>
      <w:r>
        <w:t>odnosio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predlagati</w:t>
      </w:r>
      <w:proofErr w:type="spellEnd"/>
      <w:r>
        <w:t xml:space="preserve"> </w:t>
      </w:r>
      <w:proofErr w:type="spellStart"/>
      <w:r w:rsidR="00CB0323">
        <w:t>i</w:t>
      </w:r>
      <w:proofErr w:type="spellEnd"/>
      <w:r>
        <w:t xml:space="preserve"> </w:t>
      </w:r>
      <w:proofErr w:type="spellStart"/>
      <w:r>
        <w:t>inicirati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OV.</w:t>
      </w:r>
    </w:p>
    <w:p w:rsidR="001527D6" w:rsidRDefault="001527D6" w:rsidP="001527D6">
      <w:pPr>
        <w:jc w:val="both"/>
      </w:pPr>
    </w:p>
    <w:p w:rsidR="001527D6" w:rsidRDefault="001527D6" w:rsidP="001527D6">
      <w:pPr>
        <w:jc w:val="both"/>
      </w:pPr>
      <w:proofErr w:type="spellStart"/>
      <w:r>
        <w:t>Svrha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je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povratne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o </w:t>
      </w:r>
      <w:proofErr w:type="spellStart"/>
      <w:r>
        <w:t>zadovoljstvu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 w:rsidR="00CB0323">
        <w:t>i</w:t>
      </w:r>
      <w:proofErr w:type="spellEnd"/>
      <w:r>
        <w:t xml:space="preserve"> </w:t>
      </w:r>
      <w:proofErr w:type="spellStart"/>
      <w:r>
        <w:t>pronalaženju</w:t>
      </w:r>
      <w:proofErr w:type="spellEnd"/>
      <w:r>
        <w:t xml:space="preserve"> </w:t>
      </w:r>
      <w:proofErr w:type="spellStart"/>
      <w:r>
        <w:t>adekvatnih</w:t>
      </w:r>
      <w:proofErr w:type="spellEnd"/>
      <w:r>
        <w:t xml:space="preserve"> </w:t>
      </w:r>
      <w:proofErr w:type="spellStart"/>
      <w:r>
        <w:t>mehanizama</w:t>
      </w:r>
      <w:proofErr w:type="spellEnd"/>
      <w:r>
        <w:t xml:space="preserve"> </w:t>
      </w:r>
      <w:proofErr w:type="spellStart"/>
      <w:r w:rsidR="00EE3053">
        <w:t>koje</w:t>
      </w:r>
      <w:proofErr w:type="spellEnd"/>
      <w:r w:rsidR="00EE3053">
        <w:t xml:space="preserve"> je </w:t>
      </w:r>
      <w:proofErr w:type="spellStart"/>
      <w:r w:rsidR="00EE3053">
        <w:t>potrebno</w:t>
      </w:r>
      <w:proofErr w:type="spellEnd"/>
      <w:r w:rsidR="00EE3053">
        <w:t xml:space="preserve"> </w:t>
      </w:r>
      <w:proofErr w:type="spellStart"/>
      <w:r w:rsidR="00EE3053">
        <w:t>uspostaviti</w:t>
      </w:r>
      <w:proofErr w:type="spellEnd"/>
      <w:r w:rsidR="00EE3053">
        <w:t xml:space="preserve"> u </w:t>
      </w:r>
      <w:proofErr w:type="spellStart"/>
      <w:r w:rsidR="00EE3053">
        <w:t>svrhu</w:t>
      </w:r>
      <w:proofErr w:type="spellEnd"/>
      <w:r w:rsidR="00EE3053">
        <w:t xml:space="preserve"> </w:t>
      </w:r>
      <w:proofErr w:type="spellStart"/>
      <w:r w:rsidR="00EE3053">
        <w:t>poboljšanja</w:t>
      </w:r>
      <w:proofErr w:type="spellEnd"/>
      <w:r w:rsidR="00EE3053">
        <w:t xml:space="preserve"> </w:t>
      </w:r>
      <w:proofErr w:type="spellStart"/>
      <w:r w:rsidR="00EE3053">
        <w:t>rada</w:t>
      </w:r>
      <w:proofErr w:type="spellEnd"/>
      <w:r w:rsidR="00EE3053">
        <w:t xml:space="preserve"> </w:t>
      </w:r>
      <w:proofErr w:type="spellStart"/>
      <w:r w:rsidR="00EE3053">
        <w:t>Općinskog</w:t>
      </w:r>
      <w:proofErr w:type="spellEnd"/>
      <w:r w:rsidR="00EE3053">
        <w:t xml:space="preserve"> </w:t>
      </w:r>
      <w:proofErr w:type="spellStart"/>
      <w:r w:rsidR="00EE3053">
        <w:t>vijeća</w:t>
      </w:r>
      <w:proofErr w:type="spellEnd"/>
      <w:r w:rsidR="00EE3053">
        <w:t>.</w:t>
      </w: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  <w:proofErr w:type="gramStart"/>
      <w:r>
        <w:t xml:space="preserve">U </w:t>
      </w:r>
      <w:proofErr w:type="spellStart"/>
      <w:r>
        <w:t>anketi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300 </w:t>
      </w:r>
      <w:proofErr w:type="spellStart"/>
      <w:r>
        <w:t>građana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Provedena</w:t>
      </w:r>
      <w:proofErr w:type="spellEnd"/>
      <w:r>
        <w:t xml:space="preserve"> je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anketara</w:t>
      </w:r>
      <w:proofErr w:type="spellEnd"/>
      <w:r>
        <w:t xml:space="preserve">, </w:t>
      </w:r>
      <w:proofErr w:type="spellStart"/>
      <w:r>
        <w:t>direktnim</w:t>
      </w:r>
      <w:proofErr w:type="spellEnd"/>
      <w:r>
        <w:t xml:space="preserve"> </w:t>
      </w:r>
      <w:proofErr w:type="spellStart"/>
      <w:r>
        <w:t>ispitivanjem</w:t>
      </w:r>
      <w:proofErr w:type="spellEnd"/>
      <w:r>
        <w:t xml:space="preserve"> </w:t>
      </w:r>
      <w:proofErr w:type="spellStart"/>
      <w:r w:rsidR="00CB0323">
        <w:t>i</w:t>
      </w:r>
      <w:proofErr w:type="spellEnd"/>
      <w:r>
        <w:t xml:space="preserve"> </w:t>
      </w:r>
      <w:proofErr w:type="spellStart"/>
      <w:r>
        <w:t>unosom</w:t>
      </w:r>
      <w:proofErr w:type="spellEnd"/>
      <w:r>
        <w:t xml:space="preserve"> u </w:t>
      </w:r>
      <w:proofErr w:type="spellStart"/>
      <w:r>
        <w:t>anketni</w:t>
      </w:r>
      <w:proofErr w:type="spellEnd"/>
      <w:r>
        <w:t xml:space="preserve"> </w:t>
      </w:r>
      <w:proofErr w:type="spellStart"/>
      <w:r>
        <w:t>listić</w:t>
      </w:r>
      <w:proofErr w:type="spellEnd"/>
      <w:r>
        <w:t>.</w:t>
      </w:r>
      <w:proofErr w:type="gramEnd"/>
      <w:r>
        <w:t xml:space="preserve"> U </w:t>
      </w:r>
      <w:proofErr w:type="spellStart"/>
      <w:r>
        <w:t>anketi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srazmjerno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pet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: </w:t>
      </w:r>
      <w:proofErr w:type="spellStart"/>
      <w:r>
        <w:t>Klokotnica</w:t>
      </w:r>
      <w:proofErr w:type="spellEnd"/>
      <w:r>
        <w:t xml:space="preserve">, </w:t>
      </w:r>
      <w:proofErr w:type="spellStart"/>
      <w:r>
        <w:t>Brijesnica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, </w:t>
      </w:r>
      <w:proofErr w:type="spellStart"/>
      <w:r>
        <w:t>Brijesnica</w:t>
      </w:r>
      <w:proofErr w:type="spellEnd"/>
      <w:r>
        <w:t xml:space="preserve"> Mala, </w:t>
      </w:r>
      <w:proofErr w:type="spellStart"/>
      <w:r>
        <w:t>Stanić</w:t>
      </w:r>
      <w:proofErr w:type="spellEnd"/>
      <w:r>
        <w:t xml:space="preserve"> Rijeka </w:t>
      </w:r>
      <w:proofErr w:type="spellStart"/>
      <w:r w:rsidR="00CB0323">
        <w:t>i</w:t>
      </w:r>
      <w:proofErr w:type="spellEnd"/>
      <w:r>
        <w:t xml:space="preserve"> </w:t>
      </w:r>
      <w:proofErr w:type="spellStart"/>
      <w:r>
        <w:t>Lukavica</w:t>
      </w:r>
      <w:proofErr w:type="spellEnd"/>
      <w:r>
        <w:t xml:space="preserve"> Rijeka.</w:t>
      </w: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  <w:proofErr w:type="spellStart"/>
      <w:proofErr w:type="gramStart"/>
      <w:r>
        <w:t>Anketa</w:t>
      </w:r>
      <w:proofErr w:type="spellEnd"/>
      <w:r>
        <w:t xml:space="preserve"> je </w:t>
      </w:r>
      <w:proofErr w:type="spellStart"/>
      <w:r>
        <w:t>sadržavala</w:t>
      </w:r>
      <w:proofErr w:type="spellEnd"/>
      <w:r>
        <w:t xml:space="preserve"> 14 </w:t>
      </w:r>
      <w:proofErr w:type="spellStart"/>
      <w:r>
        <w:t>pitanja</w:t>
      </w:r>
      <w:proofErr w:type="spellEnd"/>
      <w:r>
        <w:t xml:space="preserve"> plus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predstavljeni</w:t>
      </w:r>
      <w:proofErr w:type="spellEnd"/>
      <w:r>
        <w:t xml:space="preserve"> </w:t>
      </w:r>
      <w:proofErr w:type="spellStart"/>
      <w:r>
        <w:t>brojčano</w:t>
      </w:r>
      <w:proofErr w:type="spellEnd"/>
      <w:r>
        <w:t xml:space="preserve">, </w:t>
      </w:r>
      <w:proofErr w:type="spellStart"/>
      <w:r>
        <w:t>procentualno</w:t>
      </w:r>
      <w:proofErr w:type="spellEnd"/>
      <w:r>
        <w:t xml:space="preserve"> </w:t>
      </w:r>
      <w:proofErr w:type="spellStart"/>
      <w:r w:rsidR="00CB0323">
        <w:t>i</w:t>
      </w:r>
      <w:proofErr w:type="spellEnd"/>
      <w:r>
        <w:t xml:space="preserve"> </w:t>
      </w:r>
      <w:proofErr w:type="spellStart"/>
      <w:r>
        <w:t>grafički</w:t>
      </w:r>
      <w:proofErr w:type="spellEnd"/>
      <w:r>
        <w:t>.</w:t>
      </w:r>
      <w:proofErr w:type="gramEnd"/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</w:p>
    <w:p w:rsidR="00EE3053" w:rsidRDefault="00EE3053" w:rsidP="001527D6">
      <w:pPr>
        <w:jc w:val="both"/>
      </w:pPr>
      <w:r>
        <w:t>REZULTATI ANKETE O ZADOVOLJSTVU GRAĐANA RADOM OPĆINSKOG VIJEĆA DOBOJ ISTOK</w:t>
      </w:r>
    </w:p>
    <w:p w:rsidR="00EE3053" w:rsidRDefault="00EE3053" w:rsidP="001527D6">
      <w:pPr>
        <w:jc w:val="both"/>
      </w:pPr>
    </w:p>
    <w:p w:rsidR="00EE3053" w:rsidRDefault="00EE3053" w:rsidP="00EE3053">
      <w:pPr>
        <w:pStyle w:val="ListParagraph"/>
        <w:numPr>
          <w:ilvl w:val="0"/>
          <w:numId w:val="2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anketiranja</w:t>
      </w:r>
      <w:proofErr w:type="spellEnd"/>
      <w:r>
        <w:t>: 300</w:t>
      </w:r>
    </w:p>
    <w:p w:rsidR="00E00185" w:rsidRDefault="00E00185" w:rsidP="00E00185">
      <w:pPr>
        <w:jc w:val="both"/>
      </w:pPr>
    </w:p>
    <w:p w:rsidR="00E00185" w:rsidRDefault="00E00185" w:rsidP="00E00185">
      <w:pPr>
        <w:pStyle w:val="ListParagraph"/>
        <w:numPr>
          <w:ilvl w:val="0"/>
          <w:numId w:val="2"/>
        </w:numPr>
        <w:jc w:val="both"/>
      </w:pPr>
      <w:proofErr w:type="spellStart"/>
      <w:r>
        <w:t>Pol</w:t>
      </w:r>
      <w:proofErr w:type="spellEnd"/>
      <w:r>
        <w:t xml:space="preserve"> </w:t>
      </w:r>
      <w:proofErr w:type="spellStart"/>
      <w:r>
        <w:t>anketiranih</w:t>
      </w:r>
      <w:proofErr w:type="spellEnd"/>
    </w:p>
    <w:p w:rsidR="00E00185" w:rsidRDefault="00E00185" w:rsidP="00E00185">
      <w:pPr>
        <w:jc w:val="both"/>
      </w:pPr>
    </w:p>
    <w:p w:rsidR="00E00185" w:rsidRDefault="00E00185" w:rsidP="00E00185">
      <w:pPr>
        <w:jc w:val="center"/>
      </w:pPr>
      <w:r w:rsidRPr="00E00185">
        <w:rPr>
          <w:noProof/>
          <w:lang w:bidi="ar-SA"/>
        </w:rPr>
        <w:drawing>
          <wp:inline distT="0" distB="0" distL="0" distR="0">
            <wp:extent cx="5396763" cy="3891687"/>
            <wp:effectExtent l="19050" t="0" r="13437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0185" w:rsidRPr="00E00185" w:rsidRDefault="00E00185" w:rsidP="00E00185"/>
    <w:p w:rsidR="00E00185" w:rsidRPr="00E00185" w:rsidRDefault="00E00185" w:rsidP="00E00185"/>
    <w:p w:rsidR="00E00185" w:rsidRPr="00E00185" w:rsidRDefault="00E00185" w:rsidP="00E00185">
      <w:pPr>
        <w:tabs>
          <w:tab w:val="left" w:pos="1094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E00185" w:rsidTr="00E00185"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E00185" w:rsidTr="00E00185"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proofErr w:type="spellStart"/>
            <w:r>
              <w:t>Muški</w:t>
            </w:r>
            <w:proofErr w:type="spellEnd"/>
          </w:p>
        </w:tc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r>
              <w:t>133</w:t>
            </w:r>
          </w:p>
        </w:tc>
        <w:tc>
          <w:tcPr>
            <w:tcW w:w="3208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r>
              <w:t>44,33%</w:t>
            </w:r>
          </w:p>
        </w:tc>
      </w:tr>
      <w:tr w:rsidR="00E00185" w:rsidTr="00E00185"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proofErr w:type="spellStart"/>
            <w:r>
              <w:t>Ženski</w:t>
            </w:r>
            <w:proofErr w:type="spellEnd"/>
          </w:p>
        </w:tc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r>
              <w:t>167</w:t>
            </w:r>
          </w:p>
        </w:tc>
        <w:tc>
          <w:tcPr>
            <w:tcW w:w="3208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r>
              <w:t>55,67%</w:t>
            </w:r>
          </w:p>
        </w:tc>
      </w:tr>
      <w:tr w:rsidR="00E00185" w:rsidTr="00E00185"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Pr="00CB0323" w:rsidRDefault="00CB0323" w:rsidP="00E00185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E00185" w:rsidRDefault="00E00185" w:rsidP="00E00185">
            <w:pPr>
              <w:tabs>
                <w:tab w:val="left" w:pos="1094"/>
              </w:tabs>
              <w:jc w:val="center"/>
            </w:pPr>
          </w:p>
          <w:p w:rsidR="00E00185" w:rsidRDefault="00E00185" w:rsidP="00E00185">
            <w:pPr>
              <w:tabs>
                <w:tab w:val="left" w:pos="1094"/>
              </w:tabs>
              <w:jc w:val="center"/>
            </w:pPr>
            <w:r>
              <w:t>100%</w:t>
            </w:r>
          </w:p>
        </w:tc>
      </w:tr>
    </w:tbl>
    <w:p w:rsidR="00E00185" w:rsidRDefault="00E00185" w:rsidP="00E00185">
      <w:pPr>
        <w:tabs>
          <w:tab w:val="left" w:pos="1094"/>
        </w:tabs>
      </w:pPr>
    </w:p>
    <w:p w:rsidR="00E00185" w:rsidRDefault="00E00185" w:rsidP="00E00185">
      <w:pPr>
        <w:tabs>
          <w:tab w:val="left" w:pos="1094"/>
        </w:tabs>
      </w:pPr>
    </w:p>
    <w:p w:rsidR="00E00185" w:rsidRDefault="00E00185" w:rsidP="00E00185">
      <w:pPr>
        <w:tabs>
          <w:tab w:val="left" w:pos="1094"/>
        </w:tabs>
      </w:pPr>
    </w:p>
    <w:p w:rsidR="00E00185" w:rsidRDefault="00E00185" w:rsidP="00E00185">
      <w:pPr>
        <w:tabs>
          <w:tab w:val="left" w:pos="1094"/>
        </w:tabs>
      </w:pPr>
    </w:p>
    <w:p w:rsidR="008D4609" w:rsidRDefault="008D4609" w:rsidP="00E00185">
      <w:pPr>
        <w:tabs>
          <w:tab w:val="left" w:pos="1094"/>
        </w:tabs>
      </w:pPr>
    </w:p>
    <w:p w:rsidR="003D3588" w:rsidRDefault="003D3588" w:rsidP="00E00185">
      <w:pPr>
        <w:tabs>
          <w:tab w:val="left" w:pos="1094"/>
        </w:tabs>
      </w:pPr>
    </w:p>
    <w:p w:rsidR="00E00185" w:rsidRDefault="00E00185" w:rsidP="00E00185">
      <w:pPr>
        <w:pStyle w:val="ListParagraph"/>
        <w:numPr>
          <w:ilvl w:val="0"/>
          <w:numId w:val="2"/>
        </w:numPr>
        <w:tabs>
          <w:tab w:val="left" w:pos="1094"/>
        </w:tabs>
      </w:pPr>
      <w:r>
        <w:lastRenderedPageBreak/>
        <w:t xml:space="preserve">Dob </w:t>
      </w:r>
      <w:proofErr w:type="spellStart"/>
      <w:r>
        <w:t>anketiranih</w:t>
      </w:r>
      <w:proofErr w:type="spellEnd"/>
    </w:p>
    <w:p w:rsidR="00E00185" w:rsidRDefault="00E00185" w:rsidP="00E00185">
      <w:pPr>
        <w:tabs>
          <w:tab w:val="left" w:pos="1094"/>
        </w:tabs>
      </w:pPr>
    </w:p>
    <w:p w:rsidR="00E00185" w:rsidRDefault="00E00185" w:rsidP="00E00185">
      <w:pPr>
        <w:tabs>
          <w:tab w:val="left" w:pos="1094"/>
        </w:tabs>
      </w:pPr>
    </w:p>
    <w:p w:rsidR="00E00185" w:rsidRDefault="00E00185" w:rsidP="00E00185">
      <w:pPr>
        <w:tabs>
          <w:tab w:val="left" w:pos="1094"/>
        </w:tabs>
        <w:jc w:val="center"/>
      </w:pPr>
      <w:r w:rsidRPr="00E00185">
        <w:rPr>
          <w:noProof/>
          <w:lang w:bidi="ar-SA"/>
        </w:rPr>
        <w:drawing>
          <wp:inline distT="0" distB="0" distL="0" distR="0">
            <wp:extent cx="5242789" cy="3803904"/>
            <wp:effectExtent l="19050" t="0" r="15011" b="6096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0185" w:rsidRPr="00E00185" w:rsidRDefault="00E00185" w:rsidP="00E00185"/>
    <w:p w:rsidR="00E00185" w:rsidRPr="00E00185" w:rsidRDefault="00E00185" w:rsidP="00E00185"/>
    <w:p w:rsidR="00E00185" w:rsidRPr="00E00185" w:rsidRDefault="00E00185" w:rsidP="00E00185"/>
    <w:p w:rsidR="00E00185" w:rsidRDefault="00E00185" w:rsidP="00E00185"/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E00185" w:rsidTr="00CB0323"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E00185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E00185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E00185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E00185" w:rsidTr="00CB0323"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25588A" w:rsidP="00CB0323">
            <w:pPr>
              <w:tabs>
                <w:tab w:val="left" w:pos="1094"/>
              </w:tabs>
              <w:jc w:val="center"/>
            </w:pPr>
            <w:r>
              <w:t>18-35</w:t>
            </w:r>
          </w:p>
        </w:tc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25588A" w:rsidP="00CB0323">
            <w:pPr>
              <w:tabs>
                <w:tab w:val="left" w:pos="1094"/>
              </w:tabs>
              <w:jc w:val="center"/>
            </w:pPr>
            <w:r>
              <w:t>65</w:t>
            </w:r>
          </w:p>
        </w:tc>
        <w:tc>
          <w:tcPr>
            <w:tcW w:w="3208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25588A" w:rsidP="0025588A">
            <w:pPr>
              <w:tabs>
                <w:tab w:val="left" w:pos="1094"/>
              </w:tabs>
              <w:jc w:val="center"/>
            </w:pPr>
            <w:r>
              <w:t>21</w:t>
            </w:r>
            <w:r w:rsidR="00E00185">
              <w:t>,</w:t>
            </w:r>
            <w:r>
              <w:t>67</w:t>
            </w:r>
            <w:r w:rsidR="00E00185">
              <w:t>%</w:t>
            </w:r>
          </w:p>
        </w:tc>
      </w:tr>
      <w:tr w:rsidR="00E00185" w:rsidTr="00CB0323"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25588A" w:rsidP="00CB0323">
            <w:pPr>
              <w:tabs>
                <w:tab w:val="left" w:pos="1094"/>
              </w:tabs>
              <w:jc w:val="center"/>
            </w:pPr>
            <w:r>
              <w:t>36-55</w:t>
            </w:r>
          </w:p>
        </w:tc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25588A" w:rsidP="00CB0323">
            <w:pPr>
              <w:tabs>
                <w:tab w:val="left" w:pos="1094"/>
              </w:tabs>
              <w:jc w:val="center"/>
            </w:pPr>
            <w:r>
              <w:t>160</w:t>
            </w:r>
          </w:p>
        </w:tc>
        <w:tc>
          <w:tcPr>
            <w:tcW w:w="3208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E00185" w:rsidP="0025588A">
            <w:pPr>
              <w:tabs>
                <w:tab w:val="left" w:pos="1094"/>
              </w:tabs>
              <w:jc w:val="center"/>
            </w:pPr>
            <w:r>
              <w:t>5</w:t>
            </w:r>
            <w:r w:rsidR="0025588A">
              <w:t>3</w:t>
            </w:r>
            <w:r>
              <w:t>,</w:t>
            </w:r>
            <w:r w:rsidR="0025588A">
              <w:t>33</w:t>
            </w:r>
            <w:r>
              <w:t>%</w:t>
            </w:r>
          </w:p>
        </w:tc>
      </w:tr>
      <w:tr w:rsidR="0025588A" w:rsidTr="00CB0323"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Preko</w:t>
            </w:r>
            <w:proofErr w:type="spellEnd"/>
            <w:r>
              <w:t xml:space="preserve"> 55</w:t>
            </w:r>
          </w:p>
        </w:tc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r>
              <w:t>75</w:t>
            </w:r>
          </w:p>
        </w:tc>
        <w:tc>
          <w:tcPr>
            <w:tcW w:w="3208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r>
              <w:t>25,00 %</w:t>
            </w:r>
          </w:p>
        </w:tc>
      </w:tr>
      <w:tr w:rsidR="00E00185" w:rsidTr="00CB0323"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E00185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E00185" w:rsidRDefault="00E00185" w:rsidP="00CB0323">
            <w:pPr>
              <w:tabs>
                <w:tab w:val="left" w:pos="1094"/>
              </w:tabs>
              <w:jc w:val="center"/>
            </w:pPr>
          </w:p>
          <w:p w:rsidR="00E00185" w:rsidRDefault="00E00185" w:rsidP="00CB0323">
            <w:pPr>
              <w:tabs>
                <w:tab w:val="left" w:pos="1094"/>
              </w:tabs>
              <w:jc w:val="center"/>
            </w:pPr>
            <w:r>
              <w:t>100%</w:t>
            </w:r>
          </w:p>
        </w:tc>
      </w:tr>
    </w:tbl>
    <w:p w:rsidR="00E00185" w:rsidRDefault="00E00185" w:rsidP="00E00185">
      <w:pPr>
        <w:tabs>
          <w:tab w:val="left" w:pos="5864"/>
        </w:tabs>
      </w:pPr>
    </w:p>
    <w:p w:rsidR="0025588A" w:rsidRDefault="0025588A" w:rsidP="00E00185">
      <w:pPr>
        <w:tabs>
          <w:tab w:val="left" w:pos="5864"/>
        </w:tabs>
      </w:pPr>
    </w:p>
    <w:p w:rsidR="0025588A" w:rsidRDefault="0025588A" w:rsidP="00E00185">
      <w:pPr>
        <w:tabs>
          <w:tab w:val="left" w:pos="5864"/>
        </w:tabs>
      </w:pPr>
    </w:p>
    <w:p w:rsidR="0025588A" w:rsidRDefault="0025588A" w:rsidP="00E00185">
      <w:pPr>
        <w:tabs>
          <w:tab w:val="left" w:pos="5864"/>
        </w:tabs>
      </w:pPr>
    </w:p>
    <w:p w:rsidR="0025588A" w:rsidRDefault="0025588A" w:rsidP="00E00185">
      <w:pPr>
        <w:tabs>
          <w:tab w:val="left" w:pos="5864"/>
        </w:tabs>
      </w:pPr>
    </w:p>
    <w:p w:rsidR="0025588A" w:rsidRDefault="0025588A" w:rsidP="00E00185">
      <w:pPr>
        <w:tabs>
          <w:tab w:val="left" w:pos="5864"/>
        </w:tabs>
      </w:pPr>
    </w:p>
    <w:p w:rsidR="00B77832" w:rsidRDefault="00B77832" w:rsidP="00E00185">
      <w:pPr>
        <w:tabs>
          <w:tab w:val="left" w:pos="5864"/>
        </w:tabs>
      </w:pPr>
    </w:p>
    <w:p w:rsidR="0025588A" w:rsidRDefault="0025588A" w:rsidP="0025588A">
      <w:pPr>
        <w:pStyle w:val="ListParagraph"/>
        <w:numPr>
          <w:ilvl w:val="0"/>
          <w:numId w:val="2"/>
        </w:numPr>
        <w:tabs>
          <w:tab w:val="left" w:pos="5864"/>
        </w:tabs>
      </w:pPr>
      <w:proofErr w:type="spellStart"/>
      <w:r>
        <w:lastRenderedPageBreak/>
        <w:t>Anketirani</w:t>
      </w:r>
      <w:proofErr w:type="spellEnd"/>
      <w:r>
        <w:t xml:space="preserve"> </w:t>
      </w:r>
      <w:proofErr w:type="spellStart"/>
      <w:r>
        <w:t>stanuje</w:t>
      </w:r>
      <w:proofErr w:type="spellEnd"/>
    </w:p>
    <w:p w:rsidR="0025588A" w:rsidRDefault="0025588A" w:rsidP="0025588A">
      <w:pPr>
        <w:tabs>
          <w:tab w:val="left" w:pos="5864"/>
        </w:tabs>
      </w:pPr>
    </w:p>
    <w:p w:rsidR="0025588A" w:rsidRDefault="0025588A" w:rsidP="0025588A">
      <w:pPr>
        <w:tabs>
          <w:tab w:val="left" w:pos="5864"/>
        </w:tabs>
      </w:pPr>
    </w:p>
    <w:p w:rsidR="0025588A" w:rsidRDefault="0025588A" w:rsidP="0025588A">
      <w:pPr>
        <w:tabs>
          <w:tab w:val="left" w:pos="5864"/>
        </w:tabs>
        <w:jc w:val="center"/>
      </w:pPr>
      <w:r w:rsidRPr="0025588A">
        <w:rPr>
          <w:noProof/>
          <w:lang w:bidi="ar-SA"/>
        </w:rPr>
        <w:drawing>
          <wp:inline distT="0" distB="0" distL="0" distR="0">
            <wp:extent cx="4572000" cy="27432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25588A" w:rsidTr="00CB0323"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25588A" w:rsidTr="00CB0323"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25588A">
            <w:pPr>
              <w:tabs>
                <w:tab w:val="left" w:pos="1094"/>
              </w:tabs>
              <w:jc w:val="center"/>
            </w:pPr>
            <w:proofErr w:type="spellStart"/>
            <w:r>
              <w:t>Urbano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</w:p>
        </w:tc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25588A">
            <w:pPr>
              <w:tabs>
                <w:tab w:val="left" w:pos="1094"/>
              </w:tabs>
              <w:jc w:val="center"/>
            </w:pPr>
            <w:r>
              <w:t>101</w:t>
            </w:r>
          </w:p>
        </w:tc>
        <w:tc>
          <w:tcPr>
            <w:tcW w:w="3208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25588A">
            <w:pPr>
              <w:tabs>
                <w:tab w:val="left" w:pos="1094"/>
              </w:tabs>
              <w:jc w:val="center"/>
            </w:pPr>
            <w:r>
              <w:t>33,67%</w:t>
            </w:r>
          </w:p>
        </w:tc>
      </w:tr>
      <w:tr w:rsidR="0025588A" w:rsidTr="00CB0323"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Ruralno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</w:p>
        </w:tc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25588A">
            <w:pPr>
              <w:tabs>
                <w:tab w:val="left" w:pos="1094"/>
              </w:tabs>
              <w:jc w:val="center"/>
            </w:pPr>
            <w:r>
              <w:t>199</w:t>
            </w:r>
          </w:p>
        </w:tc>
        <w:tc>
          <w:tcPr>
            <w:tcW w:w="3208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25588A">
            <w:pPr>
              <w:tabs>
                <w:tab w:val="left" w:pos="1094"/>
              </w:tabs>
              <w:jc w:val="center"/>
            </w:pPr>
            <w:r>
              <w:t>66,33%</w:t>
            </w:r>
          </w:p>
        </w:tc>
      </w:tr>
      <w:tr w:rsidR="0025588A" w:rsidTr="00CB0323"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25588A" w:rsidRDefault="0025588A" w:rsidP="00CB0323">
            <w:pPr>
              <w:tabs>
                <w:tab w:val="left" w:pos="1094"/>
              </w:tabs>
              <w:jc w:val="center"/>
            </w:pPr>
          </w:p>
          <w:p w:rsidR="0025588A" w:rsidRDefault="0025588A" w:rsidP="00CB0323">
            <w:pPr>
              <w:tabs>
                <w:tab w:val="left" w:pos="1094"/>
              </w:tabs>
              <w:jc w:val="center"/>
            </w:pPr>
            <w:r>
              <w:t>100%</w:t>
            </w:r>
          </w:p>
        </w:tc>
      </w:tr>
    </w:tbl>
    <w:p w:rsidR="0025588A" w:rsidRDefault="0025588A" w:rsidP="0025588A">
      <w:pPr>
        <w:tabs>
          <w:tab w:val="left" w:pos="3168"/>
        </w:tabs>
      </w:pPr>
    </w:p>
    <w:p w:rsidR="0025588A" w:rsidRPr="00E96217" w:rsidRDefault="0025588A" w:rsidP="0025588A">
      <w:pPr>
        <w:tabs>
          <w:tab w:val="left" w:pos="3168"/>
        </w:tabs>
        <w:rPr>
          <w:b/>
        </w:rPr>
      </w:pPr>
      <w:r w:rsidRPr="00E96217">
        <w:rPr>
          <w:b/>
        </w:rPr>
        <w:t xml:space="preserve">P.1. </w:t>
      </w:r>
      <w:proofErr w:type="spellStart"/>
      <w:r w:rsidRPr="00E96217">
        <w:rPr>
          <w:b/>
        </w:rPr>
        <w:t>Koliko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ste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upoznati</w:t>
      </w:r>
      <w:proofErr w:type="spellEnd"/>
      <w:r w:rsidRPr="00E96217">
        <w:rPr>
          <w:b/>
        </w:rPr>
        <w:t xml:space="preserve"> </w:t>
      </w:r>
      <w:proofErr w:type="spellStart"/>
      <w:proofErr w:type="gramStart"/>
      <w:r w:rsidRPr="00E96217">
        <w:rPr>
          <w:b/>
        </w:rPr>
        <w:t>sa</w:t>
      </w:r>
      <w:proofErr w:type="spellEnd"/>
      <w:proofErr w:type="gram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radom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Općinskog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vijeća</w:t>
      </w:r>
      <w:proofErr w:type="spellEnd"/>
      <w:r w:rsidRPr="00E96217">
        <w:rPr>
          <w:b/>
        </w:rPr>
        <w:t>?</w:t>
      </w:r>
    </w:p>
    <w:p w:rsidR="0025588A" w:rsidRDefault="0025588A" w:rsidP="0025588A">
      <w:pPr>
        <w:tabs>
          <w:tab w:val="left" w:pos="3168"/>
        </w:tabs>
      </w:pPr>
    </w:p>
    <w:p w:rsidR="00E96217" w:rsidRDefault="0025588A" w:rsidP="0025588A">
      <w:pPr>
        <w:tabs>
          <w:tab w:val="left" w:pos="3168"/>
        </w:tabs>
        <w:jc w:val="center"/>
      </w:pPr>
      <w:r w:rsidRPr="0025588A">
        <w:rPr>
          <w:noProof/>
          <w:lang w:bidi="ar-SA"/>
        </w:rPr>
        <w:drawing>
          <wp:inline distT="0" distB="0" distL="0" distR="0">
            <wp:extent cx="3821734" cy="2055571"/>
            <wp:effectExtent l="19050" t="0" r="26366" b="1829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dobro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59</w:t>
            </w:r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19,67%</w:t>
            </w:r>
          </w:p>
        </w:tc>
      </w:tr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Dobro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175</w:t>
            </w:r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58,33%</w:t>
            </w:r>
          </w:p>
        </w:tc>
      </w:tr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Nisam</w:t>
            </w:r>
            <w:proofErr w:type="spellEnd"/>
            <w:r>
              <w:t xml:space="preserve"> </w:t>
            </w:r>
            <w:proofErr w:type="spellStart"/>
            <w:r>
              <w:t>upoznat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66</w:t>
            </w:r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22,00%</w:t>
            </w:r>
          </w:p>
        </w:tc>
      </w:tr>
      <w:tr w:rsidR="00E96217" w:rsidTr="00CB0323">
        <w:tc>
          <w:tcPr>
            <w:tcW w:w="3207" w:type="dxa"/>
          </w:tcPr>
          <w:p w:rsidR="00E96217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E96217" w:rsidRPr="00E96217" w:rsidRDefault="00E96217" w:rsidP="00E96217">
      <w:pPr>
        <w:tabs>
          <w:tab w:val="left" w:pos="6117"/>
        </w:tabs>
        <w:jc w:val="both"/>
        <w:rPr>
          <w:b/>
        </w:rPr>
      </w:pPr>
      <w:r w:rsidRPr="00E96217">
        <w:rPr>
          <w:b/>
        </w:rPr>
        <w:lastRenderedPageBreak/>
        <w:t xml:space="preserve">P.2. </w:t>
      </w:r>
      <w:proofErr w:type="spellStart"/>
      <w:r w:rsidRPr="00E96217">
        <w:rPr>
          <w:b/>
        </w:rPr>
        <w:t>Kako</w:t>
      </w:r>
      <w:proofErr w:type="spellEnd"/>
      <w:r w:rsidRPr="00E96217">
        <w:rPr>
          <w:b/>
        </w:rPr>
        <w:t xml:space="preserve"> bi </w:t>
      </w:r>
      <w:proofErr w:type="spellStart"/>
      <w:r w:rsidRPr="00E96217">
        <w:rPr>
          <w:b/>
        </w:rPr>
        <w:t>ste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ocijenili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dostupnost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informacija</w:t>
      </w:r>
      <w:proofErr w:type="spellEnd"/>
      <w:r w:rsidRPr="00E96217">
        <w:rPr>
          <w:b/>
        </w:rPr>
        <w:t xml:space="preserve"> o </w:t>
      </w:r>
      <w:proofErr w:type="spellStart"/>
      <w:r w:rsidRPr="00E96217">
        <w:rPr>
          <w:b/>
        </w:rPr>
        <w:t>radu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Općinskog</w:t>
      </w:r>
      <w:proofErr w:type="spellEnd"/>
      <w:r w:rsidRPr="00E96217">
        <w:rPr>
          <w:b/>
        </w:rPr>
        <w:t xml:space="preserve"> </w:t>
      </w:r>
      <w:proofErr w:type="spellStart"/>
      <w:r w:rsidRPr="00E96217">
        <w:rPr>
          <w:b/>
        </w:rPr>
        <w:t>vijeća</w:t>
      </w:r>
      <w:proofErr w:type="spellEnd"/>
    </w:p>
    <w:p w:rsidR="00E96217" w:rsidRDefault="00E96217" w:rsidP="00E96217">
      <w:pPr>
        <w:tabs>
          <w:tab w:val="left" w:pos="6117"/>
        </w:tabs>
        <w:jc w:val="both"/>
      </w:pPr>
    </w:p>
    <w:p w:rsidR="00E96217" w:rsidRDefault="00E96217" w:rsidP="00E96217">
      <w:pPr>
        <w:tabs>
          <w:tab w:val="left" w:pos="6117"/>
        </w:tabs>
        <w:jc w:val="both"/>
      </w:pPr>
    </w:p>
    <w:p w:rsidR="00E96217" w:rsidRDefault="00E96217" w:rsidP="00E96217">
      <w:pPr>
        <w:tabs>
          <w:tab w:val="left" w:pos="6117"/>
        </w:tabs>
        <w:jc w:val="center"/>
      </w:pPr>
      <w:r w:rsidRPr="00E96217">
        <w:rPr>
          <w:noProof/>
          <w:lang w:bidi="ar-SA"/>
        </w:rPr>
        <w:drawing>
          <wp:inline distT="0" distB="0" distL="0" distR="0">
            <wp:extent cx="4033571" cy="1967789"/>
            <wp:effectExtent l="19050" t="0" r="24079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dobro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64</w:t>
            </w:r>
          </w:p>
        </w:tc>
        <w:tc>
          <w:tcPr>
            <w:tcW w:w="3208" w:type="dxa"/>
          </w:tcPr>
          <w:p w:rsidR="00E96217" w:rsidRDefault="00E96217" w:rsidP="00E96217">
            <w:pPr>
              <w:tabs>
                <w:tab w:val="left" w:pos="1094"/>
              </w:tabs>
              <w:jc w:val="center"/>
            </w:pPr>
            <w:r>
              <w:t>21,33%</w:t>
            </w:r>
          </w:p>
        </w:tc>
      </w:tr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Dobro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167</w:t>
            </w:r>
          </w:p>
        </w:tc>
        <w:tc>
          <w:tcPr>
            <w:tcW w:w="3208" w:type="dxa"/>
          </w:tcPr>
          <w:p w:rsidR="00E96217" w:rsidRDefault="00E96217" w:rsidP="00E96217">
            <w:pPr>
              <w:tabs>
                <w:tab w:val="left" w:pos="1094"/>
              </w:tabs>
              <w:jc w:val="center"/>
            </w:pPr>
            <w:r>
              <w:t>55,67%</w:t>
            </w:r>
          </w:p>
        </w:tc>
      </w:tr>
      <w:tr w:rsidR="00E96217" w:rsidTr="00CB0323"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Nisam</w:t>
            </w:r>
            <w:proofErr w:type="spellEnd"/>
            <w:r>
              <w:t xml:space="preserve"> </w:t>
            </w:r>
            <w:proofErr w:type="spellStart"/>
            <w:r>
              <w:t>upoznat</w:t>
            </w:r>
            <w:proofErr w:type="spellEnd"/>
            <w:r>
              <w:t>/a</w:t>
            </w:r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54</w:t>
            </w:r>
          </w:p>
        </w:tc>
        <w:tc>
          <w:tcPr>
            <w:tcW w:w="3208" w:type="dxa"/>
          </w:tcPr>
          <w:p w:rsidR="00E96217" w:rsidRDefault="00E96217" w:rsidP="00E96217">
            <w:pPr>
              <w:tabs>
                <w:tab w:val="left" w:pos="1094"/>
              </w:tabs>
              <w:jc w:val="center"/>
            </w:pPr>
            <w:r>
              <w:t>18,00%</w:t>
            </w:r>
          </w:p>
        </w:tc>
      </w:tr>
      <w:tr w:rsidR="00E96217" w:rsidTr="00CB0323">
        <w:tc>
          <w:tcPr>
            <w:tcW w:w="3207" w:type="dxa"/>
          </w:tcPr>
          <w:p w:rsidR="00E96217" w:rsidRDefault="00E96217" w:rsidP="000C7FB1">
            <w:pPr>
              <w:tabs>
                <w:tab w:val="left" w:pos="1094"/>
              </w:tabs>
              <w:jc w:val="center"/>
            </w:pPr>
            <w:proofErr w:type="spellStart"/>
            <w:r>
              <w:t>Nisam</w:t>
            </w:r>
            <w:proofErr w:type="spellEnd"/>
            <w:r>
              <w:t xml:space="preserve"> </w:t>
            </w:r>
            <w:proofErr w:type="spellStart"/>
            <w:r w:rsidR="000C7FB1">
              <w:t>zainteresovan</w:t>
            </w:r>
            <w:proofErr w:type="spellEnd"/>
            <w:r w:rsidR="000C7FB1">
              <w:t>/a</w:t>
            </w:r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15</w:t>
            </w:r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5,00%</w:t>
            </w:r>
          </w:p>
        </w:tc>
      </w:tr>
      <w:tr w:rsidR="00E96217" w:rsidTr="00CB0323">
        <w:tc>
          <w:tcPr>
            <w:tcW w:w="3207" w:type="dxa"/>
          </w:tcPr>
          <w:p w:rsidR="00E96217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E96217" w:rsidRDefault="00E96217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E96217" w:rsidRDefault="00E96217" w:rsidP="00E96217">
      <w:pPr>
        <w:tabs>
          <w:tab w:val="left" w:pos="6117"/>
        </w:tabs>
        <w:jc w:val="center"/>
      </w:pPr>
    </w:p>
    <w:p w:rsidR="00E96217" w:rsidRDefault="00E96217" w:rsidP="00E96217">
      <w:pPr>
        <w:tabs>
          <w:tab w:val="left" w:pos="6117"/>
        </w:tabs>
        <w:jc w:val="center"/>
      </w:pPr>
    </w:p>
    <w:p w:rsidR="008D4609" w:rsidRDefault="008D4609" w:rsidP="00E96217">
      <w:pPr>
        <w:tabs>
          <w:tab w:val="left" w:pos="6117"/>
        </w:tabs>
        <w:jc w:val="center"/>
      </w:pPr>
    </w:p>
    <w:p w:rsidR="00E96217" w:rsidRPr="009458FD" w:rsidRDefault="00E96217" w:rsidP="00E96217">
      <w:pPr>
        <w:tabs>
          <w:tab w:val="left" w:pos="6117"/>
        </w:tabs>
        <w:jc w:val="both"/>
        <w:rPr>
          <w:b/>
        </w:rPr>
      </w:pPr>
      <w:r w:rsidRPr="009458FD">
        <w:rPr>
          <w:b/>
        </w:rPr>
        <w:t xml:space="preserve">P.3. </w:t>
      </w:r>
      <w:proofErr w:type="spellStart"/>
      <w:r w:rsidRPr="009458FD">
        <w:rPr>
          <w:b/>
        </w:rPr>
        <w:t>Da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li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vam</w:t>
      </w:r>
      <w:proofErr w:type="spellEnd"/>
      <w:r w:rsidRPr="009458FD">
        <w:rPr>
          <w:b/>
        </w:rPr>
        <w:t xml:space="preserve"> je </w:t>
      </w:r>
      <w:proofErr w:type="spellStart"/>
      <w:r w:rsidRPr="009458FD">
        <w:rPr>
          <w:b/>
        </w:rPr>
        <w:t>poznato</w:t>
      </w:r>
      <w:proofErr w:type="spellEnd"/>
      <w:r w:rsidRPr="009458FD">
        <w:rPr>
          <w:b/>
        </w:rPr>
        <w:t xml:space="preserve"> </w:t>
      </w:r>
      <w:proofErr w:type="spellStart"/>
      <w:proofErr w:type="gramStart"/>
      <w:r w:rsidRPr="009458FD">
        <w:rPr>
          <w:b/>
        </w:rPr>
        <w:t>ko</w:t>
      </w:r>
      <w:proofErr w:type="spellEnd"/>
      <w:proofErr w:type="gram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su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vijećnici</w:t>
      </w:r>
      <w:proofErr w:type="spellEnd"/>
      <w:r w:rsidRPr="009458FD">
        <w:rPr>
          <w:b/>
        </w:rPr>
        <w:t xml:space="preserve"> u </w:t>
      </w:r>
      <w:proofErr w:type="spellStart"/>
      <w:r w:rsidRPr="009458FD">
        <w:rPr>
          <w:b/>
        </w:rPr>
        <w:t>Općinskom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vijeću</w:t>
      </w:r>
      <w:proofErr w:type="spellEnd"/>
      <w:r w:rsidRPr="009458FD">
        <w:rPr>
          <w:b/>
        </w:rPr>
        <w:t>?</w:t>
      </w:r>
    </w:p>
    <w:p w:rsidR="00E96217" w:rsidRDefault="00E96217" w:rsidP="00E96217">
      <w:pPr>
        <w:tabs>
          <w:tab w:val="left" w:pos="6117"/>
        </w:tabs>
        <w:jc w:val="both"/>
      </w:pPr>
    </w:p>
    <w:p w:rsidR="00E96217" w:rsidRDefault="00E96217" w:rsidP="00E96217">
      <w:pPr>
        <w:tabs>
          <w:tab w:val="left" w:pos="6117"/>
        </w:tabs>
        <w:jc w:val="both"/>
      </w:pPr>
    </w:p>
    <w:p w:rsidR="00E96217" w:rsidRDefault="00E96217" w:rsidP="00E96217">
      <w:pPr>
        <w:tabs>
          <w:tab w:val="left" w:pos="6117"/>
        </w:tabs>
        <w:jc w:val="center"/>
      </w:pPr>
      <w:r w:rsidRPr="00E96217">
        <w:rPr>
          <w:noProof/>
          <w:lang w:bidi="ar-SA"/>
        </w:rPr>
        <w:drawing>
          <wp:inline distT="0" distB="0" distL="0" distR="0">
            <wp:extent cx="3799484" cy="2033626"/>
            <wp:effectExtent l="19050" t="0" r="10516" b="4724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8FD" w:rsidRDefault="009458FD" w:rsidP="00E96217">
      <w:pPr>
        <w:tabs>
          <w:tab w:val="left" w:pos="6117"/>
        </w:tabs>
        <w:jc w:val="center"/>
      </w:pPr>
    </w:p>
    <w:p w:rsidR="00B77832" w:rsidRDefault="00B77832" w:rsidP="00E96217">
      <w:pPr>
        <w:tabs>
          <w:tab w:val="left" w:pos="6117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DA</w:t>
            </w:r>
          </w:p>
        </w:tc>
        <w:tc>
          <w:tcPr>
            <w:tcW w:w="3207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245</w:t>
            </w:r>
          </w:p>
        </w:tc>
        <w:tc>
          <w:tcPr>
            <w:tcW w:w="3208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81,67%</w:t>
            </w:r>
          </w:p>
        </w:tc>
      </w:tr>
      <w:tr w:rsidR="009458FD" w:rsidTr="00CB0323">
        <w:tc>
          <w:tcPr>
            <w:tcW w:w="3207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NE</w:t>
            </w:r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55</w:t>
            </w:r>
          </w:p>
        </w:tc>
        <w:tc>
          <w:tcPr>
            <w:tcW w:w="3208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18,33%</w:t>
            </w:r>
          </w:p>
        </w:tc>
      </w:tr>
      <w:tr w:rsidR="009458FD" w:rsidTr="00CB0323">
        <w:tc>
          <w:tcPr>
            <w:tcW w:w="3207" w:type="dxa"/>
          </w:tcPr>
          <w:p w:rsidR="009458FD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9458FD" w:rsidRDefault="009458FD" w:rsidP="00E96217">
      <w:pPr>
        <w:tabs>
          <w:tab w:val="left" w:pos="6117"/>
        </w:tabs>
        <w:jc w:val="center"/>
      </w:pPr>
    </w:p>
    <w:p w:rsidR="006C572E" w:rsidRDefault="006C572E" w:rsidP="00E96217">
      <w:pPr>
        <w:tabs>
          <w:tab w:val="left" w:pos="6117"/>
        </w:tabs>
        <w:jc w:val="center"/>
      </w:pPr>
    </w:p>
    <w:p w:rsidR="006C572E" w:rsidRDefault="006C572E" w:rsidP="00E96217">
      <w:pPr>
        <w:tabs>
          <w:tab w:val="left" w:pos="6117"/>
        </w:tabs>
        <w:jc w:val="center"/>
      </w:pPr>
    </w:p>
    <w:p w:rsidR="009458FD" w:rsidRPr="009458FD" w:rsidRDefault="009458FD" w:rsidP="009458FD">
      <w:pPr>
        <w:tabs>
          <w:tab w:val="left" w:pos="6117"/>
        </w:tabs>
        <w:jc w:val="both"/>
        <w:rPr>
          <w:b/>
        </w:rPr>
      </w:pPr>
      <w:r w:rsidRPr="009458FD">
        <w:rPr>
          <w:b/>
        </w:rPr>
        <w:t xml:space="preserve">P.4. </w:t>
      </w:r>
      <w:proofErr w:type="spellStart"/>
      <w:r w:rsidRPr="009458FD">
        <w:rPr>
          <w:b/>
        </w:rPr>
        <w:t>Da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li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vam</w:t>
      </w:r>
      <w:proofErr w:type="spellEnd"/>
      <w:r w:rsidRPr="009458FD">
        <w:rPr>
          <w:b/>
        </w:rPr>
        <w:t xml:space="preserve"> je </w:t>
      </w:r>
      <w:proofErr w:type="spellStart"/>
      <w:r w:rsidRPr="009458FD">
        <w:rPr>
          <w:b/>
        </w:rPr>
        <w:t>poznato</w:t>
      </w:r>
      <w:proofErr w:type="spellEnd"/>
      <w:r w:rsidRPr="009458FD">
        <w:rPr>
          <w:b/>
        </w:rPr>
        <w:t xml:space="preserve"> </w:t>
      </w:r>
      <w:proofErr w:type="spellStart"/>
      <w:proofErr w:type="gramStart"/>
      <w:r w:rsidRPr="009458FD">
        <w:rPr>
          <w:b/>
        </w:rPr>
        <w:t>ko</w:t>
      </w:r>
      <w:proofErr w:type="spellEnd"/>
      <w:proofErr w:type="gram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su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vijećnici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iz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vaše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mjesne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zajednice</w:t>
      </w:r>
      <w:proofErr w:type="spellEnd"/>
      <w:r w:rsidRPr="009458FD">
        <w:rPr>
          <w:b/>
        </w:rPr>
        <w:t>?</w:t>
      </w:r>
    </w:p>
    <w:p w:rsidR="009458FD" w:rsidRDefault="009458FD" w:rsidP="009458FD">
      <w:pPr>
        <w:tabs>
          <w:tab w:val="left" w:pos="6117"/>
        </w:tabs>
        <w:jc w:val="both"/>
      </w:pPr>
    </w:p>
    <w:p w:rsidR="009458FD" w:rsidRDefault="009458FD" w:rsidP="009458FD">
      <w:pPr>
        <w:tabs>
          <w:tab w:val="left" w:pos="6117"/>
        </w:tabs>
        <w:jc w:val="both"/>
      </w:pPr>
    </w:p>
    <w:p w:rsidR="009458FD" w:rsidRDefault="009458FD" w:rsidP="009458FD">
      <w:pPr>
        <w:tabs>
          <w:tab w:val="left" w:pos="6117"/>
        </w:tabs>
        <w:jc w:val="center"/>
      </w:pPr>
      <w:r w:rsidRPr="009458FD">
        <w:rPr>
          <w:noProof/>
          <w:lang w:bidi="ar-SA"/>
        </w:rPr>
        <w:drawing>
          <wp:inline distT="0" distB="0" distL="0" distR="0">
            <wp:extent cx="4120718" cy="2018995"/>
            <wp:effectExtent l="19050" t="0" r="13132" b="305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DA</w:t>
            </w:r>
          </w:p>
        </w:tc>
        <w:tc>
          <w:tcPr>
            <w:tcW w:w="3207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261</w:t>
            </w:r>
          </w:p>
        </w:tc>
        <w:tc>
          <w:tcPr>
            <w:tcW w:w="3208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87,00%</w:t>
            </w:r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NE</w:t>
            </w:r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39</w:t>
            </w:r>
          </w:p>
        </w:tc>
        <w:tc>
          <w:tcPr>
            <w:tcW w:w="3208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13,00%</w:t>
            </w:r>
          </w:p>
        </w:tc>
      </w:tr>
      <w:tr w:rsidR="009458FD" w:rsidTr="00CB0323">
        <w:tc>
          <w:tcPr>
            <w:tcW w:w="3207" w:type="dxa"/>
          </w:tcPr>
          <w:p w:rsidR="009458FD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9458FD" w:rsidRDefault="009458FD" w:rsidP="009458FD">
      <w:pPr>
        <w:ind w:firstLine="720"/>
      </w:pPr>
    </w:p>
    <w:p w:rsidR="009458FD" w:rsidRDefault="009458FD" w:rsidP="009458FD">
      <w:pPr>
        <w:ind w:firstLine="720"/>
      </w:pPr>
    </w:p>
    <w:p w:rsidR="008D4609" w:rsidRDefault="008D4609" w:rsidP="009458FD">
      <w:pPr>
        <w:ind w:firstLine="720"/>
      </w:pPr>
    </w:p>
    <w:p w:rsidR="009458FD" w:rsidRPr="009458FD" w:rsidRDefault="009458FD" w:rsidP="009458FD">
      <w:pPr>
        <w:ind w:firstLine="720"/>
        <w:rPr>
          <w:b/>
        </w:rPr>
      </w:pPr>
      <w:r w:rsidRPr="009458FD">
        <w:rPr>
          <w:b/>
        </w:rPr>
        <w:t xml:space="preserve">P.5. </w:t>
      </w:r>
      <w:proofErr w:type="spellStart"/>
      <w:r w:rsidRPr="009458FD">
        <w:rPr>
          <w:b/>
        </w:rPr>
        <w:t>Da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li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ste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kad</w:t>
      </w:r>
      <w:proofErr w:type="spell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stupili</w:t>
      </w:r>
      <w:proofErr w:type="spellEnd"/>
      <w:r w:rsidRPr="009458FD">
        <w:rPr>
          <w:b/>
        </w:rPr>
        <w:t xml:space="preserve"> u </w:t>
      </w:r>
      <w:proofErr w:type="spellStart"/>
      <w:r w:rsidRPr="009458FD">
        <w:rPr>
          <w:b/>
        </w:rPr>
        <w:t>kontakt</w:t>
      </w:r>
      <w:proofErr w:type="spellEnd"/>
      <w:r w:rsidRPr="009458FD">
        <w:rPr>
          <w:b/>
        </w:rPr>
        <w:t xml:space="preserve"> </w:t>
      </w:r>
      <w:proofErr w:type="spellStart"/>
      <w:proofErr w:type="gramStart"/>
      <w:r w:rsidRPr="009458FD">
        <w:rPr>
          <w:b/>
        </w:rPr>
        <w:t>sa</w:t>
      </w:r>
      <w:proofErr w:type="spellEnd"/>
      <w:proofErr w:type="gramEnd"/>
      <w:r w:rsidRPr="009458FD">
        <w:rPr>
          <w:b/>
        </w:rPr>
        <w:t xml:space="preserve"> </w:t>
      </w:r>
      <w:proofErr w:type="spellStart"/>
      <w:r w:rsidRPr="009458FD">
        <w:rPr>
          <w:b/>
        </w:rPr>
        <w:t>vijećnikom</w:t>
      </w:r>
      <w:proofErr w:type="spellEnd"/>
      <w:r w:rsidRPr="009458FD">
        <w:rPr>
          <w:b/>
        </w:rPr>
        <w:t>?</w:t>
      </w:r>
    </w:p>
    <w:p w:rsidR="009458FD" w:rsidRDefault="009458FD" w:rsidP="009458FD">
      <w:pPr>
        <w:ind w:firstLine="720"/>
        <w:jc w:val="center"/>
      </w:pPr>
    </w:p>
    <w:p w:rsidR="009458FD" w:rsidRDefault="009458FD" w:rsidP="009458FD">
      <w:pPr>
        <w:ind w:firstLine="720"/>
        <w:jc w:val="center"/>
      </w:pPr>
      <w:r w:rsidRPr="009458FD">
        <w:rPr>
          <w:noProof/>
          <w:lang w:bidi="ar-SA"/>
        </w:rPr>
        <w:drawing>
          <wp:inline distT="0" distB="0" distL="0" distR="0">
            <wp:extent cx="4126484" cy="1916582"/>
            <wp:effectExtent l="19050" t="0" r="26416" b="7468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58FD" w:rsidRPr="009458FD" w:rsidRDefault="009458FD" w:rsidP="009458FD"/>
    <w:p w:rsidR="009458FD" w:rsidRPr="009458FD" w:rsidRDefault="009458FD" w:rsidP="009458FD">
      <w:pPr>
        <w:tabs>
          <w:tab w:val="left" w:pos="922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DA</w:t>
            </w:r>
          </w:p>
        </w:tc>
        <w:tc>
          <w:tcPr>
            <w:tcW w:w="3207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201</w:t>
            </w:r>
          </w:p>
        </w:tc>
        <w:tc>
          <w:tcPr>
            <w:tcW w:w="3208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67,00%</w:t>
            </w:r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NE</w:t>
            </w:r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99</w:t>
            </w:r>
          </w:p>
        </w:tc>
        <w:tc>
          <w:tcPr>
            <w:tcW w:w="3208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33,00%</w:t>
            </w:r>
          </w:p>
        </w:tc>
      </w:tr>
      <w:tr w:rsidR="009458FD" w:rsidTr="00CB0323">
        <w:tc>
          <w:tcPr>
            <w:tcW w:w="3207" w:type="dxa"/>
          </w:tcPr>
          <w:p w:rsidR="009458FD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9458FD" w:rsidRDefault="009458FD" w:rsidP="009458FD">
      <w:pPr>
        <w:tabs>
          <w:tab w:val="left" w:pos="922"/>
        </w:tabs>
      </w:pPr>
    </w:p>
    <w:p w:rsidR="009458FD" w:rsidRDefault="009458FD" w:rsidP="009458FD">
      <w:pPr>
        <w:tabs>
          <w:tab w:val="left" w:pos="922"/>
        </w:tabs>
      </w:pPr>
    </w:p>
    <w:p w:rsidR="006C572E" w:rsidRDefault="006C572E" w:rsidP="009458FD">
      <w:pPr>
        <w:tabs>
          <w:tab w:val="left" w:pos="922"/>
        </w:tabs>
      </w:pPr>
    </w:p>
    <w:p w:rsidR="006C572E" w:rsidRDefault="006C572E" w:rsidP="009458FD">
      <w:pPr>
        <w:tabs>
          <w:tab w:val="left" w:pos="922"/>
        </w:tabs>
      </w:pPr>
    </w:p>
    <w:p w:rsidR="003D3588" w:rsidRDefault="009458FD" w:rsidP="009458FD">
      <w:pPr>
        <w:tabs>
          <w:tab w:val="left" w:pos="922"/>
        </w:tabs>
        <w:rPr>
          <w:b/>
        </w:rPr>
      </w:pPr>
      <w:r w:rsidRPr="00391D27">
        <w:rPr>
          <w:b/>
        </w:rPr>
        <w:lastRenderedPageBreak/>
        <w:t xml:space="preserve">P.6. </w:t>
      </w:r>
      <w:proofErr w:type="spellStart"/>
      <w:r w:rsidRPr="00391D27">
        <w:rPr>
          <w:b/>
        </w:rPr>
        <w:t>Da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li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ste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lako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stupili</w:t>
      </w:r>
      <w:proofErr w:type="spellEnd"/>
      <w:r w:rsidRPr="00391D27">
        <w:rPr>
          <w:b/>
        </w:rPr>
        <w:t xml:space="preserve"> u </w:t>
      </w:r>
      <w:proofErr w:type="spellStart"/>
      <w:r w:rsidRPr="00391D27">
        <w:rPr>
          <w:b/>
        </w:rPr>
        <w:t>kontakt</w:t>
      </w:r>
      <w:proofErr w:type="spellEnd"/>
      <w:r w:rsidRPr="00391D27">
        <w:rPr>
          <w:b/>
        </w:rPr>
        <w:t xml:space="preserve"> </w:t>
      </w:r>
      <w:proofErr w:type="spellStart"/>
      <w:proofErr w:type="gramStart"/>
      <w:r w:rsidRPr="00391D27">
        <w:rPr>
          <w:b/>
        </w:rPr>
        <w:t>sa</w:t>
      </w:r>
      <w:proofErr w:type="spellEnd"/>
      <w:proofErr w:type="gram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vijećnikom</w:t>
      </w:r>
      <w:proofErr w:type="spellEnd"/>
      <w:r w:rsidRPr="00391D27">
        <w:rPr>
          <w:b/>
        </w:rPr>
        <w:t>?</w:t>
      </w:r>
    </w:p>
    <w:p w:rsidR="003D3588" w:rsidRDefault="003D3588" w:rsidP="003D3588">
      <w:pPr>
        <w:tabs>
          <w:tab w:val="left" w:pos="3997"/>
        </w:tabs>
        <w:rPr>
          <w:b/>
        </w:rPr>
      </w:pPr>
      <w:r>
        <w:rPr>
          <w:b/>
        </w:rPr>
        <w:tab/>
      </w:r>
      <w:r w:rsidRPr="003D3588">
        <w:rPr>
          <w:b/>
        </w:rPr>
        <w:drawing>
          <wp:inline distT="0" distB="0" distL="0" distR="0">
            <wp:extent cx="4408576" cy="2245766"/>
            <wp:effectExtent l="19050" t="0" r="11024" b="2134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3588" w:rsidRDefault="003D3588" w:rsidP="009458FD">
      <w:pPr>
        <w:tabs>
          <w:tab w:val="left" w:pos="922"/>
        </w:tabs>
        <w:rPr>
          <w:b/>
        </w:rPr>
      </w:pPr>
    </w:p>
    <w:p w:rsidR="003D3588" w:rsidRPr="00391D27" w:rsidRDefault="003D3588" w:rsidP="009458FD">
      <w:pPr>
        <w:tabs>
          <w:tab w:val="left" w:pos="922"/>
        </w:tabs>
        <w:rPr>
          <w:b/>
        </w:rPr>
      </w:pPr>
    </w:p>
    <w:p w:rsidR="00B77832" w:rsidRDefault="00B77832" w:rsidP="009458FD"/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DA</w:t>
            </w:r>
          </w:p>
        </w:tc>
        <w:tc>
          <w:tcPr>
            <w:tcW w:w="3207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217</w:t>
            </w:r>
          </w:p>
        </w:tc>
        <w:tc>
          <w:tcPr>
            <w:tcW w:w="3208" w:type="dxa"/>
          </w:tcPr>
          <w:p w:rsidR="009458FD" w:rsidRDefault="00391D27" w:rsidP="00391D27">
            <w:pPr>
              <w:tabs>
                <w:tab w:val="left" w:pos="1094"/>
              </w:tabs>
              <w:jc w:val="center"/>
            </w:pPr>
            <w:r>
              <w:t>72</w:t>
            </w:r>
            <w:r w:rsidR="009458FD">
              <w:t>,</w:t>
            </w:r>
            <w:r>
              <w:t>33</w:t>
            </w:r>
            <w:r w:rsidR="009458FD">
              <w:t>%</w:t>
            </w:r>
          </w:p>
        </w:tc>
      </w:tr>
      <w:tr w:rsidR="009458FD" w:rsidTr="00CB0323"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NE</w:t>
            </w:r>
          </w:p>
        </w:tc>
        <w:tc>
          <w:tcPr>
            <w:tcW w:w="3207" w:type="dxa"/>
          </w:tcPr>
          <w:p w:rsidR="009458FD" w:rsidRDefault="009458FD" w:rsidP="009458FD">
            <w:pPr>
              <w:tabs>
                <w:tab w:val="left" w:pos="1094"/>
              </w:tabs>
              <w:jc w:val="center"/>
            </w:pPr>
            <w:r>
              <w:t>83</w:t>
            </w:r>
          </w:p>
        </w:tc>
        <w:tc>
          <w:tcPr>
            <w:tcW w:w="3208" w:type="dxa"/>
          </w:tcPr>
          <w:p w:rsidR="009458FD" w:rsidRDefault="00391D27" w:rsidP="00391D27">
            <w:pPr>
              <w:tabs>
                <w:tab w:val="left" w:pos="1094"/>
              </w:tabs>
              <w:jc w:val="center"/>
            </w:pPr>
            <w:r>
              <w:t>27</w:t>
            </w:r>
            <w:r w:rsidR="009458FD">
              <w:t>,</w:t>
            </w:r>
            <w:r>
              <w:t>67</w:t>
            </w:r>
            <w:r w:rsidR="009458FD">
              <w:t>%</w:t>
            </w:r>
          </w:p>
        </w:tc>
      </w:tr>
      <w:tr w:rsidR="009458FD" w:rsidTr="00CB0323">
        <w:tc>
          <w:tcPr>
            <w:tcW w:w="3207" w:type="dxa"/>
          </w:tcPr>
          <w:p w:rsidR="009458FD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9458FD" w:rsidRDefault="009458FD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9458FD" w:rsidRDefault="009458FD" w:rsidP="009458FD"/>
    <w:p w:rsidR="00391D27" w:rsidRDefault="00391D27" w:rsidP="009458FD"/>
    <w:p w:rsidR="00391D27" w:rsidRDefault="00391D27" w:rsidP="009458FD"/>
    <w:p w:rsidR="00391D27" w:rsidRDefault="00391D27" w:rsidP="009458FD">
      <w:pPr>
        <w:rPr>
          <w:b/>
        </w:rPr>
      </w:pPr>
      <w:r w:rsidRPr="00391D27">
        <w:rPr>
          <w:b/>
        </w:rPr>
        <w:t xml:space="preserve">P.7. </w:t>
      </w:r>
      <w:proofErr w:type="spellStart"/>
      <w:r w:rsidRPr="00391D27">
        <w:rPr>
          <w:b/>
        </w:rPr>
        <w:t>Kako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ocjenjujete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rad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Općinskog</w:t>
      </w:r>
      <w:proofErr w:type="spellEnd"/>
      <w:r w:rsidRPr="00391D27">
        <w:rPr>
          <w:b/>
        </w:rPr>
        <w:t xml:space="preserve"> </w:t>
      </w:r>
      <w:proofErr w:type="spellStart"/>
      <w:r w:rsidRPr="00391D27">
        <w:rPr>
          <w:b/>
        </w:rPr>
        <w:t>vijeća</w:t>
      </w:r>
      <w:proofErr w:type="spellEnd"/>
      <w:r w:rsidRPr="00391D27">
        <w:rPr>
          <w:b/>
        </w:rPr>
        <w:t xml:space="preserve"> – </w:t>
      </w:r>
      <w:proofErr w:type="spellStart"/>
      <w:proofErr w:type="gramStart"/>
      <w:r w:rsidRPr="00391D27">
        <w:rPr>
          <w:b/>
        </w:rPr>
        <w:t>vijećnika</w:t>
      </w:r>
      <w:proofErr w:type="spellEnd"/>
      <w:r w:rsidRPr="00391D27">
        <w:rPr>
          <w:b/>
        </w:rPr>
        <w:t xml:space="preserve"> ?</w:t>
      </w:r>
      <w:proofErr w:type="gramEnd"/>
    </w:p>
    <w:p w:rsidR="00391D27" w:rsidRDefault="00391D27" w:rsidP="009458FD">
      <w:pPr>
        <w:rPr>
          <w:b/>
        </w:rPr>
      </w:pPr>
    </w:p>
    <w:p w:rsidR="00391D27" w:rsidRPr="00391D27" w:rsidRDefault="00391D27" w:rsidP="00391D27">
      <w:pPr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align>top</wp:align>
            </wp:positionV>
            <wp:extent cx="6022975" cy="2976880"/>
            <wp:effectExtent l="19050" t="0" r="15875" b="0"/>
            <wp:wrapSquare wrapText="bothSides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b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391D27" w:rsidTr="00CB0323"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lastRenderedPageBreak/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391D27" w:rsidTr="00CB0323">
        <w:tc>
          <w:tcPr>
            <w:tcW w:w="3207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zadovoljni</w:t>
            </w:r>
            <w:proofErr w:type="spellEnd"/>
          </w:p>
        </w:tc>
        <w:tc>
          <w:tcPr>
            <w:tcW w:w="3207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r>
              <w:t>53</w:t>
            </w:r>
          </w:p>
        </w:tc>
        <w:tc>
          <w:tcPr>
            <w:tcW w:w="3208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r>
              <w:t>17,67%</w:t>
            </w:r>
          </w:p>
        </w:tc>
      </w:tr>
      <w:tr w:rsidR="00391D27" w:rsidTr="00CB0323">
        <w:tc>
          <w:tcPr>
            <w:tcW w:w="3207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proofErr w:type="spellStart"/>
            <w:r>
              <w:t>Zadovoljni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159</w:t>
            </w:r>
          </w:p>
        </w:tc>
        <w:tc>
          <w:tcPr>
            <w:tcW w:w="3208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r>
              <w:t>53,00%</w:t>
            </w:r>
          </w:p>
        </w:tc>
      </w:tr>
      <w:tr w:rsidR="00391D27" w:rsidTr="00CB0323">
        <w:tc>
          <w:tcPr>
            <w:tcW w:w="3207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proofErr w:type="spellStart"/>
            <w:r>
              <w:t>Neutralni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46</w:t>
            </w:r>
          </w:p>
        </w:tc>
        <w:tc>
          <w:tcPr>
            <w:tcW w:w="3208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15,33%</w:t>
            </w:r>
          </w:p>
        </w:tc>
      </w:tr>
      <w:tr w:rsidR="00391D27" w:rsidTr="00CB0323"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Nezadovoljni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24</w:t>
            </w:r>
          </w:p>
        </w:tc>
        <w:tc>
          <w:tcPr>
            <w:tcW w:w="3208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8,00%</w:t>
            </w:r>
          </w:p>
        </w:tc>
      </w:tr>
      <w:tr w:rsidR="00391D27" w:rsidTr="00CB0323"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nezadovoljni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11</w:t>
            </w:r>
          </w:p>
        </w:tc>
        <w:tc>
          <w:tcPr>
            <w:tcW w:w="3208" w:type="dxa"/>
          </w:tcPr>
          <w:p w:rsidR="00391D27" w:rsidRDefault="00391D27" w:rsidP="00391D27">
            <w:pPr>
              <w:tabs>
                <w:tab w:val="left" w:pos="1094"/>
              </w:tabs>
              <w:jc w:val="center"/>
            </w:pPr>
            <w:r>
              <w:t>3,67%</w:t>
            </w:r>
          </w:p>
        </w:tc>
      </w:tr>
      <w:tr w:rsidR="00391D27" w:rsidTr="00CB0323"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 xml:space="preserve">Ne </w:t>
            </w:r>
            <w:proofErr w:type="spellStart"/>
            <w:r>
              <w:t>zna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7</w:t>
            </w:r>
          </w:p>
        </w:tc>
        <w:tc>
          <w:tcPr>
            <w:tcW w:w="3208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2,33%</w:t>
            </w:r>
          </w:p>
        </w:tc>
      </w:tr>
      <w:tr w:rsidR="00391D27" w:rsidTr="00CB0323">
        <w:tc>
          <w:tcPr>
            <w:tcW w:w="3207" w:type="dxa"/>
          </w:tcPr>
          <w:p w:rsidR="00391D27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391D27" w:rsidRDefault="00391D27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391D27" w:rsidRDefault="00391D27" w:rsidP="00391D27">
      <w:pPr>
        <w:rPr>
          <w:b/>
        </w:rPr>
      </w:pPr>
    </w:p>
    <w:p w:rsidR="003D3588" w:rsidRDefault="003D3588" w:rsidP="00391D27">
      <w:pPr>
        <w:rPr>
          <w:b/>
        </w:rPr>
      </w:pPr>
    </w:p>
    <w:p w:rsidR="00FE1555" w:rsidRDefault="00FE1555" w:rsidP="00391D27">
      <w:pPr>
        <w:rPr>
          <w:b/>
        </w:rPr>
      </w:pPr>
    </w:p>
    <w:p w:rsidR="00FE1555" w:rsidRDefault="00FE1555" w:rsidP="00391D27">
      <w:pPr>
        <w:rPr>
          <w:b/>
        </w:rPr>
      </w:pPr>
    </w:p>
    <w:p w:rsidR="00FE1555" w:rsidRDefault="00FE1555" w:rsidP="00391D27">
      <w:pPr>
        <w:rPr>
          <w:b/>
        </w:rPr>
      </w:pPr>
    </w:p>
    <w:p w:rsidR="00FE1555" w:rsidRDefault="00FE1555" w:rsidP="00391D27">
      <w:pPr>
        <w:rPr>
          <w:b/>
        </w:rPr>
      </w:pPr>
    </w:p>
    <w:p w:rsidR="00391D27" w:rsidRDefault="00391D27" w:rsidP="00391D27">
      <w:pPr>
        <w:rPr>
          <w:b/>
        </w:rPr>
      </w:pPr>
      <w:proofErr w:type="gramStart"/>
      <w:r>
        <w:rPr>
          <w:b/>
        </w:rPr>
        <w:t xml:space="preserve">P.8.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smatrate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interesu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>?</w:t>
      </w:r>
      <w:proofErr w:type="gramEnd"/>
    </w:p>
    <w:p w:rsidR="0016194A" w:rsidRDefault="0016194A" w:rsidP="00391D27">
      <w:pPr>
        <w:rPr>
          <w:b/>
        </w:rPr>
      </w:pPr>
    </w:p>
    <w:p w:rsidR="0016194A" w:rsidRDefault="0016194A" w:rsidP="0016194A">
      <w:pPr>
        <w:jc w:val="center"/>
        <w:rPr>
          <w:b/>
        </w:rPr>
      </w:pPr>
      <w:r w:rsidRPr="0016194A">
        <w:rPr>
          <w:b/>
          <w:noProof/>
          <w:lang w:bidi="ar-SA"/>
        </w:rPr>
        <w:drawing>
          <wp:inline distT="0" distB="0" distL="0" distR="0">
            <wp:extent cx="4332859" cy="1872691"/>
            <wp:effectExtent l="19050" t="0" r="10541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DA</w:t>
            </w:r>
          </w:p>
        </w:tc>
        <w:tc>
          <w:tcPr>
            <w:tcW w:w="3207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226</w:t>
            </w:r>
          </w:p>
        </w:tc>
        <w:tc>
          <w:tcPr>
            <w:tcW w:w="3208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75,33%</w:t>
            </w:r>
          </w:p>
        </w:tc>
      </w:tr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NE</w:t>
            </w:r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74</w:t>
            </w:r>
          </w:p>
        </w:tc>
        <w:tc>
          <w:tcPr>
            <w:tcW w:w="3208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24,67%</w:t>
            </w:r>
          </w:p>
        </w:tc>
      </w:tr>
      <w:tr w:rsidR="0016194A" w:rsidTr="00CB0323">
        <w:tc>
          <w:tcPr>
            <w:tcW w:w="3207" w:type="dxa"/>
          </w:tcPr>
          <w:p w:rsidR="0016194A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16194A" w:rsidRDefault="0016194A" w:rsidP="0016194A">
      <w:pPr>
        <w:ind w:firstLine="720"/>
      </w:pPr>
    </w:p>
    <w:p w:rsidR="0016194A" w:rsidRDefault="0016194A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FE1555" w:rsidRDefault="00FE1555" w:rsidP="0016194A"/>
    <w:p w:rsidR="0016194A" w:rsidRPr="0016194A" w:rsidRDefault="0016194A" w:rsidP="0016194A">
      <w:pPr>
        <w:rPr>
          <w:b/>
        </w:rPr>
      </w:pPr>
      <w:r w:rsidRPr="0016194A">
        <w:rPr>
          <w:b/>
        </w:rPr>
        <w:t xml:space="preserve">P.9. Koji segment </w:t>
      </w:r>
      <w:proofErr w:type="spellStart"/>
      <w:r w:rsidRPr="0016194A">
        <w:rPr>
          <w:b/>
        </w:rPr>
        <w:t>rada</w:t>
      </w:r>
      <w:proofErr w:type="spellEnd"/>
      <w:r w:rsidRPr="0016194A">
        <w:rPr>
          <w:b/>
        </w:rPr>
        <w:t xml:space="preserve"> </w:t>
      </w:r>
      <w:proofErr w:type="spellStart"/>
      <w:r w:rsidRPr="0016194A">
        <w:rPr>
          <w:b/>
        </w:rPr>
        <w:t>Općinskog</w:t>
      </w:r>
      <w:proofErr w:type="spellEnd"/>
      <w:r w:rsidRPr="0016194A">
        <w:rPr>
          <w:b/>
        </w:rPr>
        <w:t xml:space="preserve"> </w:t>
      </w:r>
      <w:proofErr w:type="spellStart"/>
      <w:r w:rsidRPr="0016194A">
        <w:rPr>
          <w:b/>
        </w:rPr>
        <w:t>vijeća</w:t>
      </w:r>
      <w:proofErr w:type="spellEnd"/>
      <w:r w:rsidRPr="0016194A">
        <w:rPr>
          <w:b/>
        </w:rPr>
        <w:t xml:space="preserve"> </w:t>
      </w:r>
      <w:proofErr w:type="spellStart"/>
      <w:r w:rsidRPr="0016194A">
        <w:rPr>
          <w:b/>
        </w:rPr>
        <w:t>treba</w:t>
      </w:r>
      <w:proofErr w:type="spellEnd"/>
      <w:r w:rsidRPr="0016194A">
        <w:rPr>
          <w:b/>
        </w:rPr>
        <w:t xml:space="preserve"> </w:t>
      </w:r>
      <w:proofErr w:type="spellStart"/>
      <w:r w:rsidRPr="0016194A">
        <w:rPr>
          <w:b/>
        </w:rPr>
        <w:t>unaprijediti</w:t>
      </w:r>
      <w:proofErr w:type="spellEnd"/>
      <w:r w:rsidRPr="0016194A">
        <w:rPr>
          <w:b/>
        </w:rPr>
        <w:t>?</w:t>
      </w:r>
    </w:p>
    <w:p w:rsidR="0016194A" w:rsidRDefault="0016194A" w:rsidP="0016194A"/>
    <w:p w:rsidR="0016194A" w:rsidRDefault="0016194A" w:rsidP="0016194A">
      <w:pPr>
        <w:jc w:val="center"/>
      </w:pPr>
    </w:p>
    <w:p w:rsidR="0016194A" w:rsidRDefault="0016194A" w:rsidP="0016194A">
      <w:pPr>
        <w:jc w:val="center"/>
      </w:pPr>
      <w:r w:rsidRPr="0016194A">
        <w:rPr>
          <w:noProof/>
          <w:lang w:bidi="ar-SA"/>
        </w:rPr>
        <w:drawing>
          <wp:inline distT="0" distB="0" distL="0" distR="0">
            <wp:extent cx="4999177" cy="3116275"/>
            <wp:effectExtent l="19050" t="0" r="10973" b="7925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194A" w:rsidRDefault="0016194A" w:rsidP="0016194A"/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Ponuđeni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3208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Procenat</w:t>
            </w:r>
            <w:proofErr w:type="spellEnd"/>
          </w:p>
        </w:tc>
      </w:tr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Transparentnost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</w:p>
        </w:tc>
        <w:tc>
          <w:tcPr>
            <w:tcW w:w="3207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93</w:t>
            </w:r>
          </w:p>
        </w:tc>
        <w:tc>
          <w:tcPr>
            <w:tcW w:w="3208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31,00%</w:t>
            </w:r>
          </w:p>
        </w:tc>
      </w:tr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Kvalitet</w:t>
            </w:r>
            <w:proofErr w:type="spellEnd"/>
            <w:r>
              <w:t xml:space="preserve"> </w:t>
            </w:r>
            <w:proofErr w:type="spellStart"/>
            <w:r>
              <w:t>donesenih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103</w:t>
            </w:r>
          </w:p>
        </w:tc>
        <w:tc>
          <w:tcPr>
            <w:tcW w:w="3208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34,33%</w:t>
            </w:r>
          </w:p>
        </w:tc>
      </w:tr>
      <w:tr w:rsidR="0016194A" w:rsidTr="00CB0323"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Komunikacija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104</w:t>
            </w:r>
          </w:p>
        </w:tc>
        <w:tc>
          <w:tcPr>
            <w:tcW w:w="3208" w:type="dxa"/>
          </w:tcPr>
          <w:p w:rsidR="0016194A" w:rsidRDefault="0016194A" w:rsidP="0016194A">
            <w:pPr>
              <w:tabs>
                <w:tab w:val="left" w:pos="1094"/>
              </w:tabs>
              <w:jc w:val="center"/>
            </w:pPr>
            <w:r>
              <w:t>34,67%</w:t>
            </w:r>
          </w:p>
        </w:tc>
      </w:tr>
      <w:tr w:rsidR="0016194A" w:rsidTr="00CB0323">
        <w:tc>
          <w:tcPr>
            <w:tcW w:w="3207" w:type="dxa"/>
          </w:tcPr>
          <w:p w:rsidR="0016194A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3207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3208" w:type="dxa"/>
          </w:tcPr>
          <w:p w:rsidR="0016194A" w:rsidRDefault="0016194A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FE1555" w:rsidRDefault="00FE1555" w:rsidP="0016194A">
      <w:pPr>
        <w:rPr>
          <w:b/>
        </w:rPr>
      </w:pPr>
    </w:p>
    <w:p w:rsidR="00FE1555" w:rsidRDefault="00FE1555" w:rsidP="0016194A">
      <w:pPr>
        <w:rPr>
          <w:b/>
        </w:rPr>
      </w:pPr>
    </w:p>
    <w:p w:rsidR="00FE1555" w:rsidRDefault="00FE1555" w:rsidP="0016194A">
      <w:pPr>
        <w:rPr>
          <w:b/>
        </w:rPr>
      </w:pPr>
    </w:p>
    <w:p w:rsidR="00FE1555" w:rsidRDefault="00FE1555" w:rsidP="0016194A">
      <w:pPr>
        <w:rPr>
          <w:b/>
        </w:rPr>
      </w:pPr>
    </w:p>
    <w:p w:rsidR="00FE1555" w:rsidRDefault="00FE1555" w:rsidP="0016194A">
      <w:pPr>
        <w:rPr>
          <w:b/>
        </w:rPr>
      </w:pPr>
    </w:p>
    <w:p w:rsidR="00FE1555" w:rsidRDefault="00FE1555" w:rsidP="0016194A">
      <w:pPr>
        <w:rPr>
          <w:b/>
        </w:rPr>
      </w:pPr>
    </w:p>
    <w:p w:rsidR="00FE1555" w:rsidRDefault="00FE1555" w:rsidP="0016194A">
      <w:pPr>
        <w:rPr>
          <w:b/>
        </w:rPr>
      </w:pPr>
    </w:p>
    <w:p w:rsidR="0016194A" w:rsidRDefault="0016194A" w:rsidP="0016194A">
      <w:pPr>
        <w:rPr>
          <w:b/>
        </w:rPr>
      </w:pPr>
      <w:r w:rsidRPr="008D4609">
        <w:rPr>
          <w:b/>
        </w:rPr>
        <w:t xml:space="preserve">P.10. </w:t>
      </w:r>
      <w:proofErr w:type="spellStart"/>
      <w:r w:rsidRPr="008D4609">
        <w:rPr>
          <w:b/>
        </w:rPr>
        <w:t>Koje</w:t>
      </w:r>
      <w:proofErr w:type="spellEnd"/>
      <w:r w:rsidRPr="008D4609">
        <w:rPr>
          <w:b/>
        </w:rPr>
        <w:t xml:space="preserve"> </w:t>
      </w:r>
      <w:proofErr w:type="spellStart"/>
      <w:r w:rsidRPr="008D4609">
        <w:rPr>
          <w:b/>
        </w:rPr>
        <w:t>mehanizme</w:t>
      </w:r>
      <w:proofErr w:type="spellEnd"/>
      <w:r w:rsidR="00CB0323">
        <w:rPr>
          <w:b/>
        </w:rPr>
        <w:t xml:space="preserve"> </w:t>
      </w:r>
      <w:proofErr w:type="spellStart"/>
      <w:r w:rsidRPr="008D4609">
        <w:rPr>
          <w:b/>
        </w:rPr>
        <w:t>komunikacije</w:t>
      </w:r>
      <w:proofErr w:type="spellEnd"/>
      <w:r w:rsidRPr="008D4609">
        <w:rPr>
          <w:b/>
        </w:rPr>
        <w:t xml:space="preserve"> </w:t>
      </w:r>
      <w:proofErr w:type="spellStart"/>
      <w:r w:rsidRPr="008D4609">
        <w:rPr>
          <w:b/>
        </w:rPr>
        <w:t>između</w:t>
      </w:r>
      <w:proofErr w:type="spellEnd"/>
      <w:r w:rsidRPr="008D4609">
        <w:rPr>
          <w:b/>
        </w:rPr>
        <w:t xml:space="preserve"> </w:t>
      </w:r>
      <w:proofErr w:type="spellStart"/>
      <w:r w:rsidRPr="008D4609">
        <w:rPr>
          <w:b/>
        </w:rPr>
        <w:t>vijećnika</w:t>
      </w:r>
      <w:proofErr w:type="spellEnd"/>
      <w:r w:rsidRPr="008D4609">
        <w:rPr>
          <w:b/>
        </w:rPr>
        <w:t xml:space="preserve"> </w:t>
      </w:r>
      <w:proofErr w:type="spellStart"/>
      <w:r w:rsidR="00CB0323">
        <w:rPr>
          <w:b/>
        </w:rPr>
        <w:t>i</w:t>
      </w:r>
      <w:proofErr w:type="spellEnd"/>
      <w:r w:rsidRPr="008D4609">
        <w:rPr>
          <w:b/>
        </w:rPr>
        <w:t xml:space="preserve"> </w:t>
      </w:r>
      <w:proofErr w:type="spellStart"/>
      <w:r w:rsidRPr="008D4609">
        <w:rPr>
          <w:b/>
        </w:rPr>
        <w:t>građana</w:t>
      </w:r>
      <w:proofErr w:type="spellEnd"/>
      <w:r w:rsidRPr="008D4609">
        <w:rPr>
          <w:b/>
        </w:rPr>
        <w:t xml:space="preserve"> je </w:t>
      </w:r>
      <w:proofErr w:type="spellStart"/>
      <w:r w:rsidRPr="008D4609">
        <w:rPr>
          <w:b/>
        </w:rPr>
        <w:t>potrebno</w:t>
      </w:r>
      <w:proofErr w:type="spellEnd"/>
      <w:r w:rsidRPr="008D4609">
        <w:rPr>
          <w:b/>
        </w:rPr>
        <w:t xml:space="preserve"> </w:t>
      </w:r>
      <w:proofErr w:type="spellStart"/>
      <w:r w:rsidRPr="008D4609">
        <w:rPr>
          <w:b/>
        </w:rPr>
        <w:t>uspostaviti</w:t>
      </w:r>
      <w:proofErr w:type="spellEnd"/>
      <w:r w:rsidRPr="008D4609">
        <w:rPr>
          <w:b/>
        </w:rPr>
        <w:t xml:space="preserve"> </w:t>
      </w:r>
      <w:proofErr w:type="spellStart"/>
      <w:proofErr w:type="gramStart"/>
      <w:r w:rsidRPr="008D4609">
        <w:rPr>
          <w:b/>
        </w:rPr>
        <w:t>ili</w:t>
      </w:r>
      <w:proofErr w:type="spellEnd"/>
      <w:proofErr w:type="gramEnd"/>
      <w:r w:rsidRPr="008D4609">
        <w:rPr>
          <w:b/>
        </w:rPr>
        <w:t xml:space="preserve"> </w:t>
      </w:r>
      <w:proofErr w:type="spellStart"/>
      <w:r w:rsidRPr="008D4609">
        <w:rPr>
          <w:b/>
        </w:rPr>
        <w:t>koristiti</w:t>
      </w:r>
      <w:proofErr w:type="spellEnd"/>
      <w:r w:rsidRPr="008D4609">
        <w:rPr>
          <w:b/>
        </w:rPr>
        <w:t>?</w:t>
      </w:r>
      <w:r w:rsidR="006C572E">
        <w:rPr>
          <w:b/>
        </w:rPr>
        <w:t xml:space="preserve">    </w:t>
      </w:r>
    </w:p>
    <w:p w:rsidR="006C572E" w:rsidRPr="008D4609" w:rsidRDefault="006C572E" w:rsidP="0016194A">
      <w:pPr>
        <w:rPr>
          <w:b/>
        </w:rPr>
      </w:pPr>
    </w:p>
    <w:p w:rsidR="0016194A" w:rsidRDefault="00CB0323" w:rsidP="0016194A">
      <w:r w:rsidRPr="0039343F">
        <w:rPr>
          <w:noProof/>
          <w:lang w:bidi="ar-SA"/>
        </w:rPr>
        <w:lastRenderedPageBreak/>
        <w:drawing>
          <wp:inline distT="0" distB="0" distL="0" distR="0">
            <wp:extent cx="4090492" cy="2977287"/>
            <wp:effectExtent l="19050" t="0" r="24308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4609" w:rsidRDefault="008D4609" w:rsidP="008D4609">
      <w:pPr>
        <w:tabs>
          <w:tab w:val="left" w:pos="2062"/>
        </w:tabs>
      </w:pPr>
      <w:r w:rsidRPr="008D4609">
        <w:rPr>
          <w:noProof/>
          <w:lang w:bidi="ar-SA"/>
        </w:rPr>
        <w:drawing>
          <wp:inline distT="0" distB="0" distL="0" distR="0">
            <wp:extent cx="5358561" cy="2648102"/>
            <wp:effectExtent l="19050" t="0" r="13539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629"/>
        <w:gridCol w:w="1417"/>
        <w:gridCol w:w="1576"/>
      </w:tblGrid>
      <w:tr w:rsidR="008D4609" w:rsidTr="008D4609">
        <w:tc>
          <w:tcPr>
            <w:tcW w:w="6629" w:type="dxa"/>
          </w:tcPr>
          <w:p w:rsidR="008D4609" w:rsidRPr="008D4609" w:rsidRDefault="008D4609" w:rsidP="00CB0323">
            <w:pPr>
              <w:tabs>
                <w:tab w:val="left" w:pos="1094"/>
              </w:tabs>
              <w:jc w:val="center"/>
              <w:rPr>
                <w:b/>
              </w:rPr>
            </w:pPr>
            <w:proofErr w:type="spellStart"/>
            <w:r w:rsidRPr="008D4609">
              <w:rPr>
                <w:b/>
              </w:rPr>
              <w:t>Ponuđeni</w:t>
            </w:r>
            <w:proofErr w:type="spellEnd"/>
            <w:r w:rsidRPr="008D4609">
              <w:rPr>
                <w:b/>
              </w:rPr>
              <w:t xml:space="preserve"> </w:t>
            </w:r>
            <w:proofErr w:type="spellStart"/>
            <w:r w:rsidRPr="008D4609">
              <w:rPr>
                <w:b/>
              </w:rPr>
              <w:t>odgovor</w:t>
            </w:r>
            <w:proofErr w:type="spellEnd"/>
          </w:p>
        </w:tc>
        <w:tc>
          <w:tcPr>
            <w:tcW w:w="1417" w:type="dxa"/>
          </w:tcPr>
          <w:p w:rsidR="008D4609" w:rsidRPr="008D4609" w:rsidRDefault="008D4609" w:rsidP="00CB0323">
            <w:pPr>
              <w:tabs>
                <w:tab w:val="left" w:pos="1094"/>
              </w:tabs>
              <w:jc w:val="center"/>
              <w:rPr>
                <w:b/>
              </w:rPr>
            </w:pPr>
            <w:proofErr w:type="spellStart"/>
            <w:r w:rsidRPr="008D4609">
              <w:rPr>
                <w:b/>
              </w:rPr>
              <w:t>Ukupno</w:t>
            </w:r>
            <w:proofErr w:type="spellEnd"/>
          </w:p>
        </w:tc>
        <w:tc>
          <w:tcPr>
            <w:tcW w:w="1576" w:type="dxa"/>
          </w:tcPr>
          <w:p w:rsidR="008D4609" w:rsidRPr="008D4609" w:rsidRDefault="008D4609" w:rsidP="00CB0323">
            <w:pPr>
              <w:tabs>
                <w:tab w:val="left" w:pos="1094"/>
              </w:tabs>
              <w:jc w:val="center"/>
              <w:rPr>
                <w:b/>
              </w:rPr>
            </w:pPr>
            <w:proofErr w:type="spellStart"/>
            <w:r w:rsidRPr="008D4609">
              <w:rPr>
                <w:b/>
              </w:rPr>
              <w:t>Procenat</w:t>
            </w:r>
            <w:proofErr w:type="spellEnd"/>
          </w:p>
        </w:tc>
      </w:tr>
      <w:tr w:rsidR="008D4609" w:rsidTr="008D4609">
        <w:tc>
          <w:tcPr>
            <w:tcW w:w="6629" w:type="dxa"/>
          </w:tcPr>
          <w:p w:rsidR="008D4609" w:rsidRDefault="008D4609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Direktan</w:t>
            </w:r>
            <w:proofErr w:type="spellEnd"/>
            <w:r>
              <w:t xml:space="preserve"> </w:t>
            </w:r>
            <w:proofErr w:type="spellStart"/>
            <w:r>
              <w:t>prijenos</w:t>
            </w:r>
            <w:proofErr w:type="spellEnd"/>
            <w:r>
              <w:t xml:space="preserve"> </w:t>
            </w:r>
            <w:proofErr w:type="spellStart"/>
            <w:r>
              <w:t>sjednica</w:t>
            </w:r>
            <w:proofErr w:type="spellEnd"/>
            <w:r>
              <w:t xml:space="preserve"> OV </w:t>
            </w:r>
            <w:proofErr w:type="spellStart"/>
            <w:r w:rsidR="00B77832">
              <w:t>putem</w:t>
            </w:r>
            <w:proofErr w:type="spellEnd"/>
            <w:r w:rsidR="00B77832">
              <w:t xml:space="preserve"> </w:t>
            </w:r>
            <w:proofErr w:type="spellStart"/>
            <w:r w:rsidR="00B77832">
              <w:t>lokalnih</w:t>
            </w:r>
            <w:proofErr w:type="spellEnd"/>
            <w:r w:rsidR="00B77832">
              <w:t xml:space="preserve"> TV I radio </w:t>
            </w:r>
            <w:proofErr w:type="spellStart"/>
            <w:r w:rsidR="00B77832">
              <w:t>stanica</w:t>
            </w:r>
            <w:proofErr w:type="spellEnd"/>
          </w:p>
        </w:tc>
        <w:tc>
          <w:tcPr>
            <w:tcW w:w="1417" w:type="dxa"/>
          </w:tcPr>
          <w:p w:rsidR="008D4609" w:rsidRDefault="00B77832" w:rsidP="00B77832">
            <w:pPr>
              <w:tabs>
                <w:tab w:val="left" w:pos="1094"/>
              </w:tabs>
              <w:jc w:val="center"/>
            </w:pPr>
            <w:r>
              <w:t>10</w:t>
            </w:r>
          </w:p>
        </w:tc>
        <w:tc>
          <w:tcPr>
            <w:tcW w:w="1576" w:type="dxa"/>
          </w:tcPr>
          <w:p w:rsidR="008D4609" w:rsidRDefault="00B77832" w:rsidP="00B77832">
            <w:pPr>
              <w:tabs>
                <w:tab w:val="left" w:pos="1094"/>
              </w:tabs>
              <w:jc w:val="center"/>
            </w:pPr>
            <w:r>
              <w:t>3</w:t>
            </w:r>
            <w:r w:rsidR="008D4609">
              <w:t>,</w:t>
            </w:r>
            <w:r>
              <w:t>33</w:t>
            </w:r>
            <w:r w:rsidR="008D4609">
              <w:t>%</w:t>
            </w:r>
          </w:p>
        </w:tc>
      </w:tr>
      <w:tr w:rsidR="008D4609" w:rsidTr="008D4609">
        <w:tc>
          <w:tcPr>
            <w:tcW w:w="6629" w:type="dxa"/>
          </w:tcPr>
          <w:p w:rsidR="008D4609" w:rsidRDefault="00B77832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Redovni</w:t>
            </w:r>
            <w:proofErr w:type="spellEnd"/>
            <w:r>
              <w:t xml:space="preserve"> </w:t>
            </w:r>
            <w:proofErr w:type="spellStart"/>
            <w:r>
              <w:t>sastanci</w:t>
            </w:r>
            <w:proofErr w:type="spellEnd"/>
            <w:r>
              <w:t xml:space="preserve"> </w:t>
            </w:r>
            <w:proofErr w:type="spellStart"/>
            <w:r>
              <w:t>vijećnika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  <w:r>
              <w:t xml:space="preserve"> u </w:t>
            </w:r>
            <w:proofErr w:type="spellStart"/>
            <w:r>
              <w:t>Općinskom</w:t>
            </w:r>
            <w:proofErr w:type="spellEnd"/>
            <w:r>
              <w:t xml:space="preserve"> </w:t>
            </w:r>
            <w:proofErr w:type="spellStart"/>
            <w:r>
              <w:t>vijeću</w:t>
            </w:r>
            <w:proofErr w:type="spellEnd"/>
          </w:p>
        </w:tc>
        <w:tc>
          <w:tcPr>
            <w:tcW w:w="1417" w:type="dxa"/>
          </w:tcPr>
          <w:p w:rsidR="008D4609" w:rsidRDefault="00B77832" w:rsidP="00CB0323">
            <w:pPr>
              <w:tabs>
                <w:tab w:val="left" w:pos="1094"/>
              </w:tabs>
              <w:jc w:val="center"/>
            </w:pPr>
            <w:r>
              <w:t>41</w:t>
            </w:r>
          </w:p>
        </w:tc>
        <w:tc>
          <w:tcPr>
            <w:tcW w:w="1576" w:type="dxa"/>
          </w:tcPr>
          <w:p w:rsidR="008D4609" w:rsidRDefault="00B77832" w:rsidP="00B77832">
            <w:pPr>
              <w:tabs>
                <w:tab w:val="left" w:pos="1094"/>
              </w:tabs>
              <w:jc w:val="center"/>
            </w:pPr>
            <w:r>
              <w:t>13</w:t>
            </w:r>
            <w:r w:rsidR="008D4609">
              <w:t>,</w:t>
            </w:r>
            <w:r>
              <w:t>67</w:t>
            </w:r>
            <w:r w:rsidR="008D4609">
              <w:t>%</w:t>
            </w:r>
          </w:p>
        </w:tc>
      </w:tr>
      <w:tr w:rsidR="008D4609" w:rsidTr="008D4609">
        <w:tc>
          <w:tcPr>
            <w:tcW w:w="6629" w:type="dxa"/>
          </w:tcPr>
          <w:p w:rsidR="008D4609" w:rsidRDefault="00B77832" w:rsidP="00B77832">
            <w:pPr>
              <w:tabs>
                <w:tab w:val="left" w:pos="1094"/>
              </w:tabs>
              <w:jc w:val="center"/>
            </w:pPr>
            <w:proofErr w:type="spellStart"/>
            <w:r>
              <w:t>Redovni</w:t>
            </w:r>
            <w:proofErr w:type="spellEnd"/>
            <w:r>
              <w:t xml:space="preserve"> </w:t>
            </w:r>
            <w:proofErr w:type="spellStart"/>
            <w:r>
              <w:t>sastanci</w:t>
            </w:r>
            <w:proofErr w:type="spellEnd"/>
            <w:r>
              <w:t xml:space="preserve"> </w:t>
            </w:r>
            <w:proofErr w:type="spellStart"/>
            <w:r>
              <w:t>vijećnika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  <w:r>
              <w:t xml:space="preserve"> u </w:t>
            </w:r>
            <w:proofErr w:type="spellStart"/>
            <w:r>
              <w:t>mjesnim</w:t>
            </w:r>
            <w:proofErr w:type="spellEnd"/>
            <w:r>
              <w:t xml:space="preserve"> </w:t>
            </w:r>
            <w:proofErr w:type="spellStart"/>
            <w:r>
              <w:t>zajednicama</w:t>
            </w:r>
            <w:proofErr w:type="spellEnd"/>
          </w:p>
        </w:tc>
        <w:tc>
          <w:tcPr>
            <w:tcW w:w="1417" w:type="dxa"/>
          </w:tcPr>
          <w:p w:rsidR="008D4609" w:rsidRDefault="00B77832" w:rsidP="00CB0323">
            <w:pPr>
              <w:tabs>
                <w:tab w:val="left" w:pos="1094"/>
              </w:tabs>
              <w:jc w:val="center"/>
            </w:pPr>
            <w:r>
              <w:t>169</w:t>
            </w:r>
          </w:p>
        </w:tc>
        <w:tc>
          <w:tcPr>
            <w:tcW w:w="1576" w:type="dxa"/>
          </w:tcPr>
          <w:p w:rsidR="008D4609" w:rsidRDefault="00B77832" w:rsidP="00B77832">
            <w:pPr>
              <w:tabs>
                <w:tab w:val="left" w:pos="1094"/>
              </w:tabs>
              <w:jc w:val="center"/>
            </w:pPr>
            <w:r>
              <w:t>56</w:t>
            </w:r>
            <w:r w:rsidR="008D4609">
              <w:t>,</w:t>
            </w:r>
            <w:r>
              <w:t>33</w:t>
            </w:r>
            <w:r w:rsidR="008D4609">
              <w:t>%</w:t>
            </w:r>
          </w:p>
        </w:tc>
      </w:tr>
      <w:tr w:rsidR="00B77832" w:rsidTr="008D4609">
        <w:tc>
          <w:tcPr>
            <w:tcW w:w="6629" w:type="dxa"/>
          </w:tcPr>
          <w:p w:rsidR="00B77832" w:rsidRDefault="00B77832" w:rsidP="00CB0323">
            <w:pPr>
              <w:tabs>
                <w:tab w:val="left" w:pos="1094"/>
              </w:tabs>
              <w:jc w:val="center"/>
            </w:pPr>
            <w:proofErr w:type="spellStart"/>
            <w:r>
              <w:t>Redovni</w:t>
            </w:r>
            <w:proofErr w:type="spellEnd"/>
            <w:r>
              <w:t xml:space="preserve"> termini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OV 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</w:p>
        </w:tc>
        <w:tc>
          <w:tcPr>
            <w:tcW w:w="1417" w:type="dxa"/>
          </w:tcPr>
          <w:p w:rsidR="00B77832" w:rsidRDefault="00B77832" w:rsidP="00CB0323">
            <w:pPr>
              <w:tabs>
                <w:tab w:val="left" w:pos="1094"/>
              </w:tabs>
              <w:jc w:val="center"/>
            </w:pPr>
            <w:r>
              <w:t>47</w:t>
            </w:r>
          </w:p>
        </w:tc>
        <w:tc>
          <w:tcPr>
            <w:tcW w:w="1576" w:type="dxa"/>
          </w:tcPr>
          <w:p w:rsidR="00B77832" w:rsidRDefault="00B77832" w:rsidP="00CB0323">
            <w:pPr>
              <w:tabs>
                <w:tab w:val="left" w:pos="1094"/>
              </w:tabs>
              <w:jc w:val="center"/>
            </w:pPr>
            <w:r>
              <w:t>15,67%</w:t>
            </w:r>
          </w:p>
        </w:tc>
      </w:tr>
      <w:tr w:rsidR="00B77832" w:rsidTr="008D4609">
        <w:tc>
          <w:tcPr>
            <w:tcW w:w="6629" w:type="dxa"/>
          </w:tcPr>
          <w:p w:rsidR="00B77832" w:rsidRDefault="00B77832" w:rsidP="00CB0323">
            <w:pPr>
              <w:tabs>
                <w:tab w:val="left" w:pos="1094"/>
              </w:tabs>
              <w:jc w:val="center"/>
            </w:pPr>
            <w:r>
              <w:t xml:space="preserve">Internet </w:t>
            </w:r>
            <w:proofErr w:type="spellStart"/>
            <w:r>
              <w:t>komunikacija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I </w:t>
            </w:r>
            <w:proofErr w:type="spellStart"/>
            <w:r>
              <w:t>vijećnika</w:t>
            </w:r>
            <w:proofErr w:type="spellEnd"/>
          </w:p>
        </w:tc>
        <w:tc>
          <w:tcPr>
            <w:tcW w:w="1417" w:type="dxa"/>
          </w:tcPr>
          <w:p w:rsidR="00B77832" w:rsidRDefault="00B77832" w:rsidP="00CB0323">
            <w:pPr>
              <w:tabs>
                <w:tab w:val="left" w:pos="1094"/>
              </w:tabs>
              <w:jc w:val="center"/>
            </w:pPr>
            <w:r>
              <w:t>33</w:t>
            </w:r>
          </w:p>
        </w:tc>
        <w:tc>
          <w:tcPr>
            <w:tcW w:w="1576" w:type="dxa"/>
          </w:tcPr>
          <w:p w:rsidR="00B77832" w:rsidRDefault="00B77832" w:rsidP="00CB0323">
            <w:pPr>
              <w:tabs>
                <w:tab w:val="left" w:pos="1094"/>
              </w:tabs>
              <w:jc w:val="center"/>
            </w:pPr>
            <w:r>
              <w:t>11,00%</w:t>
            </w:r>
          </w:p>
        </w:tc>
      </w:tr>
      <w:tr w:rsidR="008D4609" w:rsidTr="008D4609">
        <w:tc>
          <w:tcPr>
            <w:tcW w:w="6629" w:type="dxa"/>
          </w:tcPr>
          <w:p w:rsidR="008D4609" w:rsidRDefault="00CB0323" w:rsidP="00CB0323">
            <w:pPr>
              <w:tabs>
                <w:tab w:val="left" w:pos="1094"/>
              </w:tabs>
              <w:jc w:val="center"/>
            </w:pPr>
            <w:proofErr w:type="spellStart"/>
            <w:r w:rsidRPr="00CB0323">
              <w:t>Ukupno</w:t>
            </w:r>
            <w:proofErr w:type="spellEnd"/>
          </w:p>
        </w:tc>
        <w:tc>
          <w:tcPr>
            <w:tcW w:w="1417" w:type="dxa"/>
          </w:tcPr>
          <w:p w:rsidR="008D4609" w:rsidRDefault="008D4609" w:rsidP="00CB0323">
            <w:pPr>
              <w:tabs>
                <w:tab w:val="left" w:pos="1094"/>
              </w:tabs>
              <w:jc w:val="center"/>
            </w:pPr>
            <w:r>
              <w:t>300</w:t>
            </w:r>
          </w:p>
        </w:tc>
        <w:tc>
          <w:tcPr>
            <w:tcW w:w="1576" w:type="dxa"/>
          </w:tcPr>
          <w:p w:rsidR="008D4609" w:rsidRDefault="008D4609" w:rsidP="00CB0323">
            <w:pPr>
              <w:tabs>
                <w:tab w:val="left" w:pos="1094"/>
              </w:tabs>
              <w:jc w:val="center"/>
            </w:pPr>
            <w:r>
              <w:t>100 %</w:t>
            </w:r>
          </w:p>
        </w:tc>
      </w:tr>
    </w:tbl>
    <w:p w:rsidR="008D4609" w:rsidRDefault="008D4609" w:rsidP="008D4609">
      <w:pPr>
        <w:ind w:firstLine="720"/>
      </w:pPr>
    </w:p>
    <w:p w:rsidR="00B77832" w:rsidRDefault="00B77832" w:rsidP="008D4609">
      <w:pPr>
        <w:ind w:firstLine="720"/>
      </w:pPr>
    </w:p>
    <w:p w:rsidR="00B77832" w:rsidRDefault="00B77832" w:rsidP="008D4609">
      <w:pPr>
        <w:ind w:firstLine="720"/>
      </w:pPr>
    </w:p>
    <w:p w:rsidR="006C572E" w:rsidRDefault="006C572E" w:rsidP="008D4609">
      <w:pPr>
        <w:ind w:firstLine="720"/>
      </w:pPr>
    </w:p>
    <w:p w:rsidR="005A1652" w:rsidRDefault="005A1652" w:rsidP="008D4609">
      <w:pPr>
        <w:ind w:firstLine="720"/>
      </w:pPr>
    </w:p>
    <w:p w:rsidR="00FE1555" w:rsidRDefault="00FE1555" w:rsidP="008D4609">
      <w:pPr>
        <w:ind w:firstLine="720"/>
      </w:pPr>
    </w:p>
    <w:p w:rsidR="00FE1555" w:rsidRDefault="00FE1555" w:rsidP="008D4609">
      <w:pPr>
        <w:ind w:firstLine="720"/>
      </w:pPr>
    </w:p>
    <w:p w:rsidR="00B77832" w:rsidRPr="007D5B66" w:rsidRDefault="00B77832" w:rsidP="00B7783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7D5B66">
        <w:rPr>
          <w:b/>
          <w:sz w:val="32"/>
          <w:szCs w:val="32"/>
        </w:rPr>
        <w:lastRenderedPageBreak/>
        <w:t>Prijedlozi</w:t>
      </w:r>
      <w:proofErr w:type="spellEnd"/>
      <w:r w:rsidRPr="007D5B66">
        <w:rPr>
          <w:b/>
          <w:sz w:val="32"/>
          <w:szCs w:val="32"/>
        </w:rPr>
        <w:t xml:space="preserve"> </w:t>
      </w:r>
      <w:proofErr w:type="spellStart"/>
      <w:r w:rsidRPr="007D5B66">
        <w:rPr>
          <w:b/>
          <w:sz w:val="32"/>
          <w:szCs w:val="32"/>
        </w:rPr>
        <w:t>za</w:t>
      </w:r>
      <w:proofErr w:type="spellEnd"/>
      <w:r w:rsidRPr="007D5B66">
        <w:rPr>
          <w:b/>
          <w:sz w:val="32"/>
          <w:szCs w:val="32"/>
        </w:rPr>
        <w:t xml:space="preserve"> </w:t>
      </w:r>
      <w:proofErr w:type="spellStart"/>
      <w:r w:rsidRPr="007D5B66">
        <w:rPr>
          <w:b/>
          <w:sz w:val="32"/>
          <w:szCs w:val="32"/>
        </w:rPr>
        <w:t>unapređenje</w:t>
      </w:r>
      <w:proofErr w:type="spellEnd"/>
      <w:r w:rsidRPr="007D5B66">
        <w:rPr>
          <w:b/>
          <w:sz w:val="32"/>
          <w:szCs w:val="32"/>
        </w:rPr>
        <w:t xml:space="preserve"> </w:t>
      </w:r>
      <w:proofErr w:type="spellStart"/>
      <w:r w:rsidRPr="007D5B66">
        <w:rPr>
          <w:b/>
          <w:sz w:val="32"/>
          <w:szCs w:val="32"/>
        </w:rPr>
        <w:t>rada</w:t>
      </w:r>
      <w:proofErr w:type="spellEnd"/>
      <w:r w:rsidRPr="007D5B66">
        <w:rPr>
          <w:b/>
          <w:sz w:val="32"/>
          <w:szCs w:val="32"/>
        </w:rPr>
        <w:t xml:space="preserve"> </w:t>
      </w:r>
      <w:proofErr w:type="spellStart"/>
      <w:r w:rsidRPr="007D5B66">
        <w:rPr>
          <w:b/>
          <w:sz w:val="32"/>
          <w:szCs w:val="32"/>
        </w:rPr>
        <w:t>Općinskog</w:t>
      </w:r>
      <w:proofErr w:type="spellEnd"/>
      <w:r w:rsidRPr="007D5B66">
        <w:rPr>
          <w:b/>
          <w:sz w:val="32"/>
          <w:szCs w:val="32"/>
        </w:rPr>
        <w:t xml:space="preserve"> </w:t>
      </w:r>
      <w:proofErr w:type="spellStart"/>
      <w:r w:rsidRPr="007D5B66">
        <w:rPr>
          <w:b/>
          <w:sz w:val="32"/>
          <w:szCs w:val="32"/>
        </w:rPr>
        <w:t>vijeća</w:t>
      </w:r>
      <w:proofErr w:type="spellEnd"/>
      <w:r w:rsidRPr="007D5B66">
        <w:rPr>
          <w:b/>
          <w:sz w:val="32"/>
          <w:szCs w:val="32"/>
        </w:rPr>
        <w:t>:</w:t>
      </w:r>
    </w:p>
    <w:p w:rsidR="00B77832" w:rsidRDefault="00B77832" w:rsidP="00B77832"/>
    <w:p w:rsidR="00B77832" w:rsidRDefault="00B77832" w:rsidP="00B77832">
      <w:pPr>
        <w:pStyle w:val="ListParagraph"/>
        <w:numPr>
          <w:ilvl w:val="0"/>
          <w:numId w:val="3"/>
        </w:numPr>
      </w:pPr>
      <w:proofErr w:type="spellStart"/>
      <w:r>
        <w:t>Redovna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vijećnika</w:t>
      </w:r>
      <w:proofErr w:type="spellEnd"/>
    </w:p>
    <w:p w:rsidR="00B77832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Nagrađivanje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diskusija</w:t>
      </w:r>
      <w:proofErr w:type="spellEnd"/>
      <w:r>
        <w:t xml:space="preserve"> I </w:t>
      </w:r>
      <w:proofErr w:type="spellStart"/>
      <w:r>
        <w:t>inicijativa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Uvesti</w:t>
      </w:r>
      <w:proofErr w:type="spellEnd"/>
      <w:r>
        <w:t xml:space="preserve"> </w:t>
      </w:r>
      <w:proofErr w:type="spellStart"/>
      <w:r>
        <w:t>redovan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sat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građane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Kažnjavati</w:t>
      </w:r>
      <w:proofErr w:type="spellEnd"/>
      <w:r>
        <w:t xml:space="preserve"> </w:t>
      </w:r>
      <w:proofErr w:type="spellStart"/>
      <w:r>
        <w:t>vijećnike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sastancima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r>
        <w:t xml:space="preserve">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gledati</w:t>
      </w:r>
      <w:proofErr w:type="spellEnd"/>
      <w:r>
        <w:t xml:space="preserve"> </w:t>
      </w:r>
      <w:proofErr w:type="spellStart"/>
      <w:r>
        <w:t>stranačku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 I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cjelokupnu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građane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strateškim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 w:rsidR="003D3588">
        <w:t>i</w:t>
      </w:r>
      <w:proofErr w:type="spellEnd"/>
      <w:r>
        <w:t xml:space="preserve"> </w:t>
      </w:r>
      <w:proofErr w:type="spellStart"/>
      <w:r>
        <w:t>usvojenim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planovima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web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vijećnicima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Organizovati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sastanke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 w:rsidR="003D3588"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mjesnim</w:t>
      </w:r>
      <w:proofErr w:type="spellEnd"/>
      <w:r>
        <w:t xml:space="preserve"> </w:t>
      </w:r>
      <w:proofErr w:type="spellStart"/>
      <w:r>
        <w:t>zajednicama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Organizovati</w:t>
      </w:r>
      <w:proofErr w:type="spellEnd"/>
      <w:r>
        <w:t xml:space="preserve"> TV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sjednica</w:t>
      </w:r>
      <w:proofErr w:type="spellEnd"/>
    </w:p>
    <w:p w:rsidR="007D5B66" w:rsidRDefault="007D5B66" w:rsidP="00B77832">
      <w:pPr>
        <w:pStyle w:val="ListParagraph"/>
        <w:numPr>
          <w:ilvl w:val="0"/>
          <w:numId w:val="3"/>
        </w:numPr>
      </w:pPr>
      <w:proofErr w:type="spellStart"/>
      <w:r>
        <w:t>Smanjiti</w:t>
      </w:r>
      <w:proofErr w:type="spellEnd"/>
      <w:r>
        <w:t xml:space="preserve"> </w:t>
      </w:r>
      <w:proofErr w:type="spellStart"/>
      <w:r>
        <w:t>paušale</w:t>
      </w:r>
      <w:proofErr w:type="spellEnd"/>
    </w:p>
    <w:p w:rsidR="00413CC6" w:rsidRDefault="00413CC6" w:rsidP="00B77832">
      <w:pPr>
        <w:pStyle w:val="ListParagraph"/>
        <w:numPr>
          <w:ilvl w:val="0"/>
          <w:numId w:val="3"/>
        </w:numPr>
      </w:pPr>
      <w:proofErr w:type="spellStart"/>
      <w:r>
        <w:t>Da</w:t>
      </w:r>
      <w:proofErr w:type="spellEnd"/>
      <w:r>
        <w:t xml:space="preserve"> se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inicijativama</w:t>
      </w:r>
      <w:proofErr w:type="spellEnd"/>
      <w:r>
        <w:t xml:space="preserve">, </w:t>
      </w:r>
      <w:proofErr w:type="spellStart"/>
      <w:r>
        <w:t>prijedlozima</w:t>
      </w:r>
      <w:proofErr w:type="spellEnd"/>
      <w:r>
        <w:t xml:space="preserve">, </w:t>
      </w:r>
      <w:proofErr w:type="spellStart"/>
      <w:r>
        <w:t>diskusijama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>.</w:t>
      </w:r>
    </w:p>
    <w:p w:rsidR="00413CC6" w:rsidRDefault="00413CC6" w:rsidP="00413CC6"/>
    <w:p w:rsidR="00413CC6" w:rsidRDefault="00413CC6" w:rsidP="00413CC6"/>
    <w:p w:rsidR="00413CC6" w:rsidRDefault="00413CC6" w:rsidP="00413CC6">
      <w:pPr>
        <w:rPr>
          <w:b/>
        </w:rPr>
      </w:pPr>
      <w:proofErr w:type="spellStart"/>
      <w:r w:rsidRPr="00413CC6">
        <w:rPr>
          <w:b/>
        </w:rPr>
        <w:t>Zaključak</w:t>
      </w:r>
      <w:proofErr w:type="spellEnd"/>
      <w:r w:rsidRPr="00413CC6">
        <w:rPr>
          <w:b/>
        </w:rPr>
        <w:t xml:space="preserve"> </w:t>
      </w:r>
      <w:proofErr w:type="spellStart"/>
      <w:r w:rsidRPr="00413CC6">
        <w:rPr>
          <w:b/>
        </w:rPr>
        <w:t>istraživanja</w:t>
      </w:r>
      <w:proofErr w:type="spellEnd"/>
      <w:r w:rsidRPr="00413CC6">
        <w:rPr>
          <w:b/>
        </w:rPr>
        <w:t>:</w:t>
      </w:r>
    </w:p>
    <w:p w:rsidR="00413CC6" w:rsidRDefault="00413CC6" w:rsidP="00413CC6">
      <w:pPr>
        <w:rPr>
          <w:b/>
        </w:rPr>
      </w:pPr>
    </w:p>
    <w:p w:rsidR="00413CC6" w:rsidRDefault="00413CC6" w:rsidP="00CB0323">
      <w:pPr>
        <w:jc w:val="both"/>
        <w:rPr>
          <w:b/>
        </w:rPr>
      </w:pPr>
      <w:proofErr w:type="spellStart"/>
      <w:r>
        <w:rPr>
          <w:b/>
        </w:rPr>
        <w:t>Radni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</w:t>
      </w:r>
      <w:proofErr w:type="spellEnd"/>
      <w:r>
        <w:rPr>
          <w:b/>
        </w:rPr>
        <w:t xml:space="preserve"> MEG II </w:t>
      </w:r>
      <w:proofErr w:type="spellStart"/>
      <w:r>
        <w:rPr>
          <w:b/>
        </w:rPr>
        <w:t>zajedno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predstavnicima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poduzetništvo</w:t>
      </w:r>
      <w:proofErr w:type="spellEnd"/>
      <w:r>
        <w:rPr>
          <w:b/>
        </w:rPr>
        <w:t xml:space="preserve"> </w:t>
      </w:r>
      <w:proofErr w:type="spellStart"/>
      <w:r w:rsidR="00CB0323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financije</w:t>
      </w:r>
      <w:proofErr w:type="spellEnd"/>
      <w:r>
        <w:rPr>
          <w:b/>
        </w:rPr>
        <w:t xml:space="preserve"> </w:t>
      </w:r>
      <w:proofErr w:type="spellStart"/>
      <w:r w:rsidR="00CB0323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predstavnicima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društvene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djelatnosti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analizirao</w:t>
      </w:r>
      <w:proofErr w:type="spellEnd"/>
      <w:proofErr w:type="gramEnd"/>
      <w:r>
        <w:rPr>
          <w:b/>
        </w:rPr>
        <w:t xml:space="preserve"> je </w:t>
      </w:r>
      <w:proofErr w:type="spellStart"/>
      <w:r>
        <w:rPr>
          <w:b/>
        </w:rPr>
        <w:t>rezultate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ankete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zadovoljstvu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sastavio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zaključke</w:t>
      </w:r>
      <w:proofErr w:type="spellEnd"/>
      <w:r>
        <w:rPr>
          <w:b/>
        </w:rPr>
        <w:t>:</w:t>
      </w:r>
    </w:p>
    <w:p w:rsidR="00413CC6" w:rsidRDefault="00413CC6" w:rsidP="00CB0323">
      <w:pPr>
        <w:jc w:val="both"/>
        <w:rPr>
          <w:b/>
        </w:rPr>
      </w:pPr>
    </w:p>
    <w:p w:rsidR="00413CC6" w:rsidRDefault="00413CC6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anketi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zastupljena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čime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ispoštovana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jednakost</w:t>
      </w:r>
      <w:proofErr w:type="spellEnd"/>
    </w:p>
    <w:p w:rsidR="00413CC6" w:rsidRDefault="00413CC6" w:rsidP="00413CC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Najviše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anketirano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35 do 65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najbrojnija</w:t>
      </w:r>
      <w:proofErr w:type="spellEnd"/>
    </w:p>
    <w:p w:rsidR="00413CC6" w:rsidRDefault="00413CC6" w:rsidP="00413CC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Anketom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obuhvaćena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područja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svih</w:t>
      </w:r>
      <w:proofErr w:type="spellEnd"/>
      <w:r>
        <w:rPr>
          <w:b/>
        </w:rPr>
        <w:t xml:space="preserve"> pet </w:t>
      </w:r>
      <w:proofErr w:type="spellStart"/>
      <w:r>
        <w:rPr>
          <w:b/>
        </w:rPr>
        <w:t>mjesnih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zajednica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pazeći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na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urbani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dio</w:t>
      </w:r>
      <w:proofErr w:type="spellEnd"/>
      <w:r w:rsidR="000C7FB1">
        <w:rPr>
          <w:b/>
        </w:rPr>
        <w:t xml:space="preserve"> ( </w:t>
      </w:r>
      <w:proofErr w:type="spellStart"/>
      <w:r w:rsidR="000C7FB1">
        <w:rPr>
          <w:b/>
        </w:rPr>
        <w:t>centri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naselja</w:t>
      </w:r>
      <w:proofErr w:type="spellEnd"/>
      <w:r w:rsidR="000C7FB1">
        <w:rPr>
          <w:b/>
        </w:rPr>
        <w:t xml:space="preserve"> </w:t>
      </w:r>
      <w:proofErr w:type="spellStart"/>
      <w:r w:rsidR="00CB0323">
        <w:rPr>
          <w:b/>
        </w:rPr>
        <w:t>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domaćinstva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uz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putne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komunikacije</w:t>
      </w:r>
      <w:proofErr w:type="spellEnd"/>
      <w:r w:rsidR="000C7FB1">
        <w:rPr>
          <w:b/>
        </w:rPr>
        <w:t xml:space="preserve">) </w:t>
      </w:r>
      <w:proofErr w:type="spellStart"/>
      <w:r w:rsidR="00CB0323">
        <w:rPr>
          <w:b/>
        </w:rPr>
        <w:t>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ruralni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dio</w:t>
      </w:r>
      <w:proofErr w:type="spellEnd"/>
      <w:r w:rsidR="000C7FB1">
        <w:rPr>
          <w:b/>
        </w:rPr>
        <w:t xml:space="preserve"> ( </w:t>
      </w:r>
      <w:proofErr w:type="spellStart"/>
      <w:r w:rsidR="000C7FB1">
        <w:rPr>
          <w:b/>
        </w:rPr>
        <w:t>građani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koji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žive</w:t>
      </w:r>
      <w:proofErr w:type="spellEnd"/>
      <w:r w:rsidR="000C7FB1">
        <w:rPr>
          <w:b/>
        </w:rPr>
        <w:t xml:space="preserve"> u </w:t>
      </w:r>
      <w:proofErr w:type="spellStart"/>
      <w:r w:rsidR="000C7FB1">
        <w:rPr>
          <w:b/>
        </w:rPr>
        <w:t>brdnim</w:t>
      </w:r>
      <w:proofErr w:type="spellEnd"/>
      <w:r w:rsidR="000C7FB1">
        <w:rPr>
          <w:b/>
        </w:rPr>
        <w:t xml:space="preserve"> </w:t>
      </w:r>
      <w:proofErr w:type="spellStart"/>
      <w:r w:rsidR="000C7FB1">
        <w:rPr>
          <w:b/>
        </w:rPr>
        <w:t>naseljima</w:t>
      </w:r>
      <w:proofErr w:type="spellEnd"/>
      <w:r w:rsidR="000C7FB1">
        <w:rPr>
          <w:b/>
        </w:rPr>
        <w:t>)</w:t>
      </w:r>
    </w:p>
    <w:p w:rsidR="000C7FB1" w:rsidRDefault="000C7FB1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1  </w:t>
      </w:r>
      <w:proofErr w:type="spellStart"/>
      <w:r>
        <w:rPr>
          <w:b/>
        </w:rPr>
        <w:t>više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75% </w:t>
      </w:r>
      <w:proofErr w:type="spellStart"/>
      <w:r>
        <w:rPr>
          <w:b/>
        </w:rPr>
        <w:t>ispitanika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upoznato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.</w:t>
      </w:r>
    </w:p>
    <w:p w:rsidR="000C7FB1" w:rsidRDefault="000C7FB1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2. </w:t>
      </w:r>
      <w:proofErr w:type="spellStart"/>
      <w:proofErr w:type="gramStart"/>
      <w:r w:rsidR="00CB0323">
        <w:rPr>
          <w:b/>
        </w:rPr>
        <w:t>v</w:t>
      </w:r>
      <w:r>
        <w:rPr>
          <w:b/>
        </w:rPr>
        <w:t>ećina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anketiranih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dostupnost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</w:t>
      </w:r>
      <w:r w:rsidR="00CB0323">
        <w:rPr>
          <w:b/>
        </w:rPr>
        <w:t xml:space="preserve"> </w:t>
      </w:r>
      <w:proofErr w:type="spellStart"/>
      <w:r w:rsidR="00CB0323">
        <w:rPr>
          <w:b/>
        </w:rPr>
        <w:t>p</w:t>
      </w:r>
      <w:r w:rsidR="00AA126F">
        <w:rPr>
          <w:b/>
        </w:rPr>
        <w:t>utem</w:t>
      </w:r>
      <w:proofErr w:type="spellEnd"/>
      <w:r w:rsidR="00AA126F">
        <w:rPr>
          <w:b/>
        </w:rPr>
        <w:t xml:space="preserve"> </w:t>
      </w:r>
      <w:proofErr w:type="spellStart"/>
      <w:r w:rsidR="00AA126F">
        <w:rPr>
          <w:b/>
        </w:rPr>
        <w:t>iz</w:t>
      </w:r>
      <w:r w:rsidR="00CB0323">
        <w:rPr>
          <w:b/>
        </w:rPr>
        <w:t>v</w:t>
      </w:r>
      <w:r w:rsidR="00AA126F">
        <w:rPr>
          <w:b/>
        </w:rPr>
        <w:t>ještaja</w:t>
      </w:r>
      <w:proofErr w:type="spellEnd"/>
      <w:r w:rsidR="00AA126F">
        <w:rPr>
          <w:b/>
        </w:rPr>
        <w:t xml:space="preserve"> </w:t>
      </w:r>
      <w:proofErr w:type="spellStart"/>
      <w:r w:rsidR="00AA126F">
        <w:rPr>
          <w:b/>
        </w:rPr>
        <w:t>na</w:t>
      </w:r>
      <w:proofErr w:type="spellEnd"/>
      <w:r w:rsidR="00AA126F">
        <w:rPr>
          <w:b/>
        </w:rPr>
        <w:t xml:space="preserve"> web </w:t>
      </w:r>
      <w:proofErr w:type="spellStart"/>
      <w:r w:rsidR="00AA126F">
        <w:rPr>
          <w:b/>
        </w:rPr>
        <w:t>stranici</w:t>
      </w:r>
      <w:proofErr w:type="spellEnd"/>
      <w:r w:rsidR="003D3588">
        <w:rPr>
          <w:b/>
        </w:rPr>
        <w:t xml:space="preserve"> I </w:t>
      </w:r>
      <w:proofErr w:type="spellStart"/>
      <w:r w:rsidR="003D3588">
        <w:rPr>
          <w:b/>
        </w:rPr>
        <w:t>ličnim</w:t>
      </w:r>
      <w:proofErr w:type="spellEnd"/>
      <w:r w:rsidR="003D3588">
        <w:rPr>
          <w:b/>
        </w:rPr>
        <w:t xml:space="preserve"> </w:t>
      </w:r>
      <w:proofErr w:type="spellStart"/>
      <w:r w:rsidR="003D3588">
        <w:rPr>
          <w:b/>
        </w:rPr>
        <w:t>kontaktima</w:t>
      </w:r>
      <w:proofErr w:type="spellEnd"/>
      <w:r w:rsidR="003D3588">
        <w:rPr>
          <w:b/>
        </w:rPr>
        <w:t xml:space="preserve"> </w:t>
      </w:r>
      <w:proofErr w:type="spellStart"/>
      <w:r w:rsidR="003D3588">
        <w:rPr>
          <w:b/>
        </w:rPr>
        <w:t>sa</w:t>
      </w:r>
      <w:proofErr w:type="spellEnd"/>
      <w:r w:rsidR="003D3588">
        <w:rPr>
          <w:b/>
        </w:rPr>
        <w:t xml:space="preserve"> </w:t>
      </w:r>
      <w:proofErr w:type="spellStart"/>
      <w:r w:rsidR="003D3588">
        <w:rPr>
          <w:b/>
        </w:rPr>
        <w:t>vijećnicima</w:t>
      </w:r>
      <w:proofErr w:type="spellEnd"/>
      <w:r w:rsidR="003D3588">
        <w:rPr>
          <w:b/>
        </w:rPr>
        <w:t>.</w:t>
      </w:r>
    </w:p>
    <w:p w:rsidR="00AA126F" w:rsidRDefault="00AA126F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3</w:t>
      </w:r>
      <w:r w:rsidR="006C572E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 w:rsidR="006C572E">
        <w:rPr>
          <w:b/>
        </w:rPr>
        <w:t>i</w:t>
      </w:r>
      <w:proofErr w:type="spellEnd"/>
      <w:proofErr w:type="gramEnd"/>
      <w:r>
        <w:rPr>
          <w:b/>
        </w:rPr>
        <w:t xml:space="preserve"> 4</w:t>
      </w:r>
      <w:r w:rsidR="006C572E">
        <w:rPr>
          <w:b/>
        </w:rPr>
        <w:t xml:space="preserve">. </w:t>
      </w:r>
      <w:r>
        <w:rPr>
          <w:b/>
        </w:rPr>
        <w:t xml:space="preserve"> </w:t>
      </w:r>
      <w:proofErr w:type="spellStart"/>
      <w:r>
        <w:rPr>
          <w:b/>
        </w:rPr>
        <w:t>većina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vijećnici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</w:t>
      </w:r>
      <w:r w:rsidR="006C572E">
        <w:rPr>
          <w:b/>
        </w:rPr>
        <w:t>pćinskom</w:t>
      </w:r>
      <w:proofErr w:type="spellEnd"/>
      <w:r w:rsidR="006C572E">
        <w:rPr>
          <w:b/>
        </w:rPr>
        <w:t xml:space="preserve"> </w:t>
      </w:r>
      <w:proofErr w:type="spellStart"/>
      <w:r w:rsidR="006C572E">
        <w:rPr>
          <w:b/>
        </w:rPr>
        <w:t>vijeću</w:t>
      </w:r>
      <w:proofErr w:type="spellEnd"/>
      <w:r w:rsidR="006C572E">
        <w:rPr>
          <w:b/>
        </w:rPr>
        <w:t xml:space="preserve"> </w:t>
      </w:r>
      <w:proofErr w:type="spellStart"/>
      <w:r w:rsidR="006C572E">
        <w:rPr>
          <w:b/>
        </w:rPr>
        <w:t>općine</w:t>
      </w:r>
      <w:proofErr w:type="spellEnd"/>
      <w:r w:rsidR="006C572E">
        <w:rPr>
          <w:b/>
        </w:rPr>
        <w:t xml:space="preserve"> </w:t>
      </w:r>
      <w:proofErr w:type="spellStart"/>
      <w:r w:rsidR="006C572E">
        <w:rPr>
          <w:b/>
        </w:rPr>
        <w:t>Doboj</w:t>
      </w:r>
      <w:proofErr w:type="spellEnd"/>
      <w:r w:rsidR="006C572E">
        <w:rPr>
          <w:b/>
        </w:rPr>
        <w:t xml:space="preserve"> </w:t>
      </w:r>
      <w:proofErr w:type="spellStart"/>
      <w:r w:rsidR="006C572E">
        <w:rPr>
          <w:b/>
        </w:rPr>
        <w:t>Istok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zaključujemo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solidna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informisanost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saradnja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vijećnika</w:t>
      </w:r>
      <w:proofErr w:type="spellEnd"/>
    </w:p>
    <w:p w:rsidR="00AA126F" w:rsidRDefault="00AA126F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5</w:t>
      </w:r>
      <w:r w:rsidR="006C572E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 w:rsidR="006C572E">
        <w:rPr>
          <w:b/>
        </w:rPr>
        <w:t>i</w:t>
      </w:r>
      <w:proofErr w:type="spellEnd"/>
      <w:proofErr w:type="gramEnd"/>
      <w:r>
        <w:rPr>
          <w:b/>
        </w:rPr>
        <w:t xml:space="preserve"> 6</w:t>
      </w:r>
      <w:r w:rsidR="006C572E">
        <w:rPr>
          <w:b/>
        </w:rPr>
        <w:t xml:space="preserve">. </w:t>
      </w:r>
      <w:r>
        <w:rPr>
          <w:b/>
        </w:rPr>
        <w:t xml:space="preserve"> </w:t>
      </w:r>
      <w:proofErr w:type="spellStart"/>
      <w:r>
        <w:rPr>
          <w:b/>
        </w:rPr>
        <w:t>većina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anketiranih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stupila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kontakt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vijećnicima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lagan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možemo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općini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transparentan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aktivizam</w:t>
      </w:r>
      <w:proofErr w:type="spellEnd"/>
    </w:p>
    <w:p w:rsidR="00AA126F" w:rsidRDefault="00AA126F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7</w:t>
      </w:r>
      <w:r w:rsidR="006C572E">
        <w:rPr>
          <w:b/>
        </w:rPr>
        <w:t>.</w:t>
      </w:r>
      <w:r>
        <w:rPr>
          <w:b/>
        </w:rPr>
        <w:t xml:space="preserve"> a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odnosi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vijećnika</w:t>
      </w:r>
      <w:proofErr w:type="spellEnd"/>
      <w:r w:rsidR="000A319E"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300 </w:t>
      </w:r>
      <w:proofErr w:type="spellStart"/>
      <w:r>
        <w:rPr>
          <w:b/>
        </w:rPr>
        <w:t>ispitanika</w:t>
      </w:r>
      <w:proofErr w:type="spellEnd"/>
      <w:r>
        <w:rPr>
          <w:b/>
        </w:rPr>
        <w:t xml:space="preserve"> 53 je </w:t>
      </w:r>
      <w:proofErr w:type="spellStart"/>
      <w:r>
        <w:rPr>
          <w:b/>
        </w:rPr>
        <w:t>vrlo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zadovoljna</w:t>
      </w:r>
      <w:proofErr w:type="spellEnd"/>
      <w:r>
        <w:rPr>
          <w:b/>
        </w:rPr>
        <w:t xml:space="preserve">, 159 je </w:t>
      </w:r>
      <w:proofErr w:type="spellStart"/>
      <w:r>
        <w:rPr>
          <w:b/>
        </w:rPr>
        <w:t>zadovoljna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neutralnih</w:t>
      </w:r>
      <w:proofErr w:type="spellEnd"/>
      <w:r>
        <w:rPr>
          <w:b/>
        </w:rPr>
        <w:t xml:space="preserve"> je 46 a </w:t>
      </w:r>
      <w:proofErr w:type="spellStart"/>
      <w:r>
        <w:rPr>
          <w:b/>
        </w:rPr>
        <w:t>nezadovoljnih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nezadovoljnih</w:t>
      </w:r>
      <w:proofErr w:type="spellEnd"/>
      <w:r>
        <w:rPr>
          <w:b/>
        </w:rPr>
        <w:t xml:space="preserve"> je 35</w:t>
      </w:r>
      <w:r w:rsidR="000A319E">
        <w:rPr>
          <w:b/>
        </w:rPr>
        <w:t xml:space="preserve">. </w:t>
      </w:r>
      <w:proofErr w:type="spellStart"/>
      <w:r w:rsidR="000A319E">
        <w:rPr>
          <w:b/>
        </w:rPr>
        <w:t>Sedam</w:t>
      </w:r>
      <w:proofErr w:type="spellEnd"/>
      <w:r w:rsidR="000A319E">
        <w:rPr>
          <w:b/>
        </w:rPr>
        <w:t xml:space="preserve"> </w:t>
      </w:r>
      <w:proofErr w:type="spellStart"/>
      <w:r w:rsidR="000A319E">
        <w:rPr>
          <w:b/>
        </w:rPr>
        <w:t>ispitanika</w:t>
      </w:r>
      <w:proofErr w:type="spellEnd"/>
      <w:r w:rsidR="000A319E">
        <w:rPr>
          <w:b/>
        </w:rPr>
        <w:t xml:space="preserve"> ne </w:t>
      </w:r>
      <w:proofErr w:type="spellStart"/>
      <w:r w:rsidR="000A319E">
        <w:rPr>
          <w:b/>
        </w:rPr>
        <w:t>zna</w:t>
      </w:r>
      <w:proofErr w:type="spellEnd"/>
      <w:r w:rsidR="000A319E">
        <w:rPr>
          <w:b/>
        </w:rPr>
        <w:t xml:space="preserve"> </w:t>
      </w:r>
      <w:proofErr w:type="spellStart"/>
      <w:r w:rsidR="000A319E">
        <w:rPr>
          <w:b/>
        </w:rPr>
        <w:t>odgovor</w:t>
      </w:r>
      <w:proofErr w:type="spellEnd"/>
      <w:r w:rsidR="000A319E">
        <w:rPr>
          <w:b/>
        </w:rPr>
        <w:t xml:space="preserve"> </w:t>
      </w:r>
      <w:proofErr w:type="spellStart"/>
      <w:proofErr w:type="gramStart"/>
      <w:r w:rsidR="000A319E">
        <w:rPr>
          <w:b/>
        </w:rPr>
        <w:t>na</w:t>
      </w:r>
      <w:proofErr w:type="spellEnd"/>
      <w:proofErr w:type="gramEnd"/>
      <w:r w:rsidR="000A319E">
        <w:rPr>
          <w:b/>
        </w:rPr>
        <w:t xml:space="preserve"> </w:t>
      </w:r>
      <w:proofErr w:type="spellStart"/>
      <w:r w:rsidR="000A319E">
        <w:rPr>
          <w:b/>
        </w:rPr>
        <w:t>ovo</w:t>
      </w:r>
      <w:proofErr w:type="spellEnd"/>
      <w:r w:rsidR="000A319E">
        <w:rPr>
          <w:b/>
        </w:rPr>
        <w:t xml:space="preserve"> </w:t>
      </w:r>
      <w:proofErr w:type="spellStart"/>
      <w:r w:rsidR="000A319E">
        <w:rPr>
          <w:b/>
        </w:rPr>
        <w:t>pitanje</w:t>
      </w:r>
      <w:proofErr w:type="spellEnd"/>
      <w:r w:rsidR="000A319E">
        <w:rPr>
          <w:b/>
        </w:rPr>
        <w:t>.</w:t>
      </w:r>
    </w:p>
    <w:p w:rsidR="000A319E" w:rsidRDefault="000A319E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8</w:t>
      </w:r>
      <w:r w:rsidR="006C572E">
        <w:rPr>
          <w:b/>
        </w:rPr>
        <w:t xml:space="preserve">.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više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trećine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anketiranih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smatra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donose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interesu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. Ali ne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zanemariti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onih</w:t>
      </w:r>
      <w:proofErr w:type="spellEnd"/>
      <w:r>
        <w:rPr>
          <w:b/>
        </w:rPr>
        <w:t xml:space="preserve"> 24</w:t>
      </w:r>
      <w:proofErr w:type="gramStart"/>
      <w:r>
        <w:rPr>
          <w:b/>
        </w:rPr>
        <w:t>,67</w:t>
      </w:r>
      <w:proofErr w:type="gramEnd"/>
      <w:r>
        <w:rPr>
          <w:b/>
        </w:rPr>
        <w:t xml:space="preserve">% 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ne </w:t>
      </w:r>
      <w:proofErr w:type="spellStart"/>
      <w:r>
        <w:rPr>
          <w:b/>
        </w:rPr>
        <w:t>slažu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pitanjem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Potrebno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detaljnije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mladi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socijalno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ugrožene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nezaposleni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ratni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invalidi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anketirani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opozicije</w:t>
      </w:r>
      <w:proofErr w:type="spellEnd"/>
      <w:r>
        <w:rPr>
          <w:b/>
        </w:rPr>
        <w:t>.</w:t>
      </w:r>
    </w:p>
    <w:p w:rsidR="000A319E" w:rsidRDefault="000A319E" w:rsidP="00413CC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Večina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9</w:t>
      </w:r>
      <w:r w:rsidR="006C572E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odgovorila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se u </w:t>
      </w:r>
      <w:proofErr w:type="spellStart"/>
      <w:r>
        <w:rPr>
          <w:b/>
        </w:rPr>
        <w:t>svrhu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poboljšanja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unapređenja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OV 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obratiti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pažnju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segment </w:t>
      </w:r>
      <w:proofErr w:type="spellStart"/>
      <w:r>
        <w:rPr>
          <w:b/>
        </w:rPr>
        <w:t>unapređenja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kvaliteta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donesenih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(34,33%) </w:t>
      </w:r>
      <w:proofErr w:type="spellStart"/>
      <w:r w:rsidR="006C572E">
        <w:rPr>
          <w:b/>
        </w:rPr>
        <w:t>i</w:t>
      </w:r>
      <w:proofErr w:type="spellEnd"/>
      <w:r w:rsidR="006C572E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Komunikaciju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građanima</w:t>
      </w:r>
      <w:proofErr w:type="spellEnd"/>
      <w:r>
        <w:rPr>
          <w:b/>
        </w:rPr>
        <w:t xml:space="preserve"> (34,67%)</w:t>
      </w:r>
    </w:p>
    <w:p w:rsidR="00031D91" w:rsidRPr="00413CC6" w:rsidRDefault="00031D91" w:rsidP="00413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pitanju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10.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b,c,d,e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anketirani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sugerišu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uspostave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mehanizmi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r</w:t>
      </w:r>
      <w:r>
        <w:rPr>
          <w:b/>
        </w:rPr>
        <w:t>edovnih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sastanaka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građanima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mjesnim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zajednicama</w:t>
      </w:r>
      <w:proofErr w:type="spellEnd"/>
      <w:r>
        <w:rPr>
          <w:b/>
        </w:rPr>
        <w:t>.</w:t>
      </w:r>
      <w:r w:rsidR="006C572E">
        <w:rPr>
          <w:b/>
        </w:rPr>
        <w:t xml:space="preserve"> </w:t>
      </w:r>
      <w:proofErr w:type="spellStart"/>
      <w:r>
        <w:rPr>
          <w:b/>
        </w:rPr>
        <w:t>Međutim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preporuke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ispitanika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odnose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sjednica</w:t>
      </w:r>
      <w:proofErr w:type="spellEnd"/>
      <w:r>
        <w:rPr>
          <w:b/>
        </w:rPr>
        <w:t xml:space="preserve"> OV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TV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redovnim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sastancima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viječnika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predsjednika</w:t>
      </w:r>
      <w:proofErr w:type="spellEnd"/>
      <w:r>
        <w:rPr>
          <w:b/>
        </w:rPr>
        <w:t xml:space="preserve"> OV </w:t>
      </w:r>
      <w:proofErr w:type="spell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građanima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Internet </w:t>
      </w:r>
      <w:proofErr w:type="spellStart"/>
      <w:r>
        <w:rPr>
          <w:b/>
        </w:rPr>
        <w:t>komunikaciju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misleći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web </w:t>
      </w:r>
      <w:proofErr w:type="spellStart"/>
      <w:r>
        <w:rPr>
          <w:b/>
        </w:rPr>
        <w:t>stranicu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Istok</w:t>
      </w:r>
      <w:proofErr w:type="spellEnd"/>
      <w:r>
        <w:rPr>
          <w:b/>
        </w:rPr>
        <w:t xml:space="preserve"> </w:t>
      </w:r>
      <w:proofErr w:type="spellStart"/>
      <w:r w:rsidR="006C572E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</w:t>
      </w:r>
      <w:r w:rsidR="003D3588">
        <w:rPr>
          <w:b/>
        </w:rPr>
        <w:t>vo</w:t>
      </w:r>
      <w:r>
        <w:rPr>
          <w:b/>
        </w:rPr>
        <w:t>uspostavljeni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portabl</w:t>
      </w:r>
      <w:proofErr w:type="spellEnd"/>
      <w:r>
        <w:rPr>
          <w:b/>
        </w:rPr>
        <w:t xml:space="preserve"> e- Citizen.</w:t>
      </w:r>
    </w:p>
    <w:sectPr w:rsidR="00031D91" w:rsidRPr="00413CC6" w:rsidSect="0016194A">
      <w:footerReference w:type="default" r:id="rId23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99" w:rsidRDefault="004A0699" w:rsidP="0016194A">
      <w:r>
        <w:separator/>
      </w:r>
    </w:p>
  </w:endnote>
  <w:endnote w:type="continuationSeparator" w:id="0">
    <w:p w:rsidR="004A0699" w:rsidRDefault="004A0699" w:rsidP="0016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40985"/>
      <w:docPartObj>
        <w:docPartGallery w:val="Page Numbers (Bottom of Page)"/>
        <w:docPartUnique/>
      </w:docPartObj>
    </w:sdtPr>
    <w:sdtContent>
      <w:p w:rsidR="003D3588" w:rsidRDefault="003D3588">
        <w:pPr>
          <w:pStyle w:val="Footer"/>
          <w:jc w:val="right"/>
        </w:pPr>
        <w:fldSimple w:instr=" PAGE   \* MERGEFORMAT ">
          <w:r w:rsidR="00FE1555">
            <w:rPr>
              <w:noProof/>
            </w:rPr>
            <w:t>8</w:t>
          </w:r>
        </w:fldSimple>
      </w:p>
    </w:sdtContent>
  </w:sdt>
  <w:p w:rsidR="003D3588" w:rsidRDefault="003D3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99" w:rsidRDefault="004A0699" w:rsidP="0016194A">
      <w:r>
        <w:separator/>
      </w:r>
    </w:p>
  </w:footnote>
  <w:footnote w:type="continuationSeparator" w:id="0">
    <w:p w:rsidR="004A0699" w:rsidRDefault="004A0699" w:rsidP="0016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9D"/>
    <w:multiLevelType w:val="hybridMultilevel"/>
    <w:tmpl w:val="3AD0A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050C"/>
    <w:multiLevelType w:val="hybridMultilevel"/>
    <w:tmpl w:val="79BA4AAA"/>
    <w:lvl w:ilvl="0" w:tplc="381A89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831"/>
    <w:multiLevelType w:val="hybridMultilevel"/>
    <w:tmpl w:val="BB14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932B9"/>
    <w:multiLevelType w:val="hybridMultilevel"/>
    <w:tmpl w:val="3F74B66C"/>
    <w:lvl w:ilvl="0" w:tplc="6768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7D6"/>
    <w:rsid w:val="00031D91"/>
    <w:rsid w:val="0004027D"/>
    <w:rsid w:val="000A319E"/>
    <w:rsid w:val="000C7FB1"/>
    <w:rsid w:val="001527D6"/>
    <w:rsid w:val="0016194A"/>
    <w:rsid w:val="0025588A"/>
    <w:rsid w:val="00391D27"/>
    <w:rsid w:val="0039343F"/>
    <w:rsid w:val="003D3588"/>
    <w:rsid w:val="00413CC6"/>
    <w:rsid w:val="004419B5"/>
    <w:rsid w:val="004A0699"/>
    <w:rsid w:val="005A1652"/>
    <w:rsid w:val="006C572E"/>
    <w:rsid w:val="007D5B66"/>
    <w:rsid w:val="00804D78"/>
    <w:rsid w:val="008D4609"/>
    <w:rsid w:val="009458FD"/>
    <w:rsid w:val="00950E23"/>
    <w:rsid w:val="00A0768B"/>
    <w:rsid w:val="00AA126F"/>
    <w:rsid w:val="00B77832"/>
    <w:rsid w:val="00BB0088"/>
    <w:rsid w:val="00C935B7"/>
    <w:rsid w:val="00CB0323"/>
    <w:rsid w:val="00D51D6D"/>
    <w:rsid w:val="00E00185"/>
    <w:rsid w:val="00E96217"/>
    <w:rsid w:val="00EE3053"/>
    <w:rsid w:val="00F73734"/>
    <w:rsid w:val="00F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7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7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7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7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27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27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7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27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27D6"/>
    <w:rPr>
      <w:b/>
      <w:bCs/>
    </w:rPr>
  </w:style>
  <w:style w:type="character" w:styleId="Emphasis">
    <w:name w:val="Emphasis"/>
    <w:basedOn w:val="DefaultParagraphFont"/>
    <w:uiPriority w:val="20"/>
    <w:qFormat/>
    <w:rsid w:val="001527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27D6"/>
    <w:rPr>
      <w:szCs w:val="32"/>
    </w:rPr>
  </w:style>
  <w:style w:type="paragraph" w:styleId="ListParagraph">
    <w:name w:val="List Paragraph"/>
    <w:basedOn w:val="Normal"/>
    <w:uiPriority w:val="34"/>
    <w:qFormat/>
    <w:rsid w:val="001527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27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D6"/>
    <w:rPr>
      <w:b/>
      <w:i/>
      <w:sz w:val="24"/>
    </w:rPr>
  </w:style>
  <w:style w:type="character" w:styleId="SubtleEmphasis">
    <w:name w:val="Subtle Emphasis"/>
    <w:uiPriority w:val="19"/>
    <w:qFormat/>
    <w:rsid w:val="001527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27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27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27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27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D6"/>
    <w:pPr>
      <w:outlineLvl w:val="9"/>
    </w:pPr>
  </w:style>
  <w:style w:type="table" w:styleId="TableGrid">
    <w:name w:val="Table Grid"/>
    <w:basedOn w:val="TableNormal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19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9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r\Desktop\anketa%20OV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en-US"/>
              <a:t>Pol anketiranih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cat>
            <c:strRef>
              <c:f>Sheet1!$C$250:$C$251</c:f>
              <c:strCache>
                <c:ptCount val="2"/>
                <c:pt idx="0">
                  <c:v>Muški</c:v>
                </c:pt>
                <c:pt idx="1">
                  <c:v>Ženski</c:v>
                </c:pt>
              </c:strCache>
            </c:strRef>
          </c:cat>
          <c:val>
            <c:numRef>
              <c:f>Sheet1!$E$250:$E$251</c:f>
              <c:numCache>
                <c:formatCode>0.00%</c:formatCode>
                <c:ptCount val="2"/>
                <c:pt idx="0">
                  <c:v>0.44330000000000042</c:v>
                </c:pt>
                <c:pt idx="1">
                  <c:v>0.55670000000000064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Kako ocjenjujete rad Općinskog vijeća- vijećnika?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cat>
            <c:strRef>
              <c:f>Sheet1!$C$137:$C$142</c:f>
              <c:strCache>
                <c:ptCount val="6"/>
                <c:pt idx="0">
                  <c:v>Vrlo zadovoljni</c:v>
                </c:pt>
                <c:pt idx="1">
                  <c:v>Zadovoljni</c:v>
                </c:pt>
                <c:pt idx="2">
                  <c:v>Neutralni</c:v>
                </c:pt>
                <c:pt idx="3">
                  <c:v>Nezadovoljni</c:v>
                </c:pt>
                <c:pt idx="4">
                  <c:v>Vrlo nezadovoljni</c:v>
                </c:pt>
                <c:pt idx="5">
                  <c:v>Ne zna</c:v>
                </c:pt>
              </c:strCache>
            </c:strRef>
          </c:cat>
          <c:val>
            <c:numRef>
              <c:f>Sheet1!$D$137:$D$142</c:f>
              <c:numCache>
                <c:formatCode>0%</c:formatCode>
                <c:ptCount val="6"/>
                <c:pt idx="0" formatCode="0.00%">
                  <c:v>0.17670000000000016</c:v>
                </c:pt>
                <c:pt idx="1">
                  <c:v>0.53</c:v>
                </c:pt>
                <c:pt idx="2" formatCode="0.00%">
                  <c:v>0.15330000000000016</c:v>
                </c:pt>
                <c:pt idx="3">
                  <c:v>8.0000000000000043E-2</c:v>
                </c:pt>
                <c:pt idx="4" formatCode="0.00%">
                  <c:v>3.670000000000001E-2</c:v>
                </c:pt>
                <c:pt idx="5" formatCode="0.00%">
                  <c:v>2.3299999999999998E-2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/>
            </a:pPr>
            <a:r>
              <a:rPr lang="vi-VN" sz="1200"/>
              <a:t>Da li smatrate da Općinsko vijeće donosi odluke u interesu građana?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cat>
            <c:strRef>
              <c:f>Sheet1!$C$161:$C$162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Sheet1!$D$161:$D$162</c:f>
              <c:numCache>
                <c:formatCode>0.00%</c:formatCode>
                <c:ptCount val="2"/>
                <c:pt idx="0">
                  <c:v>0.75330000000000064</c:v>
                </c:pt>
                <c:pt idx="1">
                  <c:v>0.24670000000000017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Koji segment rada Općinskog vijeća treba unaprijediti?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cat>
            <c:strRef>
              <c:f>Sheet1!$C$184:$C$186</c:f>
              <c:strCache>
                <c:ptCount val="3"/>
                <c:pt idx="0">
                  <c:v>Transparaentnost u radu</c:v>
                </c:pt>
                <c:pt idx="1">
                  <c:v>Kvalitet donesenih odluka</c:v>
                </c:pt>
                <c:pt idx="2">
                  <c:v>Komunikacija sa građanima</c:v>
                </c:pt>
              </c:strCache>
            </c:strRef>
          </c:cat>
          <c:val>
            <c:numRef>
              <c:f>Sheet1!$D$184:$D$186</c:f>
              <c:numCache>
                <c:formatCode>0.00%</c:formatCode>
                <c:ptCount val="3"/>
                <c:pt idx="0" formatCode="0%">
                  <c:v>0.31000000000000033</c:v>
                </c:pt>
                <c:pt idx="1">
                  <c:v>0.34330000000000033</c:v>
                </c:pt>
                <c:pt idx="2">
                  <c:v>0.34670000000000001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/>
            </a:pPr>
            <a:r>
              <a:rPr lang="vi-VN" sz="1000"/>
              <a:t>Koje mehanizme komunikacije između vijećnika i građana je potrebno uspostaviti ili koristiti?</a:t>
            </a:r>
          </a:p>
        </c:rich>
      </c:tx>
      <c:layout>
        <c:manualLayout>
          <c:xMode val="edge"/>
          <c:yMode val="edge"/>
          <c:x val="0.1571583302664713"/>
          <c:y val="3.140614553297606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val>
            <c:numRef>
              <c:f>Sheet1!$G$207:$G$211</c:f>
              <c:numCache>
                <c:formatCode>0.00%</c:formatCode>
                <c:ptCount val="5"/>
                <c:pt idx="0">
                  <c:v>3.3300000000000003E-2</c:v>
                </c:pt>
                <c:pt idx="1">
                  <c:v>0.13669999999999999</c:v>
                </c:pt>
                <c:pt idx="2">
                  <c:v>0.56330000000000002</c:v>
                </c:pt>
                <c:pt idx="3">
                  <c:v>0.15670000000000028</c:v>
                </c:pt>
                <c:pt idx="4" formatCode="0%">
                  <c:v>0.11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Sheet1!$C$207:$C$211</c:f>
              <c:strCache>
                <c:ptCount val="5"/>
                <c:pt idx="0">
                  <c:v>Direktan prijenos sjednica OV putem lokalnih TV i radio stanica </c:v>
                </c:pt>
                <c:pt idx="1">
                  <c:v>Redovni sastanci odbornika sa građanima u Općinskom vijeću</c:v>
                </c:pt>
                <c:pt idx="2">
                  <c:v>Redovni sastanci vijećnika sa građanima u Mjesnim zajednicama</c:v>
                </c:pt>
                <c:pt idx="3">
                  <c:v>Redovni termini za komunikaciju predsjednika OV sa građanima</c:v>
                </c:pt>
                <c:pt idx="4">
                  <c:v>Internet komunikacija između građana i vijećnika</c:v>
                </c:pt>
              </c:strCache>
            </c:strRef>
          </c:cat>
          <c:val>
            <c:numRef>
              <c:f>Sheet1!$D$207:$D$211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Sheet1!$C$207:$C$211</c:f>
              <c:strCache>
                <c:ptCount val="5"/>
                <c:pt idx="0">
                  <c:v>Direktan prijenos sjednica OV putem lokalnih TV i radio stanica </c:v>
                </c:pt>
                <c:pt idx="1">
                  <c:v>Redovni sastanci odbornika sa građanima u Općinskom vijeću</c:v>
                </c:pt>
                <c:pt idx="2">
                  <c:v>Redovni sastanci vijećnika sa građanima u Mjesnim zajednicama</c:v>
                </c:pt>
                <c:pt idx="3">
                  <c:v>Redovni termini za komunikaciju predsjednika OV sa građanima</c:v>
                </c:pt>
                <c:pt idx="4">
                  <c:v>Internet komunikacija između građana i vijećnika</c:v>
                </c:pt>
              </c:strCache>
            </c:strRef>
          </c:cat>
          <c:val>
            <c:numRef>
              <c:f>Sheet1!$E$207:$E$211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cat>
            <c:strRef>
              <c:f>Sheet1!$C$207:$C$211</c:f>
              <c:strCache>
                <c:ptCount val="5"/>
                <c:pt idx="0">
                  <c:v>Direktan prijenos sjednica OV putem lokalnih TV i radio stanica </c:v>
                </c:pt>
                <c:pt idx="1">
                  <c:v>Redovni sastanci odbornika sa građanima u Općinskom vijeću</c:v>
                </c:pt>
                <c:pt idx="2">
                  <c:v>Redovni sastanci vijećnika sa građanima u Mjesnim zajednicama</c:v>
                </c:pt>
                <c:pt idx="3">
                  <c:v>Redovni termini za komunikaciju predsjednika OV sa građanima</c:v>
                </c:pt>
                <c:pt idx="4">
                  <c:v>Internet komunikacija između građana i vijećnika</c:v>
                </c:pt>
              </c:strCache>
            </c:strRef>
          </c:cat>
          <c:val>
            <c:numRef>
              <c:f>Sheet1!$F$207:$F$211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cat>
            <c:strRef>
              <c:f>Sheet1!$C$207:$C$211</c:f>
              <c:strCache>
                <c:ptCount val="5"/>
                <c:pt idx="0">
                  <c:v>Direktan prijenos sjednica OV putem lokalnih TV i radio stanica </c:v>
                </c:pt>
                <c:pt idx="1">
                  <c:v>Redovni sastanci odbornika sa građanima u Općinskom vijeću</c:v>
                </c:pt>
                <c:pt idx="2">
                  <c:v>Redovni sastanci vijećnika sa građanima u Mjesnim zajednicama</c:v>
                </c:pt>
                <c:pt idx="3">
                  <c:v>Redovni termini za komunikaciju predsjednika OV sa građanima</c:v>
                </c:pt>
                <c:pt idx="4">
                  <c:v>Internet komunikacija između građana i vijećnika</c:v>
                </c:pt>
              </c:strCache>
            </c:strRef>
          </c:cat>
          <c:val>
            <c:numRef>
              <c:f>Sheet1!$G$207:$G$211</c:f>
              <c:numCache>
                <c:formatCode>0.00%</c:formatCode>
                <c:ptCount val="5"/>
                <c:pt idx="0">
                  <c:v>3.3300000000000003E-2</c:v>
                </c:pt>
                <c:pt idx="1">
                  <c:v>0.13669999999999999</c:v>
                </c:pt>
                <c:pt idx="2">
                  <c:v>0.56330000000000002</c:v>
                </c:pt>
                <c:pt idx="3">
                  <c:v>0.15670000000000012</c:v>
                </c:pt>
                <c:pt idx="4" formatCode="0%">
                  <c:v>0.11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53005704182831"/>
          <c:y val="0"/>
          <c:w val="0.33971212879699841"/>
          <c:h val="1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en-US"/>
              <a:t>Dob anketiranih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cat>
            <c:strRef>
              <c:f>Sheet1!$C$273:$C$275</c:f>
              <c:strCache>
                <c:ptCount val="3"/>
                <c:pt idx="0">
                  <c:v>18-35</c:v>
                </c:pt>
                <c:pt idx="1">
                  <c:v>36-55</c:v>
                </c:pt>
                <c:pt idx="2">
                  <c:v>preko 55</c:v>
                </c:pt>
              </c:strCache>
            </c:strRef>
          </c:cat>
          <c:val>
            <c:numRef>
              <c:f>Sheet1!$E$273:$E$275</c:f>
              <c:numCache>
                <c:formatCode>0.00%</c:formatCode>
                <c:ptCount val="3"/>
                <c:pt idx="0">
                  <c:v>0.21670000000000025</c:v>
                </c:pt>
                <c:pt idx="1">
                  <c:v>0.5333</c:v>
                </c:pt>
                <c:pt idx="2" formatCode="0%">
                  <c:v>0.25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en-US"/>
              <a:t>Anketirani stanuje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</c:dLbls>
          <c:cat>
            <c:strRef>
              <c:f>Sheet1!$C$300:$C$301</c:f>
              <c:strCache>
                <c:ptCount val="2"/>
                <c:pt idx="0">
                  <c:v>Urbano područje</c:v>
                </c:pt>
                <c:pt idx="1">
                  <c:v>Ruralno područje</c:v>
                </c:pt>
              </c:strCache>
            </c:strRef>
          </c:cat>
          <c:val>
            <c:numRef>
              <c:f>Sheet1!$E$300:$E$301</c:f>
              <c:numCache>
                <c:formatCode>0.00%</c:formatCode>
                <c:ptCount val="2"/>
                <c:pt idx="0">
                  <c:v>0.33670000000000033</c:v>
                </c:pt>
                <c:pt idx="1">
                  <c:v>0.66330000000000078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en-US"/>
              <a:t>Koliko ste upoznati sa radom Općinskog vijeća</a:t>
            </a:r>
            <a:r>
              <a:rPr lang="hr-HR"/>
              <a:t>?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  <c:showLeaderLines val="1"/>
          </c:dLbls>
          <c:cat>
            <c:strRef>
              <c:f>Sheet1!$C$3:$C$6</c:f>
              <c:strCache>
                <c:ptCount val="3"/>
                <c:pt idx="0">
                  <c:v>Vrlo dobro</c:v>
                </c:pt>
                <c:pt idx="1">
                  <c:v>Dobro</c:v>
                </c:pt>
                <c:pt idx="2">
                  <c:v>Nisam upoznat</c:v>
                </c:pt>
              </c:strCache>
            </c:strRef>
          </c:cat>
          <c:val>
            <c:numRef>
              <c:f>Sheet1!$D$3:$D$6</c:f>
              <c:numCache>
                <c:formatCode>0.00%</c:formatCode>
                <c:ptCount val="4"/>
                <c:pt idx="0">
                  <c:v>0.19670000000000001</c:v>
                </c:pt>
                <c:pt idx="1">
                  <c:v>0.58329999999999949</c:v>
                </c:pt>
                <c:pt idx="2" formatCode="0%">
                  <c:v>0.22</c:v>
                </c:pt>
              </c:numCache>
            </c:numRef>
          </c:val>
        </c:ser>
        <c:ser>
          <c:idx val="1"/>
          <c:order val="1"/>
          <c:cat>
            <c:strRef>
              <c:f>Sheet1!$C$3:$C$6</c:f>
              <c:strCache>
                <c:ptCount val="3"/>
                <c:pt idx="0">
                  <c:v>Vrlo dobro</c:v>
                </c:pt>
                <c:pt idx="1">
                  <c:v>Dobro</c:v>
                </c:pt>
                <c:pt idx="2">
                  <c:v>Nisam upoznat</c:v>
                </c:pt>
              </c:strCache>
            </c:strRef>
          </c:cat>
          <c:val>
            <c:numRef>
              <c:f>Sheet1!$E$3:$E$6</c:f>
              <c:numCache>
                <c:formatCode>0</c:formatCode>
                <c:ptCount val="4"/>
                <c:pt idx="0">
                  <c:v>59</c:v>
                </c:pt>
                <c:pt idx="1">
                  <c:v>175</c:v>
                </c:pt>
                <c:pt idx="2">
                  <c:v>66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Kako bi ste ocijenili dostupnost informacija o radu Općinskog vijeća</a:t>
            </a:r>
            <a:r>
              <a:rPr lang="hr-HR" sz="1200"/>
              <a:t>?</a:t>
            </a:r>
            <a:endParaRPr lang="en-US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  <c:showLeaderLines val="1"/>
          </c:dLbls>
          <c:cat>
            <c:strRef>
              <c:f>Sheet1!$C$30:$C$33</c:f>
              <c:strCache>
                <c:ptCount val="4"/>
                <c:pt idx="0">
                  <c:v>Vrlo dobro</c:v>
                </c:pt>
                <c:pt idx="1">
                  <c:v>Dobro</c:v>
                </c:pt>
                <c:pt idx="2">
                  <c:v>Nisam upoznat/a</c:v>
                </c:pt>
                <c:pt idx="3">
                  <c:v>Nisam zainteresovan/a</c:v>
                </c:pt>
              </c:strCache>
            </c:strRef>
          </c:cat>
          <c:val>
            <c:numRef>
              <c:f>Sheet1!$D$30:$D$33</c:f>
              <c:numCache>
                <c:formatCode>0.00%</c:formatCode>
                <c:ptCount val="4"/>
                <c:pt idx="0">
                  <c:v>0.21330000000000016</c:v>
                </c:pt>
                <c:pt idx="1">
                  <c:v>0.55670000000000064</c:v>
                </c:pt>
                <c:pt idx="2" formatCode="0%">
                  <c:v>0.18000000000000016</c:v>
                </c:pt>
                <c:pt idx="3" formatCode="0%">
                  <c:v>0.05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Da li vam je poznato ko su vijećnici u Općinskom vijeću</a:t>
            </a:r>
            <a:r>
              <a:rPr lang="hr-HR" sz="1200"/>
              <a:t>?</a:t>
            </a:r>
            <a:endParaRPr lang="en-US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  <c:showLeaderLines val="1"/>
          </c:dLbls>
          <c:cat>
            <c:strRef>
              <c:f>Sheet1!$C$52:$C$53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Sheet1!$D$52:$D$53</c:f>
              <c:numCache>
                <c:formatCode>0.00%</c:formatCode>
                <c:ptCount val="2"/>
                <c:pt idx="0">
                  <c:v>0.81670000000000065</c:v>
                </c:pt>
                <c:pt idx="1">
                  <c:v>0.18330000000000016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Da li vam je poznato ko su vijećnici iz vaše MZ?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  <c:showLeaderLines val="1"/>
          </c:dLbls>
          <c:cat>
            <c:strRef>
              <c:f>Sheet1!$C$71:$C$72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Sheet1!$D$71:$D$72</c:f>
              <c:numCache>
                <c:formatCode>0%</c:formatCode>
                <c:ptCount val="2"/>
                <c:pt idx="0">
                  <c:v>0.87000000000000066</c:v>
                </c:pt>
                <c:pt idx="1">
                  <c:v>0.13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Da li ste kad stupali u kontakt sa vijećnikom?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Val val="1"/>
            <c:showLeaderLines val="1"/>
          </c:dLbls>
          <c:cat>
            <c:strRef>
              <c:f>Sheet1!$C$97:$C$98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Sheet1!$D$97:$D$98</c:f>
              <c:numCache>
                <c:formatCode>0%</c:formatCode>
                <c:ptCount val="2"/>
                <c:pt idx="0">
                  <c:v>0.67000000000000093</c:v>
                </c:pt>
                <c:pt idx="1">
                  <c:v>0.33000000000000046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Da li ste lako stupili u kontakt sa vijećnikom?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outEnd"/>
            <c:showVal val="1"/>
          </c:dLbls>
          <c:cat>
            <c:strRef>
              <c:f>Sheet1!$C$117:$C$118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Sheet1!$D$117:$D$118</c:f>
              <c:numCache>
                <c:formatCode>0.00%</c:formatCode>
                <c:ptCount val="2"/>
                <c:pt idx="0">
                  <c:v>0.72330000000000005</c:v>
                </c:pt>
                <c:pt idx="1">
                  <c:v>0.2767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A020-3044-4AAB-922F-627D1ECE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13</cp:revision>
  <cp:lastPrinted>2024-03-04T09:51:00Z</cp:lastPrinted>
  <dcterms:created xsi:type="dcterms:W3CDTF">2024-03-04T06:43:00Z</dcterms:created>
  <dcterms:modified xsi:type="dcterms:W3CDTF">2024-03-04T12:05:00Z</dcterms:modified>
</cp:coreProperties>
</file>