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  <w:ind w:firstLine="720"/>
        <w:rPr>
          <w:rFonts w:ascii="Calibri" w:hAnsi="Calibri"/>
        </w:rPr>
      </w:pPr>
      <w:r>
        <w:rPr>
          <w:rFonts w:ascii="Calibri" w:hAnsi="Calibri"/>
        </w:rPr>
        <w:t>BOSNA I HERCEGOVINA</w:t>
      </w:r>
    </w:p>
    <w:p>
      <w:pPr>
        <w:rPr>
          <w:rFonts w:ascii="Calibri" w:hAnsi="Calibri"/>
          <w:sz w:val="28"/>
          <w:lang w:val="hr-HR"/>
        </w:rPr>
      </w:pPr>
      <w:r>
        <w:rPr>
          <w:rFonts w:ascii="Calibri" w:hAnsi="Calibri"/>
          <w:sz w:val="28"/>
          <w:lang w:val="hr-HR"/>
        </w:rPr>
        <w:t>FEDERACIJA BOSNE I HERCEGOVINE</w:t>
      </w:r>
    </w:p>
    <w:p>
      <w:pPr>
        <w:ind w:firstLine="720"/>
        <w:rPr>
          <w:rFonts w:ascii="Calibri" w:hAnsi="Calibri"/>
          <w:sz w:val="28"/>
          <w:lang w:val="hr-HR"/>
        </w:rPr>
      </w:pPr>
      <w:r>
        <w:rPr>
          <w:rFonts w:ascii="Calibri" w:hAnsi="Calibri"/>
          <w:sz w:val="28"/>
          <w:lang w:val="hr-HR"/>
        </w:rPr>
        <w:t>TUZLANSKI KANTON</w:t>
      </w:r>
    </w:p>
    <w:p>
      <w:pPr>
        <w:ind w:firstLine="720"/>
        <w:rPr>
          <w:rFonts w:ascii="Calibri" w:hAnsi="Calibri"/>
          <w:sz w:val="28"/>
          <w:lang w:val="hr-HR"/>
        </w:rPr>
      </w:pPr>
      <w:r>
        <w:rPr>
          <w:rFonts w:ascii="Calibri" w:hAnsi="Calibri"/>
          <w:sz w:val="28"/>
          <w:lang w:val="hr-HR"/>
        </w:rPr>
        <w:t>OPĆINA DOBOJ ISTOK</w:t>
      </w:r>
    </w:p>
    <w:p>
      <w:pPr>
        <w:rPr>
          <w:rFonts w:ascii="Calibri" w:hAnsi="Calibri"/>
          <w:sz w:val="28"/>
          <w:lang w:val="hr-HR"/>
        </w:rPr>
      </w:pPr>
      <w:r>
        <w:rPr>
          <w:rFonts w:ascii="Calibri" w:hAnsi="Calibri"/>
          <w:sz w:val="28"/>
          <w:lang w:val="hr-HR"/>
        </w:rPr>
        <w:t>Općinska služba za poduzetništvo i financije</w:t>
      </w:r>
    </w:p>
    <w:p>
      <w:pPr>
        <w:rPr>
          <w:rFonts w:ascii="Calibri" w:hAnsi="Calibri"/>
          <w:sz w:val="28"/>
          <w:lang w:val="hr-HR"/>
        </w:rPr>
      </w:pPr>
      <w:r>
        <w:rPr>
          <w:rFonts w:ascii="Calibri" w:hAnsi="Calibri"/>
          <w:sz w:val="28"/>
          <w:lang w:val="hr-HR"/>
        </w:rPr>
        <w:t>Dana: 26.08.2022  godine</w:t>
      </w:r>
    </w:p>
    <w:p>
      <w:pPr>
        <w:rPr>
          <w:rFonts w:ascii="Calibri" w:hAnsi="Calibri"/>
          <w:sz w:val="28"/>
          <w:lang w:val="hr-HR"/>
        </w:rPr>
      </w:pPr>
    </w:p>
    <w:p>
      <w:pPr>
        <w:pStyle w:val="Heading2"/>
        <w:rPr>
          <w:rFonts w:ascii="Calibri" w:hAnsi="Calibri"/>
          <w:b/>
          <w:sz w:val="48"/>
        </w:rPr>
      </w:pPr>
      <w:r>
        <w:rPr>
          <w:rFonts w:ascii="Calibri" w:hAnsi="Calibri"/>
          <w:b/>
          <w:sz w:val="48"/>
        </w:rPr>
        <w:t>O  B  A  V  I  J  E  S  T</w:t>
      </w:r>
    </w:p>
    <w:p>
      <w:pPr>
        <w:pStyle w:val="BodyText"/>
        <w:ind w:firstLine="720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 xml:space="preserve">Obavještavamo sve poljoprivredne proizvođače koji su prijavili svoje proizvodnje za ostvarivanje </w:t>
      </w:r>
      <w:r>
        <w:rPr>
          <w:rFonts w:asciiTheme="minorHAnsi" w:hAnsiTheme="minorHAnsi" w:cstheme="minorHAnsi"/>
          <w:b/>
          <w:i/>
          <w:szCs w:val="28"/>
          <w:u w:val="single"/>
        </w:rPr>
        <w:t>kantonalnih novčanih podsticaja</w:t>
      </w:r>
      <w:r>
        <w:rPr>
          <w:rFonts w:asciiTheme="minorHAnsi" w:hAnsiTheme="minorHAnsi" w:cstheme="minorHAnsi"/>
          <w:szCs w:val="28"/>
        </w:rPr>
        <w:t xml:space="preserve"> u primarnoj poljoprivrednoj proizvodnji po modelu podrške proizvodnji za 2022 godinu da su krajnji rokovi za podnošenje </w:t>
      </w:r>
      <w:r>
        <w:rPr>
          <w:rFonts w:asciiTheme="minorHAnsi" w:hAnsiTheme="minorHAnsi" w:cstheme="minorHAnsi"/>
          <w:b/>
          <w:i/>
          <w:szCs w:val="28"/>
        </w:rPr>
        <w:t>zahtjeva sa propisanom dokumentacijom</w:t>
      </w:r>
      <w:r>
        <w:rPr>
          <w:rFonts w:asciiTheme="minorHAnsi" w:hAnsiTheme="minorHAnsi" w:cstheme="minorHAnsi"/>
          <w:szCs w:val="28"/>
        </w:rPr>
        <w:t xml:space="preserve"> Općinskoj službi za poduzetništvo i financije sljedeći: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9"/>
        <w:gridCol w:w="5341"/>
        <w:gridCol w:w="3080"/>
      </w:tblGrid>
      <w:tr>
        <w:tc>
          <w:tcPr>
            <w:tcW w:w="709" w:type="dxa"/>
            <w:vAlign w:val="bottom"/>
          </w:tcPr>
          <w:p>
            <w:pPr>
              <w:pStyle w:val="BodyText"/>
              <w:jc w:val="left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Rd.br</w:t>
            </w:r>
          </w:p>
        </w:tc>
        <w:tc>
          <w:tcPr>
            <w:tcW w:w="5375" w:type="dxa"/>
          </w:tcPr>
          <w:p>
            <w:pPr>
              <w:pStyle w:val="BodyText"/>
              <w:rPr>
                <w:rFonts w:ascii="Calibri" w:hAnsi="Calibri"/>
                <w:sz w:val="24"/>
              </w:rPr>
            </w:pPr>
          </w:p>
          <w:p>
            <w:pPr>
              <w:pStyle w:val="BodyText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Vrsta Kantonalnih novčanih podsticaja</w:t>
            </w:r>
          </w:p>
        </w:tc>
        <w:tc>
          <w:tcPr>
            <w:tcW w:w="3096" w:type="dxa"/>
          </w:tcPr>
          <w:p>
            <w:pPr>
              <w:pStyle w:val="BodyText"/>
              <w:rPr>
                <w:rFonts w:ascii="Calibri" w:hAnsi="Calibri"/>
                <w:b/>
                <w:sz w:val="24"/>
              </w:rPr>
            </w:pPr>
          </w:p>
          <w:p>
            <w:pPr>
              <w:pStyle w:val="BodyText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Rok za podnošenje zahtjeva</w:t>
            </w:r>
          </w:p>
        </w:tc>
      </w:tr>
      <w:tr>
        <w:trPr>
          <w:trHeight w:val="316"/>
        </w:trPr>
        <w:tc>
          <w:tcPr>
            <w:tcW w:w="709" w:type="dxa"/>
          </w:tcPr>
          <w:p>
            <w:pPr>
              <w:pStyle w:val="BodyText"/>
              <w:jc w:val="center"/>
              <w:rPr>
                <w:rFonts w:ascii="Calibri" w:hAnsi="Calibri"/>
                <w:sz w:val="20"/>
                <w:szCs w:val="20"/>
              </w:rPr>
            </w:pPr>
          </w:p>
          <w:p>
            <w:pPr>
              <w:pStyle w:val="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75" w:type="dxa"/>
          </w:tcPr>
          <w:p>
            <w:pPr>
              <w:pStyle w:val="BodyText"/>
              <w:jc w:val="left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A/  ANIMALNA PROIZVODNJA</w:t>
            </w:r>
          </w:p>
        </w:tc>
        <w:tc>
          <w:tcPr>
            <w:tcW w:w="3096" w:type="dxa"/>
          </w:tcPr>
          <w:p>
            <w:pPr>
              <w:pStyle w:val="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>
        <w:trPr>
          <w:trHeight w:val="239"/>
        </w:trPr>
        <w:tc>
          <w:tcPr>
            <w:tcW w:w="709" w:type="dxa"/>
          </w:tcPr>
          <w:p>
            <w:pPr>
              <w:pStyle w:val="BodyText"/>
              <w:jc w:val="center"/>
              <w:rPr>
                <w:rFonts w:ascii="Calibri" w:hAnsi="Calibri"/>
                <w:sz w:val="20"/>
                <w:szCs w:val="20"/>
              </w:rPr>
            </w:pPr>
          </w:p>
          <w:p>
            <w:pPr>
              <w:pStyle w:val="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75" w:type="dxa"/>
            <w:vAlign w:val="center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Rasplodne junice</w:t>
            </w:r>
          </w:p>
        </w:tc>
        <w:tc>
          <w:tcPr>
            <w:tcW w:w="3096" w:type="dxa"/>
            <w:vAlign w:val="center"/>
          </w:tcPr>
          <w:p>
            <w:pPr>
              <w:pStyle w:val="BodyTex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Do 30. 09. 2022 godine</w:t>
            </w:r>
          </w:p>
        </w:tc>
      </w:tr>
      <w:tr>
        <w:tc>
          <w:tcPr>
            <w:tcW w:w="709" w:type="dxa"/>
          </w:tcPr>
          <w:p>
            <w:pPr>
              <w:pStyle w:val="BodyText"/>
              <w:jc w:val="center"/>
              <w:rPr>
                <w:rFonts w:ascii="Calibri" w:hAnsi="Calibri"/>
                <w:sz w:val="20"/>
                <w:szCs w:val="20"/>
              </w:rPr>
            </w:pPr>
          </w:p>
          <w:p>
            <w:pPr>
              <w:pStyle w:val="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75" w:type="dxa"/>
            <w:vAlign w:val="center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Vještačko osjemenjavanje plotkinja</w:t>
            </w:r>
          </w:p>
        </w:tc>
        <w:tc>
          <w:tcPr>
            <w:tcW w:w="3096" w:type="dxa"/>
            <w:vAlign w:val="center"/>
          </w:tcPr>
          <w:p>
            <w:pPr>
              <w:pStyle w:val="BodyText"/>
              <w:jc w:val="left"/>
              <w:rPr>
                <w:sz w:val="24"/>
              </w:rPr>
            </w:pPr>
            <w:r>
              <w:rPr>
                <w:sz w:val="24"/>
              </w:rPr>
              <w:t>Do 30. 10.  2022 godine</w:t>
            </w:r>
          </w:p>
        </w:tc>
      </w:tr>
      <w:tr>
        <w:tc>
          <w:tcPr>
            <w:tcW w:w="709" w:type="dxa"/>
          </w:tcPr>
          <w:p>
            <w:pPr>
              <w:pStyle w:val="BodyText"/>
              <w:jc w:val="center"/>
              <w:rPr>
                <w:rFonts w:ascii="Calibri" w:hAnsi="Calibri"/>
                <w:sz w:val="20"/>
                <w:szCs w:val="20"/>
              </w:rPr>
            </w:pPr>
          </w:p>
          <w:p>
            <w:pPr>
              <w:pStyle w:val="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75" w:type="dxa"/>
            <w:vAlign w:val="center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Proizvodnja konzumnih jaja-nesilice</w:t>
            </w:r>
          </w:p>
        </w:tc>
        <w:tc>
          <w:tcPr>
            <w:tcW w:w="3096" w:type="dxa"/>
            <w:vAlign w:val="center"/>
          </w:tcPr>
          <w:p>
            <w:pPr>
              <w:pStyle w:val="BodyText"/>
              <w:jc w:val="left"/>
              <w:rPr>
                <w:sz w:val="24"/>
              </w:rPr>
            </w:pPr>
            <w:r>
              <w:rPr>
                <w:sz w:val="24"/>
              </w:rPr>
              <w:t>Do 31. 10. 2022 godine</w:t>
            </w:r>
          </w:p>
        </w:tc>
      </w:tr>
      <w:tr>
        <w:tc>
          <w:tcPr>
            <w:tcW w:w="709" w:type="dxa"/>
          </w:tcPr>
          <w:p>
            <w:pPr>
              <w:pStyle w:val="BodyText"/>
              <w:jc w:val="center"/>
              <w:rPr>
                <w:rFonts w:ascii="Calibri" w:hAnsi="Calibri"/>
                <w:sz w:val="20"/>
                <w:szCs w:val="20"/>
              </w:rPr>
            </w:pPr>
          </w:p>
          <w:p>
            <w:pPr>
              <w:pStyle w:val="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75" w:type="dxa"/>
            <w:vAlign w:val="center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Proizvodnja pilećeg mesa</w:t>
            </w:r>
          </w:p>
        </w:tc>
        <w:tc>
          <w:tcPr>
            <w:tcW w:w="3096" w:type="dxa"/>
            <w:vAlign w:val="center"/>
          </w:tcPr>
          <w:p>
            <w:pPr>
              <w:pStyle w:val="BodyText"/>
              <w:jc w:val="left"/>
              <w:rPr>
                <w:sz w:val="24"/>
              </w:rPr>
            </w:pPr>
            <w:r>
              <w:rPr>
                <w:sz w:val="24"/>
              </w:rPr>
              <w:t>Do 31. 10. 2022 godine</w:t>
            </w:r>
          </w:p>
        </w:tc>
      </w:tr>
      <w:tr>
        <w:tc>
          <w:tcPr>
            <w:tcW w:w="709" w:type="dxa"/>
          </w:tcPr>
          <w:p>
            <w:pPr>
              <w:pStyle w:val="BodyText"/>
              <w:jc w:val="center"/>
              <w:rPr>
                <w:rFonts w:ascii="Calibri" w:hAnsi="Calibri"/>
                <w:sz w:val="20"/>
                <w:szCs w:val="20"/>
              </w:rPr>
            </w:pPr>
          </w:p>
          <w:p>
            <w:pPr>
              <w:pStyle w:val="BodyTex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5375" w:type="dxa"/>
          </w:tcPr>
          <w:p>
            <w:pPr>
              <w:pStyle w:val="BodyText"/>
              <w:jc w:val="left"/>
              <w:rPr>
                <w:sz w:val="24"/>
              </w:rPr>
            </w:pPr>
            <w:r>
              <w:rPr>
                <w:sz w:val="24"/>
              </w:rPr>
              <w:t>Podrška za ublažavanje poremećaja na tržištu-proizvodnja pilećeg mesa</w:t>
            </w:r>
          </w:p>
        </w:tc>
        <w:tc>
          <w:tcPr>
            <w:tcW w:w="3096" w:type="dxa"/>
            <w:vAlign w:val="center"/>
          </w:tcPr>
          <w:p>
            <w:pPr>
              <w:pStyle w:val="BodyText"/>
              <w:jc w:val="left"/>
              <w:rPr>
                <w:sz w:val="24"/>
              </w:rPr>
            </w:pPr>
            <w:r>
              <w:rPr>
                <w:sz w:val="24"/>
              </w:rPr>
              <w:t>Do 31. 10. 2022 godine</w:t>
            </w:r>
          </w:p>
        </w:tc>
      </w:tr>
      <w:tr>
        <w:tc>
          <w:tcPr>
            <w:tcW w:w="709" w:type="dxa"/>
          </w:tcPr>
          <w:p>
            <w:pPr>
              <w:pStyle w:val="BodyText"/>
              <w:jc w:val="center"/>
              <w:rPr>
                <w:rFonts w:ascii="Calibri" w:hAnsi="Calibri"/>
                <w:sz w:val="20"/>
                <w:szCs w:val="20"/>
              </w:rPr>
            </w:pPr>
          </w:p>
          <w:p>
            <w:pPr>
              <w:pStyle w:val="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75" w:type="dxa"/>
            <w:tcBorders>
              <w:bottom w:val="single" w:sz="4" w:space="0" w:color="000000"/>
            </w:tcBorders>
            <w:vAlign w:val="center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Košnice pčela, uzgoj pčelinjih zajednica</w:t>
            </w:r>
          </w:p>
        </w:tc>
        <w:tc>
          <w:tcPr>
            <w:tcW w:w="3096" w:type="dxa"/>
            <w:vAlign w:val="center"/>
          </w:tcPr>
          <w:p>
            <w:pPr>
              <w:pStyle w:val="BodyTex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Do 30. 09. 2022 godine</w:t>
            </w:r>
          </w:p>
        </w:tc>
      </w:tr>
      <w:tr>
        <w:trPr>
          <w:trHeight w:val="408"/>
        </w:trPr>
        <w:tc>
          <w:tcPr>
            <w:tcW w:w="709" w:type="dxa"/>
          </w:tcPr>
          <w:p>
            <w:pPr>
              <w:pStyle w:val="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75" w:type="dxa"/>
            <w:tcBorders>
              <w:bottom w:val="single" w:sz="4" w:space="0" w:color="000000"/>
            </w:tcBorders>
            <w:vAlign w:val="center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Zdravstv zaštita pčela i unapređenje i unapređenje pčelinjeg fonda</w:t>
            </w:r>
          </w:p>
        </w:tc>
        <w:tc>
          <w:tcPr>
            <w:tcW w:w="3096" w:type="dxa"/>
            <w:vAlign w:val="center"/>
          </w:tcPr>
          <w:p>
            <w:pPr>
              <w:pStyle w:val="BodyTex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Do 30. 09. 2022 godine</w:t>
            </w:r>
          </w:p>
        </w:tc>
      </w:tr>
      <w:tr>
        <w:trPr>
          <w:trHeight w:val="255"/>
        </w:trPr>
        <w:tc>
          <w:tcPr>
            <w:tcW w:w="709" w:type="dxa"/>
          </w:tcPr>
          <w:p>
            <w:pPr>
              <w:pStyle w:val="BodyText"/>
              <w:jc w:val="center"/>
              <w:rPr>
                <w:rFonts w:ascii="Calibri" w:hAnsi="Calibri"/>
                <w:sz w:val="20"/>
                <w:szCs w:val="20"/>
              </w:rPr>
            </w:pPr>
          </w:p>
          <w:p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75" w:type="dxa"/>
            <w:tcBorders>
              <w:bottom w:val="single" w:sz="4" w:space="0" w:color="auto"/>
            </w:tcBorders>
            <w:vAlign w:val="center"/>
          </w:tcPr>
          <w:p>
            <w:pPr>
              <w:jc w:val="both"/>
              <w:rPr>
                <w:color w:val="000000"/>
              </w:rPr>
            </w:pPr>
            <w:r>
              <w:rPr>
                <w:rFonts w:ascii="Calibri" w:hAnsi="Calibri"/>
                <w:b/>
              </w:rPr>
              <w:t>B/ BILJNA PROIZVODNJA</w:t>
            </w:r>
          </w:p>
        </w:tc>
        <w:tc>
          <w:tcPr>
            <w:tcW w:w="3096" w:type="dxa"/>
            <w:vAlign w:val="center"/>
          </w:tcPr>
          <w:p>
            <w:pPr>
              <w:pStyle w:val="BodyText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  <w:tr>
        <w:tc>
          <w:tcPr>
            <w:tcW w:w="709" w:type="dxa"/>
          </w:tcPr>
          <w:p>
            <w:pPr>
              <w:pStyle w:val="BodyText"/>
              <w:jc w:val="center"/>
              <w:rPr>
                <w:rFonts w:ascii="Calibri" w:hAnsi="Calibri"/>
                <w:sz w:val="20"/>
                <w:szCs w:val="20"/>
              </w:rPr>
            </w:pPr>
          </w:p>
          <w:p>
            <w:pPr>
              <w:pStyle w:val="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75" w:type="dxa"/>
            <w:tcBorders>
              <w:top w:val="single" w:sz="4" w:space="0" w:color="auto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Proizvodnja kukuruza</w:t>
            </w:r>
          </w:p>
        </w:tc>
        <w:tc>
          <w:tcPr>
            <w:tcW w:w="3096" w:type="dxa"/>
            <w:vAlign w:val="center"/>
          </w:tcPr>
          <w:p>
            <w:pPr>
              <w:pStyle w:val="BodyText"/>
              <w:jc w:val="left"/>
              <w:rPr>
                <w:sz w:val="24"/>
              </w:rPr>
            </w:pPr>
            <w:r>
              <w:rPr>
                <w:sz w:val="24"/>
              </w:rPr>
              <w:t>Do  01.11. 2022 godine</w:t>
            </w:r>
          </w:p>
        </w:tc>
      </w:tr>
      <w:tr>
        <w:tc>
          <w:tcPr>
            <w:tcW w:w="709" w:type="dxa"/>
          </w:tcPr>
          <w:p>
            <w:pPr>
              <w:pStyle w:val="BodyText"/>
              <w:jc w:val="center"/>
              <w:rPr>
                <w:rFonts w:ascii="Calibri" w:hAnsi="Calibri"/>
                <w:sz w:val="20"/>
                <w:szCs w:val="20"/>
              </w:rPr>
            </w:pPr>
          </w:p>
          <w:p>
            <w:pPr>
              <w:pStyle w:val="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75" w:type="dxa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Proizvodnja kornišona za industrijsku preradu</w:t>
            </w:r>
          </w:p>
        </w:tc>
        <w:tc>
          <w:tcPr>
            <w:tcW w:w="3096" w:type="dxa"/>
            <w:vAlign w:val="center"/>
          </w:tcPr>
          <w:p>
            <w:pPr>
              <w:pStyle w:val="BodyText"/>
              <w:jc w:val="left"/>
              <w:rPr>
                <w:sz w:val="24"/>
              </w:rPr>
            </w:pPr>
            <w:r>
              <w:rPr>
                <w:sz w:val="24"/>
              </w:rPr>
              <w:t>Do  31.10. 2022 godine</w:t>
            </w:r>
          </w:p>
        </w:tc>
      </w:tr>
      <w:tr>
        <w:trPr>
          <w:trHeight w:val="345"/>
        </w:trPr>
        <w:tc>
          <w:tcPr>
            <w:tcW w:w="709" w:type="dxa"/>
          </w:tcPr>
          <w:p>
            <w:pPr>
              <w:pStyle w:val="BodyText"/>
              <w:jc w:val="center"/>
              <w:rPr>
                <w:rFonts w:ascii="Calibri" w:hAnsi="Calibri"/>
                <w:sz w:val="20"/>
                <w:szCs w:val="20"/>
              </w:rPr>
            </w:pPr>
          </w:p>
          <w:p>
            <w:pPr>
              <w:pStyle w:val="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75" w:type="dxa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Proizvodnja povrća i jagode  u zaštićenom prostoru</w:t>
            </w:r>
          </w:p>
        </w:tc>
        <w:tc>
          <w:tcPr>
            <w:tcW w:w="3096" w:type="dxa"/>
            <w:vAlign w:val="center"/>
          </w:tcPr>
          <w:p>
            <w:pPr>
              <w:pStyle w:val="BodyTex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Do  30. 09. 2022 godine</w:t>
            </w:r>
          </w:p>
        </w:tc>
      </w:tr>
      <w:tr>
        <w:tc>
          <w:tcPr>
            <w:tcW w:w="709" w:type="dxa"/>
          </w:tcPr>
          <w:p>
            <w:pPr>
              <w:pStyle w:val="BodyText"/>
              <w:jc w:val="center"/>
              <w:rPr>
                <w:rFonts w:ascii="Calibri" w:hAnsi="Calibri"/>
                <w:sz w:val="20"/>
                <w:szCs w:val="20"/>
              </w:rPr>
            </w:pPr>
          </w:p>
          <w:p>
            <w:pPr>
              <w:pStyle w:val="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75" w:type="dxa"/>
            <w:vAlign w:val="center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Proizvodnja krošnjastog voća</w:t>
            </w:r>
          </w:p>
        </w:tc>
        <w:tc>
          <w:tcPr>
            <w:tcW w:w="3096" w:type="dxa"/>
            <w:vAlign w:val="center"/>
          </w:tcPr>
          <w:p>
            <w:pPr>
              <w:pStyle w:val="BodyText"/>
              <w:jc w:val="left"/>
              <w:rPr>
                <w:sz w:val="24"/>
              </w:rPr>
            </w:pPr>
            <w:r>
              <w:rPr>
                <w:sz w:val="24"/>
              </w:rPr>
              <w:t>Do 31.10. 2022 godine</w:t>
            </w:r>
          </w:p>
        </w:tc>
      </w:tr>
      <w:tr>
        <w:tc>
          <w:tcPr>
            <w:tcW w:w="709" w:type="dxa"/>
          </w:tcPr>
          <w:p>
            <w:pPr>
              <w:pStyle w:val="BodyText"/>
              <w:jc w:val="center"/>
              <w:rPr>
                <w:rFonts w:ascii="Calibri" w:hAnsi="Calibri"/>
                <w:sz w:val="20"/>
                <w:szCs w:val="20"/>
              </w:rPr>
            </w:pPr>
          </w:p>
          <w:p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75" w:type="dxa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Podizanje nasada jagodičastog i krošnjastog voća </w:t>
            </w:r>
          </w:p>
        </w:tc>
        <w:tc>
          <w:tcPr>
            <w:tcW w:w="3096" w:type="dxa"/>
            <w:vAlign w:val="center"/>
          </w:tcPr>
          <w:p>
            <w:pPr>
              <w:pStyle w:val="BodyText"/>
              <w:jc w:val="left"/>
              <w:rPr>
                <w:sz w:val="24"/>
              </w:rPr>
            </w:pPr>
            <w:r>
              <w:rPr>
                <w:sz w:val="24"/>
              </w:rPr>
              <w:t>Do 15.10. 2022 godine</w:t>
            </w:r>
          </w:p>
        </w:tc>
      </w:tr>
      <w:tr>
        <w:tc>
          <w:tcPr>
            <w:tcW w:w="709" w:type="dxa"/>
          </w:tcPr>
          <w:p>
            <w:pPr>
              <w:pStyle w:val="BodyText"/>
              <w:jc w:val="center"/>
              <w:rPr>
                <w:rFonts w:ascii="Calibri" w:hAnsi="Calibri"/>
                <w:sz w:val="20"/>
                <w:szCs w:val="20"/>
              </w:rPr>
            </w:pPr>
          </w:p>
          <w:p>
            <w:pPr>
              <w:pStyle w:val="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75" w:type="dxa"/>
          </w:tcPr>
          <w:p>
            <w:pPr>
              <w:pStyle w:val="BodyText"/>
              <w:jc w:val="left"/>
              <w:rPr>
                <w:sz w:val="24"/>
              </w:rPr>
            </w:pPr>
            <w:r>
              <w:rPr>
                <w:color w:val="000000"/>
                <w:sz w:val="24"/>
              </w:rPr>
              <w:t>Regresiranje kamata na kredite namijenjene otkupu poljoprivrednih proizvoda</w:t>
            </w:r>
          </w:p>
        </w:tc>
        <w:tc>
          <w:tcPr>
            <w:tcW w:w="3096" w:type="dxa"/>
            <w:vAlign w:val="center"/>
          </w:tcPr>
          <w:p>
            <w:pPr>
              <w:pStyle w:val="BodyText"/>
              <w:jc w:val="left"/>
              <w:rPr>
                <w:sz w:val="24"/>
              </w:rPr>
            </w:pPr>
            <w:r>
              <w:rPr>
                <w:sz w:val="24"/>
              </w:rPr>
              <w:t>Do 02.11. 2022 godine</w:t>
            </w:r>
          </w:p>
        </w:tc>
      </w:tr>
      <w:tr>
        <w:tc>
          <w:tcPr>
            <w:tcW w:w="709" w:type="dxa"/>
          </w:tcPr>
          <w:p>
            <w:pPr>
              <w:pStyle w:val="BodyText"/>
              <w:jc w:val="center"/>
              <w:rPr>
                <w:rFonts w:ascii="Calibri" w:hAnsi="Calibri"/>
                <w:sz w:val="20"/>
                <w:szCs w:val="20"/>
              </w:rPr>
            </w:pPr>
          </w:p>
          <w:p>
            <w:pPr>
              <w:pStyle w:val="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75" w:type="dxa"/>
            <w:vAlign w:val="bottom"/>
          </w:tcPr>
          <w:p>
            <w:pPr>
              <w:pStyle w:val="BodyText"/>
              <w:jc w:val="left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MODEL KAPITALNIH ULAGANJA</w:t>
            </w:r>
          </w:p>
        </w:tc>
        <w:tc>
          <w:tcPr>
            <w:tcW w:w="3096" w:type="dxa"/>
            <w:tcBorders>
              <w:bottom w:val="single" w:sz="4" w:space="0" w:color="000000"/>
            </w:tcBorders>
            <w:vAlign w:val="bottom"/>
          </w:tcPr>
          <w:p>
            <w:pPr>
              <w:pStyle w:val="BodyText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  <w:tr>
        <w:tc>
          <w:tcPr>
            <w:tcW w:w="709" w:type="dxa"/>
          </w:tcPr>
          <w:p>
            <w:pPr>
              <w:pStyle w:val="BodyText"/>
              <w:jc w:val="center"/>
              <w:rPr>
                <w:rFonts w:ascii="Calibri" w:hAnsi="Calibri"/>
                <w:sz w:val="20"/>
                <w:szCs w:val="20"/>
              </w:rPr>
            </w:pPr>
          </w:p>
          <w:p>
            <w:pPr>
              <w:pStyle w:val="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75" w:type="dxa"/>
            <w:vAlign w:val="bottom"/>
          </w:tcPr>
          <w:p>
            <w:pPr>
              <w:pStyle w:val="BodyText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Nabavka osnovnog stada (teladi)</w:t>
            </w:r>
          </w:p>
        </w:tc>
        <w:tc>
          <w:tcPr>
            <w:tcW w:w="3096" w:type="dxa"/>
            <w:vAlign w:val="bottom"/>
          </w:tcPr>
          <w:p>
            <w:pPr>
              <w:pStyle w:val="BodyText"/>
              <w:jc w:val="left"/>
              <w:rPr>
                <w:sz w:val="24"/>
              </w:rPr>
            </w:pPr>
            <w:r>
              <w:rPr>
                <w:sz w:val="24"/>
              </w:rPr>
              <w:t>Do 31.10. 2022 godine</w:t>
            </w:r>
          </w:p>
        </w:tc>
      </w:tr>
      <w:t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"/>
              <w:jc w:val="center"/>
              <w:rPr>
                <w:rFonts w:ascii="Calibri" w:hAnsi="Calibri"/>
                <w:sz w:val="20"/>
                <w:szCs w:val="20"/>
              </w:rPr>
            </w:pPr>
          </w:p>
          <w:p>
            <w:pPr>
              <w:pStyle w:val="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BodyText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Nabavka rasplodne stoke -junice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BodyTex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Do 30. 09. 2022 godine</w:t>
            </w:r>
          </w:p>
        </w:tc>
      </w:tr>
    </w:tbl>
    <w:p>
      <w:pPr>
        <w:rPr>
          <w:rFonts w:ascii="Calibri" w:hAnsi="Calibri"/>
          <w:sz w:val="36"/>
        </w:rPr>
      </w:pPr>
    </w:p>
    <w:p>
      <w:pPr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 xml:space="preserve">                                    </w:t>
      </w:r>
      <w:r>
        <w:t>OPĆINSKA SLUŽBA ZA PODUZETNIŠTVO I FINANSIJE</w:t>
      </w:r>
      <w:r>
        <w:rPr>
          <w:rFonts w:ascii="Calibri" w:hAnsi="Calibri"/>
          <w:sz w:val="36"/>
        </w:rPr>
        <w:t xml:space="preserve"> </w:t>
      </w:r>
      <w:r>
        <w:rPr>
          <w:rFonts w:ascii="Calibri" w:hAnsi="Calibri"/>
          <w:sz w:val="22"/>
          <w:szCs w:val="22"/>
          <w:lang w:val="hr-HR"/>
        </w:rPr>
        <w:t xml:space="preserve"> </w:t>
      </w:r>
    </w:p>
    <w:sectPr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lang w:val="hr-H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6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8"/>
      <w:lang w:val="hr-HR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1C6CF-E93E-44B8-AFC2-5A3B08013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damira</dc:creator>
  <cp:lastModifiedBy>localadmin</cp:lastModifiedBy>
  <cp:revision>2</cp:revision>
  <cp:lastPrinted>2021-08-27T06:09:00Z</cp:lastPrinted>
  <dcterms:created xsi:type="dcterms:W3CDTF">2022-08-26T07:11:00Z</dcterms:created>
  <dcterms:modified xsi:type="dcterms:W3CDTF">2022-08-26T07:11:00Z</dcterms:modified>
</cp:coreProperties>
</file>