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numbering.xml" ContentType="application/vnd.openxmlformats-officedocument.wordprocessingml.numbering+xml"/>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200" w:line="276"/>
        <w:ind w:right="0" w:left="0" w:firstLine="0"/>
        <w:jc w:val="right"/>
        <w:rPr>
          <w:rFonts w:ascii="Calibri" w:hAnsi="Calibri" w:cs="Calibri" w:eastAsia="Calibri"/>
          <w:b/>
          <w:caps w:val="true"/>
          <w:color w:val="auto"/>
          <w:spacing w:val="0"/>
          <w:position w:val="0"/>
          <w:sz w:val="36"/>
          <w:shd w:fill="auto" w:val="clear"/>
        </w:rPr>
      </w:pPr>
      <w:r>
        <w:rPr>
          <w:rFonts w:ascii="Calibri" w:hAnsi="Calibri" w:cs="Calibri" w:eastAsia="Calibri"/>
          <w:b/>
          <w:caps w:val="true"/>
          <w:color w:val="auto"/>
          <w:spacing w:val="0"/>
          <w:position w:val="0"/>
          <w:sz w:val="36"/>
          <w:shd w:fill="auto" w:val="clear"/>
        </w:rPr>
        <w:t xml:space="preserve">PRIJEDLOG</w:t>
      </w:r>
    </w:p>
    <w:p>
      <w:pPr>
        <w:spacing w:before="0" w:after="200" w:line="276"/>
        <w:ind w:right="0" w:left="0" w:firstLine="0"/>
        <w:jc w:val="center"/>
        <w:rPr>
          <w:rFonts w:ascii="Calibri" w:hAnsi="Calibri" w:cs="Calibri" w:eastAsia="Calibri"/>
          <w:b/>
          <w:caps w:val="true"/>
          <w:color w:val="auto"/>
          <w:spacing w:val="0"/>
          <w:position w:val="0"/>
          <w:sz w:val="36"/>
          <w:shd w:fill="FFFF00" w:val="clear"/>
        </w:rPr>
      </w:pPr>
      <w:r>
        <w:object w:dxaOrig="1903" w:dyaOrig="2348">
          <v:rect xmlns:o="urn:schemas-microsoft-com:office:office" xmlns:v="urn:schemas-microsoft-com:vml" id="rectole0000000000" style="width:95.150000pt;height:117.4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200" w:line="276"/>
        <w:ind w:right="0" w:left="0" w:firstLine="0"/>
        <w:jc w:val="center"/>
        <w:rPr>
          <w:rFonts w:ascii="Calibri" w:hAnsi="Calibri" w:cs="Calibri" w:eastAsia="Calibri"/>
          <w:b/>
          <w:caps w:val="true"/>
          <w:color w:val="auto"/>
          <w:spacing w:val="0"/>
          <w:position w:val="0"/>
          <w:sz w:val="36"/>
          <w:shd w:fill="FFFF00" w:val="clear"/>
        </w:rPr>
      </w:pPr>
    </w:p>
    <w:p>
      <w:pPr>
        <w:spacing w:before="0" w:after="200" w:line="276"/>
        <w:ind w:right="0" w:left="0" w:firstLine="0"/>
        <w:jc w:val="center"/>
        <w:rPr>
          <w:rFonts w:ascii="Calibri" w:hAnsi="Calibri" w:cs="Calibri" w:eastAsia="Calibri"/>
          <w:b/>
          <w:caps w:val="true"/>
          <w:color w:val="auto"/>
          <w:spacing w:val="0"/>
          <w:position w:val="0"/>
          <w:sz w:val="36"/>
          <w:shd w:fill="FFFF00" w:val="clear"/>
        </w:rPr>
      </w:pPr>
    </w:p>
    <w:p>
      <w:pPr>
        <w:spacing w:before="0" w:after="200" w:line="276"/>
        <w:ind w:right="0" w:left="0" w:firstLine="0"/>
        <w:jc w:val="center"/>
        <w:rPr>
          <w:rFonts w:ascii="Calibri" w:hAnsi="Calibri" w:cs="Calibri" w:eastAsia="Calibri"/>
          <w:b/>
          <w:caps w:val="true"/>
          <w:color w:val="auto"/>
          <w:spacing w:val="0"/>
          <w:position w:val="0"/>
          <w:sz w:val="36"/>
          <w:shd w:fill="FFFF00" w:val="clear"/>
        </w:rPr>
      </w:pPr>
    </w:p>
    <w:p>
      <w:pPr>
        <w:spacing w:before="0" w:after="200" w:line="276"/>
        <w:ind w:right="0" w:left="0" w:firstLine="0"/>
        <w:jc w:val="center"/>
        <w:rPr>
          <w:rFonts w:ascii="Calibri" w:hAnsi="Calibri" w:cs="Calibri" w:eastAsia="Calibri"/>
          <w:b/>
          <w:caps w:val="true"/>
          <w:color w:val="auto"/>
          <w:spacing w:val="0"/>
          <w:position w:val="0"/>
          <w:sz w:val="36"/>
          <w:shd w:fill="auto" w:val="clear"/>
        </w:rPr>
      </w:pPr>
    </w:p>
    <w:p>
      <w:pPr>
        <w:spacing w:before="0" w:after="200" w:line="276"/>
        <w:ind w:right="0" w:left="0" w:firstLine="0"/>
        <w:jc w:val="center"/>
        <w:rPr>
          <w:rFonts w:ascii="Calibri" w:hAnsi="Calibri" w:cs="Calibri" w:eastAsia="Calibri"/>
          <w:b/>
          <w:color w:val="auto"/>
          <w:spacing w:val="0"/>
          <w:position w:val="0"/>
          <w:sz w:val="36"/>
          <w:shd w:fill="auto" w:val="clear"/>
        </w:rPr>
      </w:pPr>
      <w:r>
        <w:rPr>
          <w:rFonts w:ascii="Calibri" w:hAnsi="Calibri" w:cs="Calibri" w:eastAsia="Calibri"/>
          <w:b/>
          <w:color w:val="auto"/>
          <w:spacing w:val="0"/>
          <w:position w:val="0"/>
          <w:sz w:val="36"/>
          <w:shd w:fill="auto" w:val="clear"/>
        </w:rPr>
        <w:t xml:space="preserve">Akcioni plan održivog upravljanja energijom i prilago</w:t>
      </w:r>
      <w:r>
        <w:rPr>
          <w:rFonts w:ascii="Calibri" w:hAnsi="Calibri" w:cs="Calibri" w:eastAsia="Calibri"/>
          <w:b/>
          <w:color w:val="auto"/>
          <w:spacing w:val="0"/>
          <w:position w:val="0"/>
          <w:sz w:val="36"/>
          <w:shd w:fill="auto" w:val="clear"/>
        </w:rPr>
        <w:t xml:space="preserve">đavanja </w:t>
      </w:r>
    </w:p>
    <w:p>
      <w:pPr>
        <w:spacing w:before="0" w:after="200" w:line="276"/>
        <w:ind w:right="0" w:left="0" w:firstLine="0"/>
        <w:jc w:val="center"/>
        <w:rPr>
          <w:rFonts w:ascii="Calibri" w:hAnsi="Calibri" w:cs="Calibri" w:eastAsia="Calibri"/>
          <w:b/>
          <w:color w:val="auto"/>
          <w:spacing w:val="0"/>
          <w:position w:val="0"/>
          <w:sz w:val="36"/>
          <w:shd w:fill="auto" w:val="clear"/>
        </w:rPr>
      </w:pPr>
      <w:r>
        <w:rPr>
          <w:rFonts w:ascii="Calibri" w:hAnsi="Calibri" w:cs="Calibri" w:eastAsia="Calibri"/>
          <w:b/>
          <w:color w:val="auto"/>
          <w:spacing w:val="0"/>
          <w:position w:val="0"/>
          <w:sz w:val="36"/>
          <w:shd w:fill="auto" w:val="clear"/>
        </w:rPr>
        <w:t xml:space="preserve">klimatskim promjenama Op</w:t>
      </w:r>
      <w:r>
        <w:rPr>
          <w:rFonts w:ascii="Calibri" w:hAnsi="Calibri" w:cs="Calibri" w:eastAsia="Calibri"/>
          <w:b/>
          <w:color w:val="auto"/>
          <w:spacing w:val="0"/>
          <w:position w:val="0"/>
          <w:sz w:val="36"/>
          <w:shd w:fill="auto" w:val="clear"/>
        </w:rPr>
        <w:t xml:space="preserve">ćine Doboj Istok (SECAP) </w:t>
      </w:r>
    </w:p>
    <w:p>
      <w:pPr>
        <w:spacing w:before="0" w:after="200" w:line="276"/>
        <w:ind w:right="0" w:left="0" w:firstLine="0"/>
        <w:jc w:val="center"/>
        <w:rPr>
          <w:rFonts w:ascii="Calibri" w:hAnsi="Calibri" w:cs="Calibri" w:eastAsia="Calibri"/>
          <w:b/>
          <w:i/>
          <w:caps w:val="true"/>
          <w:color w:val="auto"/>
          <w:spacing w:val="0"/>
          <w:position w:val="0"/>
          <w:sz w:val="36"/>
          <w:shd w:fill="auto" w:val="clear"/>
        </w:rPr>
      </w:pPr>
      <w:r>
        <w:rPr>
          <w:rFonts w:ascii="Calibri" w:hAnsi="Calibri" w:cs="Calibri" w:eastAsia="Calibri"/>
          <w:b/>
          <w:color w:val="auto"/>
          <w:spacing w:val="0"/>
          <w:position w:val="0"/>
          <w:sz w:val="36"/>
          <w:shd w:fill="auto" w:val="clear"/>
        </w:rPr>
        <w:t xml:space="preserve">za period do 2030. godine</w:t>
      </w:r>
    </w:p>
    <w:p>
      <w:pPr>
        <w:spacing w:before="0" w:after="200" w:line="276"/>
        <w:ind w:right="0" w:left="0" w:firstLine="0"/>
        <w:jc w:val="center"/>
        <w:rPr>
          <w:rFonts w:ascii="Calibri" w:hAnsi="Calibri" w:cs="Calibri" w:eastAsia="Calibri"/>
          <w:b/>
          <w:i/>
          <w:caps w:val="true"/>
          <w:color w:val="auto"/>
          <w:spacing w:val="0"/>
          <w:position w:val="0"/>
          <w:sz w:val="36"/>
          <w:shd w:fill="auto" w:val="clear"/>
        </w:rPr>
      </w:pPr>
    </w:p>
    <w:p>
      <w:pPr>
        <w:spacing w:before="0" w:after="200" w:line="276"/>
        <w:ind w:right="0" w:left="0" w:firstLine="0"/>
        <w:jc w:val="center"/>
        <w:rPr>
          <w:rFonts w:ascii="Calibri" w:hAnsi="Calibri" w:cs="Calibri" w:eastAsia="Calibri"/>
          <w:b/>
          <w:caps w:val="true"/>
          <w:color w:val="FF0000"/>
          <w:spacing w:val="0"/>
          <w:position w:val="0"/>
          <w:sz w:val="36"/>
          <w:shd w:fill="auto" w:val="clear"/>
        </w:rPr>
      </w:pPr>
    </w:p>
    <w:p>
      <w:pPr>
        <w:spacing w:before="0" w:after="200" w:line="276"/>
        <w:ind w:right="0" w:left="0" w:firstLine="0"/>
        <w:jc w:val="center"/>
        <w:rPr>
          <w:rFonts w:ascii="Calibri" w:hAnsi="Calibri" w:cs="Calibri" w:eastAsia="Calibri"/>
          <w:b/>
          <w:caps w:val="true"/>
          <w:color w:val="FF0000"/>
          <w:spacing w:val="0"/>
          <w:position w:val="0"/>
          <w:sz w:val="36"/>
          <w:shd w:fill="auto" w:val="clear"/>
        </w:rPr>
      </w:pPr>
    </w:p>
    <w:p>
      <w:pPr>
        <w:spacing w:before="0" w:after="200" w:line="276"/>
        <w:ind w:right="0" w:left="0" w:firstLine="0"/>
        <w:jc w:val="center"/>
        <w:rPr>
          <w:rFonts w:ascii="Calibri" w:hAnsi="Calibri" w:cs="Calibri" w:eastAsia="Calibri"/>
          <w:b/>
          <w:caps w:val="true"/>
          <w:color w:val="FF0000"/>
          <w:spacing w:val="0"/>
          <w:position w:val="0"/>
          <w:sz w:val="36"/>
          <w:shd w:fill="auto" w:val="clear"/>
        </w:rPr>
      </w:pPr>
    </w:p>
    <w:p>
      <w:pPr>
        <w:spacing w:before="0" w:after="200" w:line="276"/>
        <w:ind w:right="0" w:left="0" w:firstLine="0"/>
        <w:jc w:val="center"/>
        <w:rPr>
          <w:rFonts w:ascii="Calibri" w:hAnsi="Calibri" w:cs="Calibri" w:eastAsia="Calibri"/>
          <w:b/>
          <w:color w:val="auto"/>
          <w:spacing w:val="0"/>
          <w:position w:val="0"/>
          <w:sz w:val="22"/>
          <w:shd w:fill="FFFF00" w:val="clear"/>
        </w:rPr>
      </w:pPr>
    </w:p>
    <w:p>
      <w:pPr>
        <w:spacing w:before="0" w:after="200" w:line="276"/>
        <w:ind w:right="0" w:left="0" w:firstLine="0"/>
        <w:jc w:val="both"/>
        <w:rPr>
          <w:rFonts w:ascii="Calibri" w:hAnsi="Calibri" w:cs="Calibri" w:eastAsia="Calibri"/>
          <w:b/>
          <w:color w:val="auto"/>
          <w:spacing w:val="0"/>
          <w:position w:val="0"/>
          <w:sz w:val="22"/>
          <w:shd w:fill="FFFF00" w:val="clear"/>
        </w:rPr>
      </w:pPr>
    </w:p>
    <w:p>
      <w:pPr>
        <w:spacing w:before="0" w:after="200" w:line="276"/>
        <w:ind w:right="0" w:left="0" w:firstLine="0"/>
        <w:jc w:val="center"/>
        <w:rPr>
          <w:rFonts w:ascii="Calibri" w:hAnsi="Calibri" w:cs="Calibri" w:eastAsia="Calibri"/>
          <w:b/>
          <w:color w:val="auto"/>
          <w:spacing w:val="0"/>
          <w:position w:val="0"/>
          <w:sz w:val="22"/>
          <w:shd w:fill="FFFF00" w:val="clear"/>
        </w:rPr>
      </w:pPr>
    </w:p>
    <w:p>
      <w:pPr>
        <w:spacing w:before="0" w:after="200" w:line="276"/>
        <w:ind w:right="0" w:left="0" w:firstLine="0"/>
        <w:jc w:val="center"/>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Tuzla, juni 2020. godine</w:t>
      </w:r>
    </w:p>
    <w:p>
      <w:pPr>
        <w:spacing w:before="0" w:after="200" w:line="276"/>
        <w:ind w:right="0" w:left="0" w:firstLine="0"/>
        <w:jc w:val="center"/>
        <w:rPr>
          <w:rFonts w:ascii="Calibri" w:hAnsi="Calibri" w:cs="Calibri" w:eastAsia="Calibri"/>
          <w:color w:val="auto"/>
          <w:spacing w:val="0"/>
          <w:position w:val="0"/>
          <w:sz w:val="22"/>
          <w:shd w:fill="FFFF00" w:val="clear"/>
        </w:rPr>
      </w:pPr>
    </w:p>
    <w:p>
      <w:pPr>
        <w:spacing w:before="0" w:after="0" w:line="240"/>
        <w:ind w:right="0" w:left="0" w:firstLine="0"/>
        <w:jc w:val="both"/>
        <w:rPr>
          <w:rFonts w:ascii="Calibri" w:hAnsi="Calibri" w:cs="Calibri" w:eastAsia="Calibri"/>
          <w:color w:val="auto"/>
          <w:spacing w:val="0"/>
          <w:position w:val="0"/>
          <w:sz w:val="18"/>
          <w:shd w:fill="FFFF00" w:val="clear"/>
        </w:rPr>
      </w:pPr>
    </w:p>
    <w:p>
      <w:pPr>
        <w:spacing w:before="0" w:after="0" w:line="240"/>
        <w:ind w:right="0" w:left="0" w:firstLine="0"/>
        <w:jc w:val="both"/>
        <w:rPr>
          <w:rFonts w:ascii="Calibri" w:hAnsi="Calibri" w:cs="Calibri" w:eastAsia="Calibri"/>
          <w:color w:val="auto"/>
          <w:spacing w:val="0"/>
          <w:position w:val="0"/>
          <w:sz w:val="18"/>
          <w:shd w:fill="FFFF00" w:val="clear"/>
        </w:rPr>
      </w:pPr>
    </w:p>
    <w:p>
      <w:pPr>
        <w:spacing w:before="0" w:after="0" w:line="240"/>
        <w:ind w:right="0" w:left="0" w:firstLine="0"/>
        <w:jc w:val="both"/>
        <w:rPr>
          <w:rFonts w:ascii="Calibri" w:hAnsi="Calibri" w:cs="Calibri" w:eastAsia="Calibri"/>
          <w:color w:val="auto"/>
          <w:spacing w:val="0"/>
          <w:position w:val="0"/>
          <w:sz w:val="18"/>
          <w:shd w:fill="FFFF00" w:val="clear"/>
        </w:rPr>
      </w:pPr>
    </w:p>
    <w:p>
      <w:pPr>
        <w:spacing w:before="0" w:after="0" w:line="240"/>
        <w:ind w:right="0" w:left="0" w:firstLine="0"/>
        <w:jc w:val="both"/>
        <w:rPr>
          <w:rFonts w:ascii="Calibri" w:hAnsi="Calibri" w:cs="Calibri" w:eastAsia="Calibri"/>
          <w:color w:val="auto"/>
          <w:spacing w:val="0"/>
          <w:position w:val="0"/>
          <w:sz w:val="18"/>
          <w:shd w:fill="FFFF00" w:val="clear"/>
        </w:rPr>
      </w:pPr>
    </w:p>
    <w:p>
      <w:pPr>
        <w:spacing w:before="0" w:after="0" w:line="240"/>
        <w:ind w:right="0" w:left="0" w:firstLine="0"/>
        <w:jc w:val="both"/>
        <w:rPr>
          <w:rFonts w:ascii="Calibri" w:hAnsi="Calibri" w:cs="Calibri" w:eastAsia="Calibri"/>
          <w:color w:val="auto"/>
          <w:spacing w:val="0"/>
          <w:position w:val="0"/>
          <w:sz w:val="18"/>
          <w:shd w:fill="FFFF00" w:val="clear"/>
        </w:rPr>
      </w:pPr>
    </w:p>
    <w:p>
      <w:pPr>
        <w:spacing w:before="0" w:after="0" w:line="240"/>
        <w:ind w:right="0" w:left="0" w:firstLine="0"/>
        <w:jc w:val="both"/>
        <w:rPr>
          <w:rFonts w:ascii="Calibri" w:hAnsi="Calibri" w:cs="Calibri" w:eastAsia="Calibri"/>
          <w:color w:val="auto"/>
          <w:spacing w:val="0"/>
          <w:position w:val="0"/>
          <w:sz w:val="18"/>
          <w:shd w:fill="FFFF00" w:val="clear"/>
        </w:rPr>
      </w:pPr>
    </w:p>
    <w:p>
      <w:pPr>
        <w:spacing w:before="0" w:after="0" w:line="240"/>
        <w:ind w:right="0" w:left="0" w:firstLine="0"/>
        <w:jc w:val="both"/>
        <w:rPr>
          <w:rFonts w:ascii="Calibri" w:hAnsi="Calibri" w:cs="Calibri" w:eastAsia="Calibri"/>
          <w:color w:val="auto"/>
          <w:spacing w:val="0"/>
          <w:position w:val="0"/>
          <w:sz w:val="18"/>
          <w:shd w:fill="FFFF00" w:val="clear"/>
        </w:rPr>
      </w:pPr>
    </w:p>
    <w:p>
      <w:pPr>
        <w:spacing w:before="0" w:after="0" w:line="240"/>
        <w:ind w:right="0" w:left="0" w:firstLine="0"/>
        <w:jc w:val="both"/>
        <w:rPr>
          <w:rFonts w:ascii="Calibri" w:hAnsi="Calibri" w:cs="Calibri" w:eastAsia="Calibri"/>
          <w:color w:val="auto"/>
          <w:spacing w:val="0"/>
          <w:position w:val="0"/>
          <w:sz w:val="18"/>
          <w:shd w:fill="FFFF00" w:val="clear"/>
        </w:rPr>
      </w:pPr>
    </w:p>
    <w:p>
      <w:pPr>
        <w:spacing w:before="0" w:after="0" w:line="240"/>
        <w:ind w:right="0" w:left="0" w:firstLine="0"/>
        <w:jc w:val="both"/>
        <w:rPr>
          <w:rFonts w:ascii="Calibri" w:hAnsi="Calibri" w:cs="Calibri" w:eastAsia="Calibri"/>
          <w:color w:val="auto"/>
          <w:spacing w:val="0"/>
          <w:position w:val="0"/>
          <w:sz w:val="18"/>
          <w:shd w:fill="FFFF00" w:val="clear"/>
        </w:rPr>
      </w:pPr>
    </w:p>
    <w:p>
      <w:pPr>
        <w:spacing w:before="0" w:after="0" w:line="240"/>
        <w:ind w:right="0" w:left="0" w:firstLine="0"/>
        <w:jc w:val="both"/>
        <w:rPr>
          <w:rFonts w:ascii="Calibri" w:hAnsi="Calibri" w:cs="Calibri" w:eastAsia="Calibri"/>
          <w:color w:val="auto"/>
          <w:spacing w:val="0"/>
          <w:position w:val="0"/>
          <w:sz w:val="18"/>
          <w:shd w:fill="FFFF00" w:val="clear"/>
        </w:rPr>
      </w:pPr>
    </w:p>
    <w:p>
      <w:pPr>
        <w:spacing w:before="0" w:after="0" w:line="240"/>
        <w:ind w:right="0" w:left="0" w:firstLine="0"/>
        <w:jc w:val="both"/>
        <w:rPr>
          <w:rFonts w:ascii="Calibri" w:hAnsi="Calibri" w:cs="Calibri" w:eastAsia="Calibri"/>
          <w:color w:val="auto"/>
          <w:spacing w:val="0"/>
          <w:position w:val="0"/>
          <w:sz w:val="18"/>
          <w:shd w:fill="FFFF00" w:val="clear"/>
        </w:rPr>
      </w:pPr>
    </w:p>
    <w:p>
      <w:pPr>
        <w:spacing w:before="0" w:after="0" w:line="240"/>
        <w:ind w:right="0" w:left="0" w:firstLine="0"/>
        <w:jc w:val="both"/>
        <w:rPr>
          <w:rFonts w:ascii="Calibri" w:hAnsi="Calibri" w:cs="Calibri" w:eastAsia="Calibri"/>
          <w:color w:val="auto"/>
          <w:spacing w:val="0"/>
          <w:position w:val="0"/>
          <w:sz w:val="18"/>
          <w:shd w:fill="FFFF00" w:val="clear"/>
        </w:rPr>
      </w:pPr>
    </w:p>
    <w:p>
      <w:pPr>
        <w:spacing w:before="0" w:after="0" w:line="240"/>
        <w:ind w:right="0" w:left="0" w:firstLine="0"/>
        <w:jc w:val="both"/>
        <w:rPr>
          <w:rFonts w:ascii="Calibri" w:hAnsi="Calibri" w:cs="Calibri" w:eastAsia="Calibri"/>
          <w:color w:val="auto"/>
          <w:spacing w:val="0"/>
          <w:position w:val="0"/>
          <w:sz w:val="18"/>
          <w:shd w:fill="FFFF00" w:val="clear"/>
        </w:rPr>
      </w:pPr>
    </w:p>
    <w:p>
      <w:pPr>
        <w:spacing w:before="0" w:after="0" w:line="240"/>
        <w:ind w:right="0" w:left="0" w:firstLine="0"/>
        <w:jc w:val="both"/>
        <w:rPr>
          <w:rFonts w:ascii="Calibri" w:hAnsi="Calibri" w:cs="Calibri" w:eastAsia="Calibri"/>
          <w:color w:val="auto"/>
          <w:spacing w:val="0"/>
          <w:position w:val="0"/>
          <w:sz w:val="18"/>
          <w:shd w:fill="FFFF00" w:val="clear"/>
        </w:rPr>
      </w:pPr>
    </w:p>
    <w:p>
      <w:pPr>
        <w:spacing w:before="0" w:after="0" w:line="240"/>
        <w:ind w:right="0" w:left="0" w:firstLine="0"/>
        <w:jc w:val="both"/>
        <w:rPr>
          <w:rFonts w:ascii="Calibri" w:hAnsi="Calibri" w:cs="Calibri" w:eastAsia="Calibri"/>
          <w:color w:val="auto"/>
          <w:spacing w:val="0"/>
          <w:position w:val="0"/>
          <w:sz w:val="18"/>
          <w:shd w:fill="FFFF00" w:val="clear"/>
        </w:rPr>
      </w:pPr>
    </w:p>
    <w:p>
      <w:pPr>
        <w:spacing w:before="0" w:after="0" w:line="240"/>
        <w:ind w:right="0" w:left="0" w:firstLine="0"/>
        <w:jc w:val="both"/>
        <w:rPr>
          <w:rFonts w:ascii="Calibri" w:hAnsi="Calibri" w:cs="Calibri" w:eastAsia="Calibri"/>
          <w:color w:val="auto"/>
          <w:spacing w:val="0"/>
          <w:position w:val="0"/>
          <w:sz w:val="18"/>
          <w:shd w:fill="FFFF00" w:val="clear"/>
        </w:rPr>
      </w:pPr>
    </w:p>
    <w:p>
      <w:pPr>
        <w:spacing w:before="0" w:after="0" w:line="240"/>
        <w:ind w:right="0" w:left="0" w:firstLine="0"/>
        <w:jc w:val="both"/>
        <w:rPr>
          <w:rFonts w:ascii="Calibri" w:hAnsi="Calibri" w:cs="Calibri" w:eastAsia="Calibri"/>
          <w:color w:val="auto"/>
          <w:spacing w:val="0"/>
          <w:position w:val="0"/>
          <w:sz w:val="18"/>
          <w:shd w:fill="FFFF00" w:val="clear"/>
        </w:rPr>
      </w:pPr>
    </w:p>
    <w:p>
      <w:pPr>
        <w:spacing w:before="0" w:after="0" w:line="240"/>
        <w:ind w:right="0" w:left="0" w:firstLine="0"/>
        <w:jc w:val="both"/>
        <w:rPr>
          <w:rFonts w:ascii="Calibri" w:hAnsi="Calibri" w:cs="Calibri" w:eastAsia="Calibri"/>
          <w:color w:val="auto"/>
          <w:spacing w:val="0"/>
          <w:position w:val="0"/>
          <w:sz w:val="18"/>
          <w:shd w:fill="FFFF00" w:val="clear"/>
        </w:rPr>
      </w:pPr>
    </w:p>
    <w:p>
      <w:pPr>
        <w:spacing w:before="0" w:after="0" w:line="240"/>
        <w:ind w:right="0" w:left="0" w:firstLine="0"/>
        <w:jc w:val="both"/>
        <w:rPr>
          <w:rFonts w:ascii="Calibri" w:hAnsi="Calibri" w:cs="Calibri" w:eastAsia="Calibri"/>
          <w:color w:val="auto"/>
          <w:spacing w:val="0"/>
          <w:position w:val="0"/>
          <w:sz w:val="18"/>
          <w:shd w:fill="FFFF00" w:val="clear"/>
        </w:rPr>
      </w:pPr>
    </w:p>
    <w:p>
      <w:pPr>
        <w:spacing w:before="0" w:after="0" w:line="240"/>
        <w:ind w:right="0" w:left="0" w:firstLine="0"/>
        <w:jc w:val="both"/>
        <w:rPr>
          <w:rFonts w:ascii="Calibri" w:hAnsi="Calibri" w:cs="Calibri" w:eastAsia="Calibri"/>
          <w:color w:val="auto"/>
          <w:spacing w:val="0"/>
          <w:position w:val="0"/>
          <w:sz w:val="18"/>
          <w:shd w:fill="FFFF00" w:val="clear"/>
        </w:rPr>
      </w:pPr>
    </w:p>
    <w:p>
      <w:pPr>
        <w:spacing w:before="0" w:after="0" w:line="240"/>
        <w:ind w:right="0" w:left="0" w:firstLine="0"/>
        <w:jc w:val="both"/>
        <w:rPr>
          <w:rFonts w:ascii="Calibri" w:hAnsi="Calibri" w:cs="Calibri" w:eastAsia="Calibri"/>
          <w:color w:val="auto"/>
          <w:spacing w:val="0"/>
          <w:position w:val="0"/>
          <w:sz w:val="18"/>
          <w:shd w:fill="FFFF00" w:val="clear"/>
        </w:rPr>
      </w:pPr>
    </w:p>
    <w:p>
      <w:pPr>
        <w:spacing w:before="0" w:after="0" w:line="240"/>
        <w:ind w:right="0" w:left="0" w:firstLine="0"/>
        <w:jc w:val="both"/>
        <w:rPr>
          <w:rFonts w:ascii="Calibri" w:hAnsi="Calibri" w:cs="Calibri" w:eastAsia="Calibri"/>
          <w:color w:val="auto"/>
          <w:spacing w:val="0"/>
          <w:position w:val="0"/>
          <w:sz w:val="18"/>
          <w:shd w:fill="FFFF00" w:val="clear"/>
        </w:rPr>
      </w:pPr>
    </w:p>
    <w:p>
      <w:pPr>
        <w:spacing w:before="0" w:after="0" w:line="240"/>
        <w:ind w:right="0" w:left="0" w:firstLine="0"/>
        <w:jc w:val="both"/>
        <w:rPr>
          <w:rFonts w:ascii="Calibri" w:hAnsi="Calibri" w:cs="Calibri" w:eastAsia="Calibri"/>
          <w:color w:val="auto"/>
          <w:spacing w:val="0"/>
          <w:position w:val="0"/>
          <w:sz w:val="18"/>
          <w:shd w:fill="FFFF00" w:val="clear"/>
        </w:rPr>
      </w:pPr>
    </w:p>
    <w:p>
      <w:pPr>
        <w:spacing w:before="0" w:after="0" w:line="240"/>
        <w:ind w:right="0" w:left="0" w:firstLine="0"/>
        <w:jc w:val="both"/>
        <w:rPr>
          <w:rFonts w:ascii="Calibri" w:hAnsi="Calibri" w:cs="Calibri" w:eastAsia="Calibri"/>
          <w:color w:val="auto"/>
          <w:spacing w:val="0"/>
          <w:position w:val="0"/>
          <w:sz w:val="18"/>
          <w:shd w:fill="FFFF00" w:val="clear"/>
        </w:rPr>
      </w:pPr>
    </w:p>
    <w:p>
      <w:pPr>
        <w:spacing w:before="0" w:after="0" w:line="240"/>
        <w:ind w:right="0" w:left="0" w:firstLine="0"/>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U izradi dokumenta u</w:t>
      </w:r>
      <w:r>
        <w:rPr>
          <w:rFonts w:ascii="Calibri" w:hAnsi="Calibri" w:cs="Calibri" w:eastAsia="Calibri"/>
          <w:color w:val="auto"/>
          <w:spacing w:val="0"/>
          <w:position w:val="0"/>
          <w:sz w:val="18"/>
          <w:shd w:fill="auto" w:val="clear"/>
        </w:rPr>
        <w:t xml:space="preserve">čestvovali su: </w:t>
      </w:r>
    </w:p>
    <w:p>
      <w:pPr>
        <w:spacing w:before="24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Članice i članovi </w:t>
      </w:r>
      <w:r>
        <w:rPr>
          <w:rFonts w:ascii="Calibri" w:hAnsi="Calibri" w:cs="Calibri" w:eastAsia="Calibri"/>
          <w:b/>
          <w:color w:val="auto"/>
          <w:spacing w:val="0"/>
          <w:position w:val="0"/>
          <w:sz w:val="18"/>
          <w:shd w:fill="auto" w:val="clear"/>
        </w:rPr>
        <w:t xml:space="preserve">tima za izradu Akcionog plana</w:t>
      </w:r>
      <w:r>
        <w:rPr>
          <w:rFonts w:ascii="Calibri" w:hAnsi="Calibri" w:cs="Calibri" w:eastAsia="Calibri"/>
          <w:b/>
          <w:color w:val="auto"/>
          <w:spacing w:val="0"/>
          <w:position w:val="0"/>
          <w:sz w:val="36"/>
          <w:shd w:fill="auto" w:val="clear"/>
        </w:rPr>
        <w:t xml:space="preserve"> </w:t>
      </w:r>
      <w:r>
        <w:rPr>
          <w:rFonts w:ascii="Calibri" w:hAnsi="Calibri" w:cs="Calibri" w:eastAsia="Calibri"/>
          <w:b/>
          <w:color w:val="auto"/>
          <w:spacing w:val="0"/>
          <w:position w:val="0"/>
          <w:sz w:val="18"/>
          <w:shd w:fill="auto" w:val="clear"/>
        </w:rPr>
        <w:t xml:space="preserve">održivog upravljanja energijom i prilagođavanja klimatskim promjenama: </w:t>
      </w:r>
      <w:r>
        <w:rPr>
          <w:rFonts w:ascii="Calibri" w:hAnsi="Calibri" w:cs="Calibri" w:eastAsia="Calibri"/>
          <w:color w:val="auto"/>
          <w:spacing w:val="0"/>
          <w:position w:val="0"/>
          <w:sz w:val="18"/>
          <w:shd w:fill="auto" w:val="clear"/>
        </w:rPr>
        <w:t xml:space="preserve"> </w:t>
      </w:r>
    </w:p>
    <w:tbl>
      <w:tblPr/>
      <w:tblGrid>
        <w:gridCol w:w="2122"/>
        <w:gridCol w:w="6941"/>
      </w:tblGrid>
      <w:tr>
        <w:trPr>
          <w:trHeight w:val="1" w:hRule="atLeast"/>
          <w:jc w:val="left"/>
        </w:trPr>
        <w:tc>
          <w:tcPr>
            <w:tcW w:w="2122"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60" w:after="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Damir Avdakovi</w:t>
            </w:r>
            <w:r>
              <w:rPr>
                <w:rFonts w:ascii="Calibri" w:hAnsi="Calibri" w:cs="Calibri" w:eastAsia="Calibri"/>
                <w:color w:val="auto"/>
                <w:spacing w:val="0"/>
                <w:position w:val="0"/>
                <w:sz w:val="18"/>
                <w:shd w:fill="auto" w:val="clear"/>
              </w:rPr>
              <w:t xml:space="preserve">ć</w:t>
            </w:r>
          </w:p>
        </w:tc>
        <w:tc>
          <w:tcPr>
            <w:tcW w:w="6941"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60" w:after="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Služba za finansije i poduzetništvo; Koordinator tima                                              </w:t>
            </w:r>
          </w:p>
        </w:tc>
      </w:tr>
      <w:tr>
        <w:trPr>
          <w:trHeight w:val="1" w:hRule="atLeast"/>
          <w:jc w:val="left"/>
        </w:trPr>
        <w:tc>
          <w:tcPr>
            <w:tcW w:w="2122"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Eldin Bekri</w:t>
            </w:r>
            <w:r>
              <w:rPr>
                <w:rFonts w:ascii="Calibri" w:hAnsi="Calibri" w:cs="Calibri" w:eastAsia="Calibri"/>
                <w:color w:val="auto"/>
                <w:spacing w:val="0"/>
                <w:position w:val="0"/>
                <w:sz w:val="18"/>
                <w:shd w:fill="auto" w:val="clear"/>
              </w:rPr>
              <w:t xml:space="preserve">ć</w:t>
            </w:r>
          </w:p>
        </w:tc>
        <w:tc>
          <w:tcPr>
            <w:tcW w:w="6941"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Služba za finansije i poduzetništvo          </w:t>
            </w:r>
          </w:p>
        </w:tc>
      </w:tr>
      <w:tr>
        <w:trPr>
          <w:trHeight w:val="1" w:hRule="atLeast"/>
          <w:jc w:val="left"/>
        </w:trPr>
        <w:tc>
          <w:tcPr>
            <w:tcW w:w="2122"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Halid Hadži</w:t>
            </w:r>
            <w:r>
              <w:rPr>
                <w:rFonts w:ascii="Calibri" w:hAnsi="Calibri" w:cs="Calibri" w:eastAsia="Calibri"/>
                <w:color w:val="auto"/>
                <w:spacing w:val="0"/>
                <w:position w:val="0"/>
                <w:sz w:val="18"/>
                <w:shd w:fill="auto" w:val="clear"/>
              </w:rPr>
              <w:t xml:space="preserve">ć</w:t>
            </w:r>
          </w:p>
        </w:tc>
        <w:tc>
          <w:tcPr>
            <w:tcW w:w="6941"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Služba za prostorno ure</w:t>
            </w:r>
            <w:r>
              <w:rPr>
                <w:rFonts w:ascii="Calibri" w:hAnsi="Calibri" w:cs="Calibri" w:eastAsia="Calibri"/>
                <w:color w:val="auto"/>
                <w:spacing w:val="0"/>
                <w:position w:val="0"/>
                <w:sz w:val="18"/>
                <w:shd w:fill="auto" w:val="clear"/>
              </w:rPr>
              <w:t xml:space="preserve">đenje           </w:t>
            </w:r>
          </w:p>
        </w:tc>
      </w:tr>
      <w:tr>
        <w:trPr>
          <w:trHeight w:val="1" w:hRule="atLeast"/>
          <w:jc w:val="left"/>
        </w:trPr>
        <w:tc>
          <w:tcPr>
            <w:tcW w:w="2122"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Sulejman Deli</w:t>
            </w:r>
            <w:r>
              <w:rPr>
                <w:rFonts w:ascii="Calibri" w:hAnsi="Calibri" w:cs="Calibri" w:eastAsia="Calibri"/>
                <w:color w:val="auto"/>
                <w:spacing w:val="0"/>
                <w:position w:val="0"/>
                <w:sz w:val="18"/>
                <w:shd w:fill="auto" w:val="clear"/>
              </w:rPr>
              <w:t xml:space="preserve">ć</w:t>
            </w:r>
          </w:p>
        </w:tc>
        <w:tc>
          <w:tcPr>
            <w:tcW w:w="6941"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Služba civilne zašite           </w:t>
            </w:r>
          </w:p>
        </w:tc>
      </w:tr>
      <w:tr>
        <w:trPr>
          <w:trHeight w:val="1" w:hRule="atLeast"/>
          <w:jc w:val="left"/>
        </w:trPr>
        <w:tc>
          <w:tcPr>
            <w:tcW w:w="2122"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Rasim Sofi</w:t>
            </w:r>
            <w:r>
              <w:rPr>
                <w:rFonts w:ascii="Calibri" w:hAnsi="Calibri" w:cs="Calibri" w:eastAsia="Calibri"/>
                <w:color w:val="auto"/>
                <w:spacing w:val="0"/>
                <w:position w:val="0"/>
                <w:sz w:val="18"/>
                <w:shd w:fill="auto" w:val="clear"/>
              </w:rPr>
              <w:t xml:space="preserve">ć</w:t>
            </w:r>
          </w:p>
        </w:tc>
        <w:tc>
          <w:tcPr>
            <w:tcW w:w="6941"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JKP „</w:t>
            </w:r>
            <w:r>
              <w:rPr>
                <w:rFonts w:ascii="Calibri" w:hAnsi="Calibri" w:cs="Calibri" w:eastAsia="Calibri"/>
                <w:color w:val="auto"/>
                <w:spacing w:val="0"/>
                <w:position w:val="0"/>
                <w:sz w:val="18"/>
                <w:shd w:fill="auto" w:val="clear"/>
              </w:rPr>
              <w:t xml:space="preserve">Čisto“ d.o.o. Doboj Istok          </w:t>
            </w:r>
          </w:p>
        </w:tc>
      </w:tr>
    </w:tbl>
    <w:p>
      <w:pPr>
        <w:spacing w:before="24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Članice i članovi </w:t>
      </w:r>
      <w:r>
        <w:rPr>
          <w:rFonts w:ascii="Calibri" w:hAnsi="Calibri" w:cs="Calibri" w:eastAsia="Calibri"/>
          <w:b/>
          <w:color w:val="auto"/>
          <w:spacing w:val="0"/>
          <w:position w:val="0"/>
          <w:sz w:val="18"/>
          <w:shd w:fill="auto" w:val="clear"/>
        </w:rPr>
        <w:t xml:space="preserve">savjetodavne grupe za održivo upravljanje energijom i prilagođavanje klimatskim promjenama:</w:t>
      </w:r>
      <w:r>
        <w:rPr>
          <w:rFonts w:ascii="Calibri" w:hAnsi="Calibri" w:cs="Calibri" w:eastAsia="Calibri"/>
          <w:color w:val="auto"/>
          <w:spacing w:val="0"/>
          <w:position w:val="0"/>
          <w:sz w:val="18"/>
          <w:shd w:fill="auto" w:val="clear"/>
        </w:rPr>
        <w:t xml:space="preserve"> </w:t>
      </w:r>
    </w:p>
    <w:tbl>
      <w:tblPr/>
      <w:tblGrid>
        <w:gridCol w:w="2122"/>
        <w:gridCol w:w="6941"/>
      </w:tblGrid>
      <w:tr>
        <w:trPr>
          <w:trHeight w:val="1" w:hRule="atLeast"/>
          <w:jc w:val="left"/>
        </w:trPr>
        <w:tc>
          <w:tcPr>
            <w:tcW w:w="2122"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60" w:after="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Selmin Kari</w:t>
            </w:r>
            <w:r>
              <w:rPr>
                <w:rFonts w:ascii="Calibri" w:hAnsi="Calibri" w:cs="Calibri" w:eastAsia="Calibri"/>
                <w:color w:val="auto"/>
                <w:spacing w:val="0"/>
                <w:position w:val="0"/>
                <w:sz w:val="18"/>
                <w:shd w:fill="auto" w:val="clear"/>
              </w:rPr>
              <w:t xml:space="preserve">ć</w:t>
            </w:r>
          </w:p>
        </w:tc>
        <w:tc>
          <w:tcPr>
            <w:tcW w:w="6941"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60" w:after="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Op</w:t>
            </w:r>
            <w:r>
              <w:rPr>
                <w:rFonts w:ascii="Calibri" w:hAnsi="Calibri" w:cs="Calibri" w:eastAsia="Calibri"/>
                <w:color w:val="auto"/>
                <w:spacing w:val="0"/>
                <w:position w:val="0"/>
                <w:sz w:val="18"/>
                <w:shd w:fill="auto" w:val="clear"/>
              </w:rPr>
              <w:t xml:space="preserve">ćinski vijećnik </w:t>
            </w:r>
          </w:p>
        </w:tc>
      </w:tr>
      <w:tr>
        <w:trPr>
          <w:trHeight w:val="1" w:hRule="atLeast"/>
          <w:jc w:val="left"/>
        </w:trPr>
        <w:tc>
          <w:tcPr>
            <w:tcW w:w="2122"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Nermin Suljkanovi</w:t>
            </w:r>
            <w:r>
              <w:rPr>
                <w:rFonts w:ascii="Calibri" w:hAnsi="Calibri" w:cs="Calibri" w:eastAsia="Calibri"/>
                <w:color w:val="auto"/>
                <w:spacing w:val="0"/>
                <w:position w:val="0"/>
                <w:sz w:val="18"/>
                <w:shd w:fill="auto" w:val="clear"/>
              </w:rPr>
              <w:t xml:space="preserve">ć</w:t>
            </w:r>
          </w:p>
        </w:tc>
        <w:tc>
          <w:tcPr>
            <w:tcW w:w="6941"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Predstavnik JZU Dom Zdravlja Doboj Istok</w:t>
            </w:r>
          </w:p>
        </w:tc>
      </w:tr>
      <w:tr>
        <w:trPr>
          <w:trHeight w:val="1" w:hRule="atLeast"/>
          <w:jc w:val="left"/>
        </w:trPr>
        <w:tc>
          <w:tcPr>
            <w:tcW w:w="2122"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Admir Dautovi</w:t>
            </w:r>
            <w:r>
              <w:rPr>
                <w:rFonts w:ascii="Calibri" w:hAnsi="Calibri" w:cs="Calibri" w:eastAsia="Calibri"/>
                <w:color w:val="auto"/>
                <w:spacing w:val="0"/>
                <w:position w:val="0"/>
                <w:sz w:val="18"/>
                <w:shd w:fill="auto" w:val="clear"/>
              </w:rPr>
              <w:t xml:space="preserve">ć</w:t>
            </w:r>
          </w:p>
        </w:tc>
        <w:tc>
          <w:tcPr>
            <w:tcW w:w="6941"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Predstavnik obrazovnih ustanova</w:t>
            </w:r>
          </w:p>
        </w:tc>
      </w:tr>
      <w:tr>
        <w:trPr>
          <w:trHeight w:val="1" w:hRule="atLeast"/>
          <w:jc w:val="left"/>
        </w:trPr>
        <w:tc>
          <w:tcPr>
            <w:tcW w:w="2122"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Emira Skula</w:t>
            </w:r>
          </w:p>
          <w:p>
            <w:pPr>
              <w:spacing w:before="0" w:after="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Sudina Hadži</w:t>
            </w:r>
            <w:r>
              <w:rPr>
                <w:rFonts w:ascii="Calibri" w:hAnsi="Calibri" w:cs="Calibri" w:eastAsia="Calibri"/>
                <w:color w:val="auto"/>
                <w:spacing w:val="0"/>
                <w:position w:val="0"/>
                <w:sz w:val="18"/>
                <w:shd w:fill="auto" w:val="clear"/>
              </w:rPr>
              <w:t xml:space="preserve">ć</w:t>
            </w:r>
          </w:p>
        </w:tc>
        <w:tc>
          <w:tcPr>
            <w:tcW w:w="6941"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Predstavnica obrazovnih ustanova</w:t>
            </w:r>
          </w:p>
          <w:p>
            <w:pPr>
              <w:spacing w:before="0" w:after="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Predstavnica organizacija civilnog društva relevantnih za izradu SECAP-a </w:t>
            </w:r>
          </w:p>
        </w:tc>
      </w:tr>
      <w:tr>
        <w:trPr>
          <w:trHeight w:val="1" w:hRule="atLeast"/>
          <w:jc w:val="left"/>
        </w:trPr>
        <w:tc>
          <w:tcPr>
            <w:tcW w:w="2122"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Samir Mujki</w:t>
            </w:r>
            <w:r>
              <w:rPr>
                <w:rFonts w:ascii="Calibri" w:hAnsi="Calibri" w:cs="Calibri" w:eastAsia="Calibri"/>
                <w:color w:val="auto"/>
                <w:spacing w:val="0"/>
                <w:position w:val="0"/>
                <w:sz w:val="18"/>
                <w:shd w:fill="auto" w:val="clear"/>
              </w:rPr>
              <w:t xml:space="preserve">ć</w:t>
            </w:r>
          </w:p>
        </w:tc>
        <w:tc>
          <w:tcPr>
            <w:tcW w:w="6941"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Služba za finansije i poduzetništvo - odsjek poljoprivreda</w:t>
            </w:r>
          </w:p>
        </w:tc>
      </w:tr>
      <w:tr>
        <w:trPr>
          <w:trHeight w:val="1" w:hRule="atLeast"/>
          <w:jc w:val="left"/>
        </w:trPr>
        <w:tc>
          <w:tcPr>
            <w:tcW w:w="2122"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Omer Konji</w:t>
            </w:r>
            <w:r>
              <w:rPr>
                <w:rFonts w:ascii="Calibri" w:hAnsi="Calibri" w:cs="Calibri" w:eastAsia="Calibri"/>
                <w:color w:val="auto"/>
                <w:spacing w:val="0"/>
                <w:position w:val="0"/>
                <w:sz w:val="18"/>
                <w:shd w:fill="auto" w:val="clear"/>
              </w:rPr>
              <w:t xml:space="preserve">ć</w:t>
            </w:r>
          </w:p>
        </w:tc>
        <w:tc>
          <w:tcPr>
            <w:tcW w:w="6941"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Centar za socijalni rad</w:t>
            </w:r>
          </w:p>
        </w:tc>
      </w:tr>
    </w:tbl>
    <w:p>
      <w:pPr>
        <w:spacing w:before="24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Uposlenice i uposlenici</w:t>
      </w:r>
      <w:r>
        <w:rPr>
          <w:rFonts w:ascii="Calibri" w:hAnsi="Calibri" w:cs="Calibri" w:eastAsia="Calibri"/>
          <w:b/>
          <w:color w:val="auto"/>
          <w:spacing w:val="0"/>
          <w:position w:val="0"/>
          <w:sz w:val="18"/>
          <w:shd w:fill="auto" w:val="clear"/>
        </w:rPr>
        <w:t xml:space="preserve"> Centra za razvoj i podršku (CRP) iz Tuzle</w:t>
      </w:r>
      <w:r>
        <w:rPr>
          <w:rFonts w:ascii="Calibri" w:hAnsi="Calibri" w:cs="Calibri" w:eastAsia="Calibri"/>
          <w:color w:val="auto"/>
          <w:spacing w:val="0"/>
          <w:position w:val="0"/>
          <w:sz w:val="18"/>
          <w:shd w:fill="auto" w:val="clear"/>
        </w:rPr>
        <w:t xml:space="preserve">, koji su  obezbijedili ekspertsku podršku pri izradi Plana:</w:t>
      </w:r>
    </w:p>
    <w:tbl>
      <w:tblPr/>
      <w:tblGrid>
        <w:gridCol w:w="2127"/>
        <w:gridCol w:w="6935"/>
      </w:tblGrid>
      <w:tr>
        <w:trPr>
          <w:trHeight w:val="1" w:hRule="atLeast"/>
          <w:jc w:val="left"/>
        </w:trPr>
        <w:tc>
          <w:tcPr>
            <w:tcW w:w="2127"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60" w:after="0" w:line="240"/>
              <w:ind w:right="0" w:left="0" w:firstLine="0"/>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Edin Zahirovi</w:t>
            </w:r>
            <w:r>
              <w:rPr>
                <w:rFonts w:ascii="Calibri" w:hAnsi="Calibri" w:cs="Calibri" w:eastAsia="Calibri"/>
                <w:color w:val="auto"/>
                <w:spacing w:val="0"/>
                <w:position w:val="0"/>
                <w:sz w:val="18"/>
                <w:shd w:fill="auto" w:val="clear"/>
              </w:rPr>
              <w:t xml:space="preserve">ć</w:t>
            </w:r>
          </w:p>
          <w:p>
            <w:pPr>
              <w:spacing w:before="0" w:after="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Marko Nišandži</w:t>
            </w:r>
            <w:r>
              <w:rPr>
                <w:rFonts w:ascii="Calibri" w:hAnsi="Calibri" w:cs="Calibri" w:eastAsia="Calibri"/>
                <w:color w:val="auto"/>
                <w:spacing w:val="0"/>
                <w:position w:val="0"/>
                <w:sz w:val="18"/>
                <w:shd w:fill="auto" w:val="clear"/>
              </w:rPr>
              <w:t xml:space="preserve">ć</w:t>
            </w:r>
          </w:p>
        </w:tc>
        <w:tc>
          <w:tcPr>
            <w:tcW w:w="6935"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60" w:after="0" w:line="240"/>
              <w:ind w:right="0" w:left="0" w:firstLine="0"/>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Magistar društvenih nauka iz podru</w:t>
            </w:r>
            <w:r>
              <w:rPr>
                <w:rFonts w:ascii="Calibri" w:hAnsi="Calibri" w:cs="Calibri" w:eastAsia="Calibri"/>
                <w:color w:val="auto"/>
                <w:spacing w:val="0"/>
                <w:position w:val="0"/>
                <w:sz w:val="18"/>
                <w:shd w:fill="auto" w:val="clear"/>
              </w:rPr>
              <w:t xml:space="preserve">čja ekonomije</w:t>
            </w:r>
          </w:p>
          <w:p>
            <w:pPr>
              <w:spacing w:before="0" w:after="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Diplomirani inžinjer gra</w:t>
            </w:r>
            <w:r>
              <w:rPr>
                <w:rFonts w:ascii="Calibri" w:hAnsi="Calibri" w:cs="Calibri" w:eastAsia="Calibri"/>
                <w:color w:val="auto"/>
                <w:spacing w:val="0"/>
                <w:position w:val="0"/>
                <w:sz w:val="18"/>
                <w:shd w:fill="auto" w:val="clear"/>
              </w:rPr>
              <w:t xml:space="preserve">đevinarstva</w:t>
            </w:r>
          </w:p>
        </w:tc>
      </w:tr>
      <w:tr>
        <w:trPr>
          <w:trHeight w:val="1" w:hRule="atLeast"/>
          <w:jc w:val="left"/>
        </w:trPr>
        <w:tc>
          <w:tcPr>
            <w:tcW w:w="2127"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Alenka Savi</w:t>
            </w:r>
            <w:r>
              <w:rPr>
                <w:rFonts w:ascii="Calibri" w:hAnsi="Calibri" w:cs="Calibri" w:eastAsia="Calibri"/>
                <w:color w:val="auto"/>
                <w:spacing w:val="0"/>
                <w:position w:val="0"/>
                <w:sz w:val="18"/>
                <w:shd w:fill="auto" w:val="clear"/>
              </w:rPr>
              <w:t xml:space="preserve">ć</w:t>
            </w:r>
          </w:p>
          <w:p>
            <w:pPr>
              <w:spacing w:before="0" w:after="0" w:line="240"/>
              <w:ind w:right="0" w:left="0" w:firstLine="0"/>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Ervin </w:t>
            </w:r>
            <w:r>
              <w:rPr>
                <w:rFonts w:ascii="Calibri" w:hAnsi="Calibri" w:cs="Calibri" w:eastAsia="Calibri"/>
                <w:color w:val="auto"/>
                <w:spacing w:val="0"/>
                <w:position w:val="0"/>
                <w:sz w:val="18"/>
                <w:shd w:fill="auto" w:val="clear"/>
              </w:rPr>
              <w:t xml:space="preserve">Đember</w:t>
            </w:r>
          </w:p>
          <w:p>
            <w:pPr>
              <w:spacing w:before="0" w:after="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Jelena Šimi</w:t>
            </w:r>
            <w:r>
              <w:rPr>
                <w:rFonts w:ascii="Calibri" w:hAnsi="Calibri" w:cs="Calibri" w:eastAsia="Calibri"/>
                <w:color w:val="auto"/>
                <w:spacing w:val="0"/>
                <w:position w:val="0"/>
                <w:sz w:val="18"/>
                <w:shd w:fill="auto" w:val="clear"/>
              </w:rPr>
              <w:t xml:space="preserve">ć</w:t>
            </w:r>
          </w:p>
        </w:tc>
        <w:tc>
          <w:tcPr>
            <w:tcW w:w="6935"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Diplomirani inžinjer gra</w:t>
            </w:r>
            <w:r>
              <w:rPr>
                <w:rFonts w:ascii="Calibri" w:hAnsi="Calibri" w:cs="Calibri" w:eastAsia="Calibri"/>
                <w:color w:val="auto"/>
                <w:spacing w:val="0"/>
                <w:position w:val="0"/>
                <w:sz w:val="18"/>
                <w:shd w:fill="auto" w:val="clear"/>
              </w:rPr>
              <w:t xml:space="preserve">đevinarstva</w:t>
            </w:r>
          </w:p>
          <w:p>
            <w:pPr>
              <w:spacing w:before="0" w:after="0" w:line="240"/>
              <w:ind w:right="0" w:left="0" w:firstLine="0"/>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Diplomirani inženjer gra</w:t>
            </w:r>
            <w:r>
              <w:rPr>
                <w:rFonts w:ascii="Calibri" w:hAnsi="Calibri" w:cs="Calibri" w:eastAsia="Calibri"/>
                <w:color w:val="auto"/>
                <w:spacing w:val="0"/>
                <w:position w:val="0"/>
                <w:sz w:val="18"/>
                <w:shd w:fill="auto" w:val="clear"/>
              </w:rPr>
              <w:t xml:space="preserve">đevinarstva</w:t>
            </w:r>
          </w:p>
          <w:p>
            <w:pPr>
              <w:spacing w:before="0" w:after="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Bachelor – inženjer gra</w:t>
            </w:r>
            <w:r>
              <w:rPr>
                <w:rFonts w:ascii="Calibri" w:hAnsi="Calibri" w:cs="Calibri" w:eastAsia="Calibri"/>
                <w:color w:val="auto"/>
                <w:spacing w:val="0"/>
                <w:position w:val="0"/>
                <w:sz w:val="18"/>
                <w:shd w:fill="auto" w:val="clear"/>
              </w:rPr>
              <w:t xml:space="preserve">đevinarstva</w:t>
            </w:r>
          </w:p>
        </w:tc>
      </w:tr>
      <w:tr>
        <w:trPr>
          <w:trHeight w:val="1" w:hRule="atLeast"/>
          <w:jc w:val="left"/>
        </w:trPr>
        <w:tc>
          <w:tcPr>
            <w:tcW w:w="2127"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Darko Tišma</w:t>
            </w:r>
          </w:p>
          <w:p>
            <w:pPr>
              <w:spacing w:before="0" w:after="0" w:line="240"/>
              <w:ind w:right="0" w:left="0" w:firstLine="0"/>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Ina Salihovi</w:t>
            </w:r>
            <w:r>
              <w:rPr>
                <w:rFonts w:ascii="Calibri" w:hAnsi="Calibri" w:cs="Calibri" w:eastAsia="Calibri"/>
                <w:color w:val="auto"/>
                <w:spacing w:val="0"/>
                <w:position w:val="0"/>
                <w:sz w:val="18"/>
                <w:shd w:fill="auto" w:val="clear"/>
              </w:rPr>
              <w:t xml:space="preserve">ć</w:t>
            </w:r>
          </w:p>
          <w:p>
            <w:pPr>
              <w:spacing w:before="0" w:after="0" w:line="240"/>
              <w:ind w:right="0" w:left="0" w:firstLine="0"/>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Mirza Šehovi</w:t>
            </w:r>
            <w:r>
              <w:rPr>
                <w:rFonts w:ascii="Calibri" w:hAnsi="Calibri" w:cs="Calibri" w:eastAsia="Calibri"/>
                <w:color w:val="auto"/>
                <w:spacing w:val="0"/>
                <w:position w:val="0"/>
                <w:sz w:val="18"/>
                <w:shd w:fill="auto" w:val="clear"/>
              </w:rPr>
              <w:t xml:space="preserve">ć</w:t>
            </w:r>
          </w:p>
          <w:p>
            <w:pPr>
              <w:spacing w:before="0" w:after="0" w:line="240"/>
              <w:ind w:right="0" w:left="0" w:firstLine="0"/>
              <w:jc w:val="both"/>
              <w:rPr>
                <w:rFonts w:ascii="Calibri" w:hAnsi="Calibri" w:cs="Calibri" w:eastAsia="Calibri"/>
                <w:color w:val="auto"/>
                <w:spacing w:val="0"/>
                <w:position w:val="0"/>
              </w:rPr>
            </w:pPr>
          </w:p>
        </w:tc>
        <w:tc>
          <w:tcPr>
            <w:tcW w:w="6935"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Diplomirani inženjer elektrotehnike</w:t>
            </w:r>
          </w:p>
          <w:p>
            <w:pPr>
              <w:spacing w:before="0" w:after="0" w:line="240"/>
              <w:ind w:right="0" w:left="0" w:firstLine="0"/>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Bachelor – inženjer elektrotehnike</w:t>
            </w:r>
          </w:p>
          <w:p>
            <w:pPr>
              <w:spacing w:before="0" w:after="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Bachelor primjenjene fizike</w:t>
            </w:r>
          </w:p>
        </w:tc>
      </w:tr>
      <w:tr>
        <w:trPr>
          <w:trHeight w:val="1" w:hRule="atLeast"/>
          <w:jc w:val="left"/>
        </w:trPr>
        <w:tc>
          <w:tcPr>
            <w:tcW w:w="2127"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Jasmina Fejzi</w:t>
            </w:r>
            <w:r>
              <w:rPr>
                <w:rFonts w:ascii="Calibri" w:hAnsi="Calibri" w:cs="Calibri" w:eastAsia="Calibri"/>
                <w:color w:val="auto"/>
                <w:spacing w:val="0"/>
                <w:position w:val="0"/>
                <w:sz w:val="18"/>
                <w:shd w:fill="auto" w:val="clear"/>
              </w:rPr>
              <w:t xml:space="preserve">ć</w:t>
            </w:r>
          </w:p>
        </w:tc>
        <w:tc>
          <w:tcPr>
            <w:tcW w:w="6935"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Bakalaureat/Bachelor mašinstva</w:t>
            </w:r>
          </w:p>
        </w:tc>
      </w:tr>
      <w:tr>
        <w:trPr>
          <w:trHeight w:val="1" w:hRule="atLeast"/>
          <w:jc w:val="left"/>
        </w:trPr>
        <w:tc>
          <w:tcPr>
            <w:tcW w:w="2127"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Adi Tanovi</w:t>
            </w:r>
            <w:r>
              <w:rPr>
                <w:rFonts w:ascii="Calibri" w:hAnsi="Calibri" w:cs="Calibri" w:eastAsia="Calibri"/>
                <w:color w:val="auto"/>
                <w:spacing w:val="0"/>
                <w:position w:val="0"/>
                <w:sz w:val="18"/>
                <w:shd w:fill="auto" w:val="clear"/>
              </w:rPr>
              <w:t xml:space="preserve">ć</w:t>
            </w:r>
          </w:p>
        </w:tc>
        <w:tc>
          <w:tcPr>
            <w:tcW w:w="6935"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Bachelor ekonomije</w:t>
            </w:r>
          </w:p>
        </w:tc>
      </w:tr>
    </w:tbl>
    <w:p>
      <w:pPr>
        <w:spacing w:before="0" w:after="200" w:line="276"/>
        <w:ind w:right="0" w:left="0" w:firstLine="0"/>
        <w:jc w:val="center"/>
        <w:rPr>
          <w:rFonts w:ascii="Calibri" w:hAnsi="Calibri" w:cs="Calibri" w:eastAsia="Calibri"/>
          <w:color w:val="auto"/>
          <w:spacing w:val="0"/>
          <w:position w:val="0"/>
          <w:sz w:val="18"/>
          <w:shd w:fill="FFFF00" w:val="clear"/>
        </w:rPr>
      </w:pPr>
    </w:p>
    <w:p>
      <w:pPr>
        <w:spacing w:before="0" w:after="0" w:line="240"/>
        <w:ind w:right="0" w:left="0" w:firstLine="0"/>
        <w:jc w:val="left"/>
        <w:rPr>
          <w:rFonts w:ascii="Calibri" w:hAnsi="Calibri" w:cs="Calibri" w:eastAsia="Calibri"/>
          <w:b/>
          <w:color w:val="auto"/>
          <w:spacing w:val="0"/>
          <w:position w:val="0"/>
          <w:sz w:val="32"/>
          <w:shd w:fill="auto" w:val="clear"/>
        </w:rPr>
      </w:pPr>
      <w:r>
        <w:rPr>
          <w:rFonts w:ascii="Calibri" w:hAnsi="Calibri" w:cs="Calibri" w:eastAsia="Calibri"/>
          <w:b/>
          <w:color w:val="auto"/>
          <w:spacing w:val="0"/>
          <w:position w:val="0"/>
          <w:sz w:val="32"/>
          <w:shd w:fill="auto" w:val="clear"/>
        </w:rPr>
        <w:t xml:space="preserve">SADRŽAJ</w:t>
      </w:r>
    </w:p>
    <w:p>
      <w:pPr>
        <w:spacing w:before="0" w:after="0" w:line="240"/>
        <w:ind w:right="0" w:left="0" w:firstLine="0"/>
        <w:jc w:val="center"/>
        <w:rPr>
          <w:rFonts w:ascii="Calibri" w:hAnsi="Calibri" w:cs="Calibri" w:eastAsia="Calibri"/>
          <w:color w:val="auto"/>
          <w:spacing w:val="0"/>
          <w:position w:val="0"/>
          <w:sz w:val="22"/>
          <w:shd w:fill="FFFF00" w:val="clear"/>
        </w:rPr>
      </w:pPr>
    </w:p>
    <w:p>
      <w:pPr>
        <w:spacing w:before="0" w:after="0" w:line="240"/>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LISTA SKRA</w:t>
      </w:r>
      <w:r>
        <w:rPr>
          <w:rFonts w:ascii="Calibri" w:hAnsi="Calibri" w:cs="Calibri" w:eastAsia="Calibri"/>
          <w:b/>
          <w:color w:val="auto"/>
          <w:spacing w:val="0"/>
          <w:position w:val="0"/>
          <w:sz w:val="28"/>
          <w:shd w:fill="auto" w:val="clear"/>
        </w:rPr>
        <w:t xml:space="preserve">ĆENICA</w:t>
      </w:r>
    </w:p>
    <w:tbl>
      <w:tblPr>
        <w:tblInd w:w="108" w:type="dxa"/>
      </w:tblPr>
      <w:tblGrid>
        <w:gridCol w:w="886"/>
        <w:gridCol w:w="8504"/>
      </w:tblGrid>
      <w:tr>
        <w:trPr>
          <w:trHeight w:val="300" w:hRule="auto"/>
          <w:jc w:val="left"/>
        </w:trPr>
        <w:tc>
          <w:tcPr>
            <w:tcW w:w="88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4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20"/>
                <w:shd w:fill="auto" w:val="clear"/>
              </w:rPr>
              <w:t xml:space="preserve">BAU</w:t>
            </w:r>
          </w:p>
        </w:tc>
        <w:tc>
          <w:tcPr>
            <w:tcW w:w="8504"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4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20"/>
                <w:shd w:fill="auto" w:val="clear"/>
              </w:rPr>
              <w:t xml:space="preserve">Secenario bez mjera (engl. </w:t>
            </w:r>
            <w:r>
              <w:rPr>
                <w:rFonts w:ascii="Calibri" w:hAnsi="Calibri" w:cs="Calibri" w:eastAsia="Calibri"/>
                <w:i/>
                <w:color w:val="000000"/>
                <w:spacing w:val="0"/>
                <w:position w:val="0"/>
                <w:sz w:val="20"/>
                <w:shd w:fill="auto" w:val="clear"/>
              </w:rPr>
              <w:t xml:space="preserve">Bussines As Usual</w:t>
            </w:r>
            <w:r>
              <w:rPr>
                <w:rFonts w:ascii="Calibri" w:hAnsi="Calibri" w:cs="Calibri" w:eastAsia="Calibri"/>
                <w:color w:val="000000"/>
                <w:spacing w:val="0"/>
                <w:position w:val="0"/>
                <w:sz w:val="20"/>
                <w:shd w:fill="auto" w:val="clear"/>
              </w:rPr>
              <w:t xml:space="preserve">)</w:t>
            </w:r>
          </w:p>
        </w:tc>
      </w:tr>
      <w:tr>
        <w:trPr>
          <w:trHeight w:val="300" w:hRule="auto"/>
          <w:jc w:val="left"/>
        </w:trPr>
        <w:tc>
          <w:tcPr>
            <w:tcW w:w="88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4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20"/>
                <w:shd w:fill="auto" w:val="clear"/>
              </w:rPr>
              <w:t xml:space="preserve">BEI</w:t>
            </w:r>
          </w:p>
        </w:tc>
        <w:tc>
          <w:tcPr>
            <w:tcW w:w="8504"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4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20"/>
                <w:shd w:fill="auto" w:val="clear"/>
              </w:rPr>
              <w:t xml:space="preserve">Referentni inventar emisija (engl. </w:t>
            </w:r>
            <w:r>
              <w:rPr>
                <w:rFonts w:ascii="Calibri" w:hAnsi="Calibri" w:cs="Calibri" w:eastAsia="Calibri"/>
                <w:i/>
                <w:color w:val="000000"/>
                <w:spacing w:val="0"/>
                <w:position w:val="0"/>
                <w:sz w:val="20"/>
                <w:shd w:fill="auto" w:val="clear"/>
              </w:rPr>
              <w:t xml:space="preserve">Baseline Emission Inventory</w:t>
            </w:r>
            <w:r>
              <w:rPr>
                <w:rFonts w:ascii="Calibri" w:hAnsi="Calibri" w:cs="Calibri" w:eastAsia="Calibri"/>
                <w:color w:val="000000"/>
                <w:spacing w:val="0"/>
                <w:position w:val="0"/>
                <w:sz w:val="20"/>
                <w:shd w:fill="auto" w:val="clear"/>
              </w:rPr>
              <w:t xml:space="preserve">)</w:t>
            </w:r>
          </w:p>
        </w:tc>
      </w:tr>
      <w:tr>
        <w:trPr>
          <w:trHeight w:val="300" w:hRule="auto"/>
          <w:jc w:val="left"/>
        </w:trPr>
        <w:tc>
          <w:tcPr>
            <w:tcW w:w="88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40" w:after="0" w:line="240"/>
              <w:ind w:right="0" w:left="0" w:firstLine="0"/>
              <w:jc w:val="left"/>
              <w:rPr>
                <w:rFonts w:ascii="Calibri" w:hAnsi="Calibri" w:cs="Calibri" w:eastAsia="Calibri"/>
                <w:color w:val="000000"/>
                <w:spacing w:val="0"/>
                <w:position w:val="0"/>
                <w:sz w:val="20"/>
                <w:shd w:fill="auto" w:val="clear"/>
              </w:rPr>
            </w:pPr>
            <w:r>
              <w:rPr>
                <w:rFonts w:ascii="Calibri" w:hAnsi="Calibri" w:cs="Calibri" w:eastAsia="Calibri"/>
                <w:color w:val="000000"/>
                <w:spacing w:val="0"/>
                <w:position w:val="0"/>
                <w:sz w:val="20"/>
                <w:shd w:fill="auto" w:val="clear"/>
              </w:rPr>
              <w:t xml:space="preserve">BiH</w:t>
            </w:r>
          </w:p>
          <w:p>
            <w:pPr>
              <w:spacing w:before="4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20"/>
                <w:shd w:fill="auto" w:val="clear"/>
              </w:rPr>
              <w:t xml:space="preserve">CRP</w:t>
            </w:r>
          </w:p>
        </w:tc>
        <w:tc>
          <w:tcPr>
            <w:tcW w:w="8504"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40" w:after="0" w:line="240"/>
              <w:ind w:right="0" w:left="0" w:firstLine="0"/>
              <w:jc w:val="left"/>
              <w:rPr>
                <w:rFonts w:ascii="Calibri" w:hAnsi="Calibri" w:cs="Calibri" w:eastAsia="Calibri"/>
                <w:color w:val="000000"/>
                <w:spacing w:val="0"/>
                <w:position w:val="0"/>
                <w:sz w:val="20"/>
                <w:shd w:fill="auto" w:val="clear"/>
              </w:rPr>
            </w:pPr>
            <w:r>
              <w:rPr>
                <w:rFonts w:ascii="Calibri" w:hAnsi="Calibri" w:cs="Calibri" w:eastAsia="Calibri"/>
                <w:color w:val="000000"/>
                <w:spacing w:val="0"/>
                <w:position w:val="0"/>
                <w:sz w:val="20"/>
                <w:shd w:fill="auto" w:val="clear"/>
              </w:rPr>
              <w:t xml:space="preserve">Bosna i Hercegovina</w:t>
            </w:r>
          </w:p>
          <w:p>
            <w:pPr>
              <w:spacing w:before="4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20"/>
                <w:shd w:fill="auto" w:val="clear"/>
              </w:rPr>
              <w:t xml:space="preserve">Centar za razvoj i podršku</w:t>
            </w:r>
          </w:p>
        </w:tc>
      </w:tr>
      <w:tr>
        <w:trPr>
          <w:trHeight w:val="300" w:hRule="auto"/>
          <w:jc w:val="left"/>
        </w:trPr>
        <w:tc>
          <w:tcPr>
            <w:tcW w:w="88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40" w:after="0" w:line="240"/>
              <w:ind w:right="0" w:left="0" w:firstLine="0"/>
              <w:jc w:val="left"/>
              <w:rPr>
                <w:rFonts w:ascii="Calibri" w:hAnsi="Calibri" w:cs="Calibri" w:eastAsia="Calibri"/>
                <w:color w:val="000000"/>
                <w:spacing w:val="0"/>
                <w:position w:val="0"/>
                <w:sz w:val="20"/>
                <w:shd w:fill="auto" w:val="clear"/>
              </w:rPr>
            </w:pPr>
            <w:r>
              <w:rPr>
                <w:rFonts w:ascii="Calibri" w:hAnsi="Calibri" w:cs="Calibri" w:eastAsia="Calibri"/>
                <w:color w:val="000000"/>
                <w:spacing w:val="0"/>
                <w:position w:val="0"/>
                <w:sz w:val="20"/>
                <w:shd w:fill="auto" w:val="clear"/>
              </w:rPr>
              <w:t xml:space="preserve">DRAS</w:t>
            </w:r>
          </w:p>
          <w:p>
            <w:pPr>
              <w:spacing w:before="40" w:after="0" w:line="240"/>
              <w:ind w:right="0" w:left="0" w:firstLine="0"/>
              <w:jc w:val="left"/>
              <w:rPr>
                <w:rFonts w:ascii="Calibri" w:hAnsi="Calibri" w:cs="Calibri" w:eastAsia="Calibri"/>
                <w:color w:val="000000"/>
                <w:spacing w:val="0"/>
                <w:position w:val="0"/>
                <w:sz w:val="20"/>
                <w:shd w:fill="auto" w:val="clear"/>
              </w:rPr>
            </w:pPr>
            <w:r>
              <w:rPr>
                <w:rFonts w:ascii="Calibri" w:hAnsi="Calibri" w:cs="Calibri" w:eastAsia="Calibri"/>
                <w:color w:val="000000"/>
                <w:spacing w:val="0"/>
                <w:position w:val="0"/>
                <w:sz w:val="20"/>
                <w:shd w:fill="auto" w:val="clear"/>
              </w:rPr>
              <w:t xml:space="preserve">EBRD</w:t>
            </w:r>
          </w:p>
          <w:p>
            <w:pPr>
              <w:spacing w:before="40" w:after="0" w:line="240"/>
              <w:ind w:right="0" w:left="0" w:firstLine="0"/>
              <w:jc w:val="left"/>
              <w:rPr>
                <w:rFonts w:ascii="Calibri" w:hAnsi="Calibri" w:cs="Calibri" w:eastAsia="Calibri"/>
                <w:color w:val="000000"/>
                <w:spacing w:val="0"/>
                <w:position w:val="0"/>
                <w:sz w:val="20"/>
                <w:shd w:fill="auto" w:val="clear"/>
              </w:rPr>
            </w:pPr>
            <w:r>
              <w:rPr>
                <w:rFonts w:ascii="Calibri" w:hAnsi="Calibri" w:cs="Calibri" w:eastAsia="Calibri"/>
                <w:color w:val="000000"/>
                <w:spacing w:val="0"/>
                <w:position w:val="0"/>
                <w:sz w:val="20"/>
                <w:shd w:fill="auto" w:val="clear"/>
              </w:rPr>
              <w:t xml:space="preserve">EC</w:t>
            </w:r>
          </w:p>
          <w:p>
            <w:pPr>
              <w:spacing w:before="40" w:after="0" w:line="240"/>
              <w:ind w:right="0" w:left="0" w:firstLine="0"/>
              <w:jc w:val="left"/>
              <w:rPr>
                <w:rFonts w:ascii="Calibri" w:hAnsi="Calibri" w:cs="Calibri" w:eastAsia="Calibri"/>
                <w:color w:val="000000"/>
                <w:spacing w:val="0"/>
                <w:position w:val="0"/>
                <w:sz w:val="20"/>
                <w:shd w:fill="auto" w:val="clear"/>
              </w:rPr>
            </w:pPr>
            <w:r>
              <w:rPr>
                <w:rFonts w:ascii="Calibri" w:hAnsi="Calibri" w:cs="Calibri" w:eastAsia="Calibri"/>
                <w:color w:val="000000"/>
                <w:spacing w:val="0"/>
                <w:position w:val="0"/>
                <w:sz w:val="20"/>
                <w:shd w:fill="auto" w:val="clear"/>
              </w:rPr>
              <w:t xml:space="preserve">EIB</w:t>
            </w:r>
          </w:p>
          <w:p>
            <w:pPr>
              <w:spacing w:before="40" w:after="0" w:line="240"/>
              <w:ind w:right="0" w:left="0" w:firstLine="0"/>
              <w:jc w:val="left"/>
              <w:rPr>
                <w:rFonts w:ascii="Calibri" w:hAnsi="Calibri" w:cs="Calibri" w:eastAsia="Calibri"/>
                <w:color w:val="000000"/>
                <w:spacing w:val="0"/>
                <w:position w:val="0"/>
                <w:sz w:val="20"/>
                <w:shd w:fill="auto" w:val="clear"/>
              </w:rPr>
            </w:pPr>
            <w:r>
              <w:rPr>
                <w:rFonts w:ascii="Calibri" w:hAnsi="Calibri" w:cs="Calibri" w:eastAsia="Calibri"/>
                <w:color w:val="000000"/>
                <w:spacing w:val="0"/>
                <w:position w:val="0"/>
                <w:sz w:val="20"/>
                <w:shd w:fill="auto" w:val="clear"/>
              </w:rPr>
              <w:t xml:space="preserve">ESCO</w:t>
            </w:r>
          </w:p>
          <w:p>
            <w:pPr>
              <w:spacing w:before="4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20"/>
                <w:shd w:fill="auto" w:val="clear"/>
              </w:rPr>
              <w:t xml:space="preserve">EU</w:t>
            </w:r>
          </w:p>
        </w:tc>
        <w:tc>
          <w:tcPr>
            <w:tcW w:w="8504"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40" w:after="0" w:line="240"/>
              <w:ind w:right="0" w:left="0" w:firstLine="0"/>
              <w:jc w:val="left"/>
              <w:rPr>
                <w:rFonts w:ascii="Calibri" w:hAnsi="Calibri" w:cs="Calibri" w:eastAsia="Calibri"/>
                <w:color w:val="000000"/>
                <w:spacing w:val="0"/>
                <w:position w:val="0"/>
                <w:sz w:val="20"/>
                <w:shd w:fill="auto" w:val="clear"/>
              </w:rPr>
            </w:pPr>
            <w:r>
              <w:rPr>
                <w:rFonts w:ascii="Calibri" w:hAnsi="Calibri" w:cs="Calibri" w:eastAsia="Calibri"/>
                <w:color w:val="000000"/>
                <w:spacing w:val="0"/>
                <w:position w:val="0"/>
                <w:sz w:val="20"/>
                <w:shd w:fill="auto" w:val="clear"/>
              </w:rPr>
              <w:t xml:space="preserve">Sistem za analizu rizika od katastrofa (engl. </w:t>
            </w:r>
            <w:r>
              <w:rPr>
                <w:rFonts w:ascii="Calibri" w:hAnsi="Calibri" w:cs="Calibri" w:eastAsia="Calibri"/>
                <w:i/>
                <w:color w:val="000000"/>
                <w:spacing w:val="0"/>
                <w:position w:val="0"/>
                <w:sz w:val="20"/>
                <w:shd w:fill="auto" w:val="clear"/>
              </w:rPr>
              <w:t xml:space="preserve">Disaster Risk Analysis System</w:t>
            </w:r>
            <w:r>
              <w:rPr>
                <w:rFonts w:ascii="Calibri" w:hAnsi="Calibri" w:cs="Calibri" w:eastAsia="Calibri"/>
                <w:color w:val="000000"/>
                <w:spacing w:val="0"/>
                <w:position w:val="0"/>
                <w:sz w:val="20"/>
                <w:shd w:fill="auto" w:val="clear"/>
              </w:rPr>
              <w:t xml:space="preserve">)</w:t>
            </w:r>
          </w:p>
          <w:p>
            <w:pPr>
              <w:spacing w:before="40" w:after="0" w:line="240"/>
              <w:ind w:right="0" w:left="0" w:firstLine="0"/>
              <w:jc w:val="left"/>
              <w:rPr>
                <w:rFonts w:ascii="Calibri" w:hAnsi="Calibri" w:cs="Calibri" w:eastAsia="Calibri"/>
                <w:color w:val="000000"/>
                <w:spacing w:val="0"/>
                <w:position w:val="0"/>
                <w:sz w:val="20"/>
                <w:shd w:fill="auto" w:val="clear"/>
              </w:rPr>
            </w:pPr>
            <w:r>
              <w:rPr>
                <w:rFonts w:ascii="Calibri" w:hAnsi="Calibri" w:cs="Calibri" w:eastAsia="Calibri"/>
                <w:color w:val="000000"/>
                <w:spacing w:val="0"/>
                <w:position w:val="0"/>
                <w:sz w:val="20"/>
                <w:shd w:fill="auto" w:val="clear"/>
              </w:rPr>
              <w:t xml:space="preserve">Evropska banka za obnovu i razvoj (engl. </w:t>
            </w:r>
            <w:r>
              <w:rPr>
                <w:rFonts w:ascii="Calibri" w:hAnsi="Calibri" w:cs="Calibri" w:eastAsia="Calibri"/>
                <w:i/>
                <w:color w:val="000000"/>
                <w:spacing w:val="0"/>
                <w:position w:val="0"/>
                <w:sz w:val="20"/>
                <w:shd w:fill="auto" w:val="clear"/>
              </w:rPr>
              <w:t xml:space="preserve">European Bank for Reconstruction and Development</w:t>
            </w:r>
            <w:r>
              <w:rPr>
                <w:rFonts w:ascii="Calibri" w:hAnsi="Calibri" w:cs="Calibri" w:eastAsia="Calibri"/>
                <w:color w:val="000000"/>
                <w:spacing w:val="0"/>
                <w:position w:val="0"/>
                <w:sz w:val="20"/>
                <w:shd w:fill="auto" w:val="clear"/>
              </w:rPr>
              <w:t xml:space="preserve">)</w:t>
            </w:r>
          </w:p>
          <w:p>
            <w:pPr>
              <w:spacing w:before="40" w:after="0" w:line="240"/>
              <w:ind w:right="0" w:left="0" w:firstLine="0"/>
              <w:jc w:val="left"/>
              <w:rPr>
                <w:rFonts w:ascii="Calibri" w:hAnsi="Calibri" w:cs="Calibri" w:eastAsia="Calibri"/>
                <w:color w:val="000000"/>
                <w:spacing w:val="0"/>
                <w:position w:val="0"/>
                <w:sz w:val="20"/>
                <w:shd w:fill="auto" w:val="clear"/>
              </w:rPr>
            </w:pPr>
            <w:r>
              <w:rPr>
                <w:rFonts w:ascii="Calibri" w:hAnsi="Calibri" w:cs="Calibri" w:eastAsia="Calibri"/>
                <w:color w:val="000000"/>
                <w:spacing w:val="0"/>
                <w:position w:val="0"/>
                <w:sz w:val="20"/>
                <w:shd w:fill="auto" w:val="clear"/>
              </w:rPr>
              <w:t xml:space="preserve">Evropska komisija (engl. </w:t>
            </w:r>
            <w:r>
              <w:rPr>
                <w:rFonts w:ascii="Calibri" w:hAnsi="Calibri" w:cs="Calibri" w:eastAsia="Calibri"/>
                <w:i/>
                <w:color w:val="000000"/>
                <w:spacing w:val="0"/>
                <w:position w:val="0"/>
                <w:sz w:val="20"/>
                <w:shd w:fill="auto" w:val="clear"/>
              </w:rPr>
              <w:t xml:space="preserve">European Comission</w:t>
            </w:r>
            <w:r>
              <w:rPr>
                <w:rFonts w:ascii="Calibri" w:hAnsi="Calibri" w:cs="Calibri" w:eastAsia="Calibri"/>
                <w:color w:val="000000"/>
                <w:spacing w:val="0"/>
                <w:position w:val="0"/>
                <w:sz w:val="20"/>
                <w:shd w:fill="auto" w:val="clear"/>
              </w:rPr>
              <w:t xml:space="preserve">)</w:t>
            </w:r>
          </w:p>
          <w:p>
            <w:pPr>
              <w:spacing w:before="40" w:after="0" w:line="240"/>
              <w:ind w:right="0" w:left="0" w:firstLine="0"/>
              <w:jc w:val="left"/>
              <w:rPr>
                <w:rFonts w:ascii="Calibri" w:hAnsi="Calibri" w:cs="Calibri" w:eastAsia="Calibri"/>
                <w:color w:val="000000"/>
                <w:spacing w:val="0"/>
                <w:position w:val="0"/>
                <w:sz w:val="20"/>
                <w:shd w:fill="auto" w:val="clear"/>
              </w:rPr>
            </w:pPr>
            <w:r>
              <w:rPr>
                <w:rFonts w:ascii="Calibri" w:hAnsi="Calibri" w:cs="Calibri" w:eastAsia="Calibri"/>
                <w:color w:val="000000"/>
                <w:spacing w:val="0"/>
                <w:position w:val="0"/>
                <w:sz w:val="20"/>
                <w:shd w:fill="auto" w:val="clear"/>
              </w:rPr>
              <w:t xml:space="preserve">Evropska investicijska banka (engl. </w:t>
            </w:r>
            <w:r>
              <w:rPr>
                <w:rFonts w:ascii="Calibri" w:hAnsi="Calibri" w:cs="Calibri" w:eastAsia="Calibri"/>
                <w:i/>
                <w:color w:val="000000"/>
                <w:spacing w:val="0"/>
                <w:position w:val="0"/>
                <w:sz w:val="20"/>
                <w:shd w:fill="auto" w:val="clear"/>
              </w:rPr>
              <w:t xml:space="preserve">European Investment Bank</w:t>
            </w:r>
            <w:r>
              <w:rPr>
                <w:rFonts w:ascii="Calibri" w:hAnsi="Calibri" w:cs="Calibri" w:eastAsia="Calibri"/>
                <w:color w:val="000000"/>
                <w:spacing w:val="0"/>
                <w:position w:val="0"/>
                <w:sz w:val="20"/>
                <w:shd w:fill="auto" w:val="clear"/>
              </w:rPr>
              <w:t xml:space="preserve">)</w:t>
            </w:r>
          </w:p>
          <w:p>
            <w:pPr>
              <w:spacing w:before="40" w:after="0" w:line="240"/>
              <w:ind w:right="0" w:left="0" w:firstLine="0"/>
              <w:jc w:val="left"/>
              <w:rPr>
                <w:rFonts w:ascii="Calibri" w:hAnsi="Calibri" w:cs="Calibri" w:eastAsia="Calibri"/>
                <w:color w:val="000000"/>
                <w:spacing w:val="0"/>
                <w:position w:val="0"/>
                <w:sz w:val="20"/>
                <w:shd w:fill="auto" w:val="clear"/>
              </w:rPr>
            </w:pPr>
            <w:r>
              <w:rPr>
                <w:rFonts w:ascii="Calibri" w:hAnsi="Calibri" w:cs="Calibri" w:eastAsia="Calibri"/>
                <w:color w:val="000000"/>
                <w:spacing w:val="0"/>
                <w:position w:val="0"/>
                <w:sz w:val="20"/>
                <w:shd w:fill="auto" w:val="clear"/>
              </w:rPr>
              <w:t xml:space="preserve">Firma za pružanje energetskih usluga (engl. </w:t>
            </w:r>
            <w:r>
              <w:rPr>
                <w:rFonts w:ascii="Calibri" w:hAnsi="Calibri" w:cs="Calibri" w:eastAsia="Calibri"/>
                <w:i/>
                <w:color w:val="000000"/>
                <w:spacing w:val="0"/>
                <w:position w:val="0"/>
                <w:sz w:val="20"/>
                <w:shd w:fill="auto" w:val="clear"/>
              </w:rPr>
              <w:t xml:space="preserve">Energy Service Company</w:t>
            </w:r>
            <w:r>
              <w:rPr>
                <w:rFonts w:ascii="Calibri" w:hAnsi="Calibri" w:cs="Calibri" w:eastAsia="Calibri"/>
                <w:color w:val="000000"/>
                <w:spacing w:val="0"/>
                <w:position w:val="0"/>
                <w:sz w:val="20"/>
                <w:shd w:fill="auto" w:val="clear"/>
              </w:rPr>
              <w:t xml:space="preserve">)</w:t>
            </w:r>
          </w:p>
          <w:p>
            <w:pPr>
              <w:spacing w:before="4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20"/>
                <w:shd w:fill="auto" w:val="clear"/>
              </w:rPr>
              <w:t xml:space="preserve">Evropska unija</w:t>
            </w:r>
          </w:p>
        </w:tc>
      </w:tr>
      <w:tr>
        <w:trPr>
          <w:trHeight w:val="300" w:hRule="auto"/>
          <w:jc w:val="left"/>
        </w:trPr>
        <w:tc>
          <w:tcPr>
            <w:tcW w:w="88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4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20"/>
                <w:shd w:fill="auto" w:val="clear"/>
              </w:rPr>
              <w:t xml:space="preserve">FBiH</w:t>
            </w:r>
          </w:p>
        </w:tc>
        <w:tc>
          <w:tcPr>
            <w:tcW w:w="8504"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4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20"/>
                <w:shd w:fill="auto" w:val="clear"/>
              </w:rPr>
              <w:t xml:space="preserve">Federacija Bosne i Hercegovine</w:t>
            </w:r>
          </w:p>
        </w:tc>
      </w:tr>
      <w:tr>
        <w:trPr>
          <w:trHeight w:val="300" w:hRule="auto"/>
          <w:jc w:val="left"/>
        </w:trPr>
        <w:tc>
          <w:tcPr>
            <w:tcW w:w="88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40" w:after="0" w:line="240"/>
              <w:ind w:right="0" w:left="0" w:firstLine="0"/>
              <w:jc w:val="left"/>
              <w:rPr>
                <w:rFonts w:ascii="Calibri" w:hAnsi="Calibri" w:cs="Calibri" w:eastAsia="Calibri"/>
                <w:color w:val="000000"/>
                <w:spacing w:val="0"/>
                <w:position w:val="0"/>
                <w:sz w:val="20"/>
                <w:shd w:fill="auto" w:val="clear"/>
              </w:rPr>
            </w:pPr>
            <w:r>
              <w:rPr>
                <w:rFonts w:ascii="Calibri" w:hAnsi="Calibri" w:cs="Calibri" w:eastAsia="Calibri"/>
                <w:color w:val="000000"/>
                <w:spacing w:val="0"/>
                <w:position w:val="0"/>
                <w:sz w:val="20"/>
                <w:shd w:fill="auto" w:val="clear"/>
              </w:rPr>
              <w:t xml:space="preserve">FSC</w:t>
            </w:r>
          </w:p>
          <w:p>
            <w:pPr>
              <w:spacing w:before="4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20"/>
                <w:shd w:fill="auto" w:val="clear"/>
              </w:rPr>
              <w:t xml:space="preserve">GCF</w:t>
            </w:r>
          </w:p>
        </w:tc>
        <w:tc>
          <w:tcPr>
            <w:tcW w:w="8504"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40" w:after="0" w:line="240"/>
              <w:ind w:right="0" w:left="0" w:firstLine="0"/>
              <w:jc w:val="left"/>
              <w:rPr>
                <w:rFonts w:ascii="Calibri" w:hAnsi="Calibri" w:cs="Calibri" w:eastAsia="Calibri"/>
                <w:color w:val="000000"/>
                <w:spacing w:val="0"/>
                <w:position w:val="0"/>
                <w:sz w:val="20"/>
                <w:shd w:fill="auto" w:val="clear"/>
              </w:rPr>
            </w:pPr>
            <w:r>
              <w:rPr>
                <w:rFonts w:ascii="Calibri" w:hAnsi="Calibri" w:cs="Calibri" w:eastAsia="Calibri"/>
                <w:color w:val="000000"/>
                <w:spacing w:val="0"/>
                <w:position w:val="0"/>
                <w:sz w:val="20"/>
                <w:shd w:fill="auto" w:val="clear"/>
              </w:rPr>
              <w:t xml:space="preserve">Forest Stewardship Council (engl.)</w:t>
            </w:r>
          </w:p>
          <w:p>
            <w:pPr>
              <w:spacing w:before="4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20"/>
                <w:shd w:fill="auto" w:val="clear"/>
              </w:rPr>
              <w:t xml:space="preserve">Zeleni klimatski fond (engl. </w:t>
            </w:r>
            <w:r>
              <w:rPr>
                <w:rFonts w:ascii="Calibri" w:hAnsi="Calibri" w:cs="Calibri" w:eastAsia="Calibri"/>
                <w:i/>
                <w:color w:val="000000"/>
                <w:spacing w:val="0"/>
                <w:position w:val="0"/>
                <w:sz w:val="20"/>
                <w:shd w:fill="auto" w:val="clear"/>
              </w:rPr>
              <w:t xml:space="preserve">Green Climate Fund</w:t>
            </w:r>
            <w:r>
              <w:rPr>
                <w:rFonts w:ascii="Calibri" w:hAnsi="Calibri" w:cs="Calibri" w:eastAsia="Calibri"/>
                <w:color w:val="000000"/>
                <w:spacing w:val="0"/>
                <w:position w:val="0"/>
                <w:sz w:val="20"/>
                <w:shd w:fill="auto" w:val="clear"/>
              </w:rPr>
              <w:t xml:space="preserve">)</w:t>
            </w:r>
          </w:p>
        </w:tc>
      </w:tr>
      <w:tr>
        <w:trPr>
          <w:trHeight w:val="300" w:hRule="auto"/>
          <w:jc w:val="left"/>
        </w:trPr>
        <w:tc>
          <w:tcPr>
            <w:tcW w:w="88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4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20"/>
                <w:shd w:fill="auto" w:val="clear"/>
              </w:rPr>
              <w:t xml:space="preserve">GIZ</w:t>
            </w:r>
          </w:p>
        </w:tc>
        <w:tc>
          <w:tcPr>
            <w:tcW w:w="8504"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40" w:after="0" w:line="240"/>
              <w:ind w:right="0" w:left="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20"/>
                <w:shd w:fill="auto" w:val="clear"/>
              </w:rPr>
              <w:t xml:space="preserve">Njema</w:t>
            </w:r>
            <w:r>
              <w:rPr>
                <w:rFonts w:ascii="Calibri" w:hAnsi="Calibri" w:cs="Calibri" w:eastAsia="Calibri"/>
                <w:color w:val="auto"/>
                <w:spacing w:val="0"/>
                <w:position w:val="0"/>
                <w:sz w:val="20"/>
                <w:shd w:fill="auto" w:val="clear"/>
              </w:rPr>
              <w:t xml:space="preserve">čko društvo za međunarodnu suradnju (njem. </w:t>
            </w:r>
            <w:r>
              <w:rPr>
                <w:rFonts w:ascii="Calibri" w:hAnsi="Calibri" w:cs="Calibri" w:eastAsia="Calibri"/>
                <w:i/>
                <w:color w:val="auto"/>
                <w:spacing w:val="0"/>
                <w:position w:val="0"/>
                <w:sz w:val="20"/>
                <w:shd w:fill="FFFFFF" w:val="clear"/>
              </w:rPr>
              <w:t xml:space="preserve">Deutsche Gesellschaft für Internationale Zusammenarbeit (GIZ) GmbH</w:t>
            </w:r>
            <w:r>
              <w:rPr>
                <w:rFonts w:ascii="Calibri" w:hAnsi="Calibri" w:cs="Calibri" w:eastAsia="Calibri"/>
                <w:color w:val="auto"/>
                <w:spacing w:val="0"/>
                <w:position w:val="0"/>
                <w:sz w:val="20"/>
                <w:shd w:fill="FFFFFF" w:val="clear"/>
              </w:rPr>
              <w:t xml:space="preserve">)</w:t>
            </w:r>
          </w:p>
        </w:tc>
      </w:tr>
      <w:tr>
        <w:trPr>
          <w:trHeight w:val="300" w:hRule="auto"/>
          <w:jc w:val="left"/>
        </w:trPr>
        <w:tc>
          <w:tcPr>
            <w:tcW w:w="88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40" w:after="0" w:line="240"/>
              <w:ind w:right="0" w:left="0" w:firstLine="0"/>
              <w:jc w:val="left"/>
              <w:rPr>
                <w:rFonts w:ascii="Calibri" w:hAnsi="Calibri" w:cs="Calibri" w:eastAsia="Calibri"/>
                <w:color w:val="000000"/>
                <w:spacing w:val="0"/>
                <w:position w:val="0"/>
                <w:sz w:val="20"/>
                <w:shd w:fill="auto" w:val="clear"/>
              </w:rPr>
            </w:pPr>
            <w:r>
              <w:rPr>
                <w:rFonts w:ascii="Calibri" w:hAnsi="Calibri" w:cs="Calibri" w:eastAsia="Calibri"/>
                <w:color w:val="000000"/>
                <w:spacing w:val="0"/>
                <w:position w:val="0"/>
                <w:sz w:val="20"/>
                <w:shd w:fill="auto" w:val="clear"/>
              </w:rPr>
              <w:t xml:space="preserve">IDEEAA</w:t>
            </w:r>
          </w:p>
          <w:p>
            <w:pPr>
              <w:spacing w:before="4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20"/>
                <w:shd w:fill="auto" w:val="clear"/>
              </w:rPr>
              <w:t xml:space="preserve">IPCC</w:t>
            </w:r>
          </w:p>
        </w:tc>
        <w:tc>
          <w:tcPr>
            <w:tcW w:w="8504"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40" w:after="0" w:line="240"/>
              <w:ind w:right="0" w:left="0" w:firstLine="0"/>
              <w:jc w:val="left"/>
              <w:rPr>
                <w:rFonts w:ascii="Calibri" w:hAnsi="Calibri" w:cs="Calibri" w:eastAsia="Calibri"/>
                <w:color w:val="000000"/>
                <w:spacing w:val="0"/>
                <w:position w:val="0"/>
                <w:sz w:val="20"/>
                <w:shd w:fill="auto" w:val="clear"/>
              </w:rPr>
            </w:pPr>
            <w:r>
              <w:rPr>
                <w:rFonts w:ascii="Calibri" w:hAnsi="Calibri" w:cs="Calibri" w:eastAsia="Calibri"/>
                <w:color w:val="auto"/>
                <w:spacing w:val="0"/>
                <w:position w:val="0"/>
                <w:sz w:val="20"/>
                <w:shd w:fill="auto" w:val="clear"/>
              </w:rPr>
              <w:t xml:space="preserve">Agencija za identifikacione dokumente, evidenciju i razmjenu podataka</w:t>
            </w:r>
          </w:p>
          <w:p>
            <w:pPr>
              <w:spacing w:before="4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20"/>
                <w:shd w:fill="auto" w:val="clear"/>
              </w:rPr>
              <w:t xml:space="preserve">Me</w:t>
            </w:r>
            <w:r>
              <w:rPr>
                <w:rFonts w:ascii="Calibri" w:hAnsi="Calibri" w:cs="Calibri" w:eastAsia="Calibri"/>
                <w:color w:val="000000"/>
                <w:spacing w:val="0"/>
                <w:position w:val="0"/>
                <w:sz w:val="20"/>
                <w:shd w:fill="auto" w:val="clear"/>
              </w:rPr>
              <w:t xml:space="preserve">đuvladino tijelo za klimatske promjene (engl. </w:t>
            </w:r>
            <w:r>
              <w:rPr>
                <w:rFonts w:ascii="Calibri" w:hAnsi="Calibri" w:cs="Calibri" w:eastAsia="Calibri"/>
                <w:i/>
                <w:color w:val="000000"/>
                <w:spacing w:val="0"/>
                <w:position w:val="0"/>
                <w:sz w:val="20"/>
                <w:shd w:fill="auto" w:val="clear"/>
              </w:rPr>
              <w:t xml:space="preserve">Intergovernmental Panel on Climate Change)</w:t>
            </w:r>
          </w:p>
        </w:tc>
      </w:tr>
      <w:tr>
        <w:trPr>
          <w:trHeight w:val="300" w:hRule="auto"/>
          <w:jc w:val="left"/>
        </w:trPr>
        <w:tc>
          <w:tcPr>
            <w:tcW w:w="88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40" w:after="0" w:line="240"/>
              <w:ind w:right="0" w:left="0" w:firstLine="0"/>
              <w:jc w:val="left"/>
              <w:rPr>
                <w:rFonts w:ascii="Calibri" w:hAnsi="Calibri" w:cs="Calibri" w:eastAsia="Calibri"/>
                <w:color w:val="000000"/>
                <w:spacing w:val="0"/>
                <w:position w:val="0"/>
                <w:sz w:val="20"/>
                <w:shd w:fill="auto" w:val="clear"/>
              </w:rPr>
            </w:pPr>
            <w:r>
              <w:rPr>
                <w:rFonts w:ascii="Calibri" w:hAnsi="Calibri" w:cs="Calibri" w:eastAsia="Calibri"/>
                <w:color w:val="000000"/>
                <w:spacing w:val="0"/>
                <w:position w:val="0"/>
                <w:sz w:val="20"/>
                <w:shd w:fill="auto" w:val="clear"/>
              </w:rPr>
              <w:t xml:space="preserve">ISEE</w:t>
            </w:r>
          </w:p>
          <w:p>
            <w:pPr>
              <w:spacing w:before="4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20"/>
                <w:shd w:fill="auto" w:val="clear"/>
              </w:rPr>
              <w:t xml:space="preserve">JKP</w:t>
            </w:r>
          </w:p>
        </w:tc>
        <w:tc>
          <w:tcPr>
            <w:tcW w:w="8504"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40" w:after="0" w:line="240"/>
              <w:ind w:right="0" w:left="0" w:firstLine="0"/>
              <w:jc w:val="left"/>
              <w:rPr>
                <w:rFonts w:ascii="Calibri" w:hAnsi="Calibri" w:cs="Calibri" w:eastAsia="Calibri"/>
                <w:color w:val="000000"/>
                <w:spacing w:val="0"/>
                <w:position w:val="0"/>
                <w:sz w:val="20"/>
                <w:shd w:fill="auto" w:val="clear"/>
              </w:rPr>
            </w:pPr>
            <w:r>
              <w:rPr>
                <w:rFonts w:ascii="Calibri" w:hAnsi="Calibri" w:cs="Calibri" w:eastAsia="Calibri"/>
                <w:color w:val="000000"/>
                <w:spacing w:val="0"/>
                <w:position w:val="0"/>
                <w:sz w:val="20"/>
                <w:shd w:fill="auto" w:val="clear"/>
              </w:rPr>
              <w:t xml:space="preserve">Informacioni sistem energijske efikasnosti Federacije BiH</w:t>
            </w:r>
          </w:p>
          <w:p>
            <w:pPr>
              <w:spacing w:before="4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20"/>
                <w:shd w:fill="auto" w:val="clear"/>
              </w:rPr>
              <w:t xml:space="preserve">Javno komunalno preduze</w:t>
            </w:r>
            <w:r>
              <w:rPr>
                <w:rFonts w:ascii="Calibri" w:hAnsi="Calibri" w:cs="Calibri" w:eastAsia="Calibri"/>
                <w:color w:val="000000"/>
                <w:spacing w:val="0"/>
                <w:position w:val="0"/>
                <w:sz w:val="20"/>
                <w:shd w:fill="auto" w:val="clear"/>
              </w:rPr>
              <w:t xml:space="preserve">će</w:t>
            </w:r>
          </w:p>
        </w:tc>
      </w:tr>
      <w:tr>
        <w:trPr>
          <w:trHeight w:val="300" w:hRule="auto"/>
          <w:jc w:val="left"/>
        </w:trPr>
        <w:tc>
          <w:tcPr>
            <w:tcW w:w="88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4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20"/>
                <w:shd w:fill="auto" w:val="clear"/>
              </w:rPr>
              <w:t xml:space="preserve">JLS</w:t>
            </w:r>
          </w:p>
        </w:tc>
        <w:tc>
          <w:tcPr>
            <w:tcW w:w="8504"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4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20"/>
                <w:shd w:fill="auto" w:val="clear"/>
              </w:rPr>
              <w:t xml:space="preserve">Jedinica lokalne samouprave</w:t>
            </w:r>
          </w:p>
        </w:tc>
      </w:tr>
      <w:tr>
        <w:trPr>
          <w:trHeight w:val="300" w:hRule="auto"/>
          <w:jc w:val="left"/>
        </w:trPr>
        <w:tc>
          <w:tcPr>
            <w:tcW w:w="88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40" w:after="0" w:line="240"/>
              <w:ind w:right="0" w:left="0" w:firstLine="0"/>
              <w:jc w:val="left"/>
              <w:rPr>
                <w:rFonts w:ascii="Calibri" w:hAnsi="Calibri" w:cs="Calibri" w:eastAsia="Calibri"/>
                <w:color w:val="000000"/>
                <w:spacing w:val="0"/>
                <w:position w:val="0"/>
                <w:sz w:val="20"/>
                <w:shd w:fill="auto" w:val="clear"/>
              </w:rPr>
            </w:pPr>
            <w:r>
              <w:rPr>
                <w:rFonts w:ascii="Calibri" w:hAnsi="Calibri" w:cs="Calibri" w:eastAsia="Calibri"/>
                <w:color w:val="000000"/>
                <w:spacing w:val="0"/>
                <w:position w:val="0"/>
                <w:sz w:val="20"/>
                <w:shd w:fill="auto" w:val="clear"/>
              </w:rPr>
              <w:t xml:space="preserve">JPP</w:t>
            </w:r>
          </w:p>
          <w:p>
            <w:pPr>
              <w:spacing w:before="4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20"/>
                <w:shd w:fill="auto" w:val="clear"/>
              </w:rPr>
              <w:t xml:space="preserve">JZU</w:t>
            </w:r>
          </w:p>
        </w:tc>
        <w:tc>
          <w:tcPr>
            <w:tcW w:w="8504"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40" w:after="0" w:line="240"/>
              <w:ind w:right="0" w:left="0" w:firstLine="0"/>
              <w:jc w:val="left"/>
              <w:rPr>
                <w:rFonts w:ascii="Calibri" w:hAnsi="Calibri" w:cs="Calibri" w:eastAsia="Calibri"/>
                <w:color w:val="000000"/>
                <w:spacing w:val="0"/>
                <w:position w:val="0"/>
                <w:sz w:val="20"/>
                <w:shd w:fill="auto" w:val="clear"/>
              </w:rPr>
            </w:pPr>
            <w:r>
              <w:rPr>
                <w:rFonts w:ascii="Calibri" w:hAnsi="Calibri" w:cs="Calibri" w:eastAsia="Calibri"/>
                <w:color w:val="000000"/>
                <w:spacing w:val="0"/>
                <w:position w:val="0"/>
                <w:sz w:val="20"/>
                <w:shd w:fill="auto" w:val="clear"/>
              </w:rPr>
              <w:t xml:space="preserve">Javno privatno partnerstvo</w:t>
            </w:r>
          </w:p>
          <w:p>
            <w:pPr>
              <w:spacing w:before="4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20"/>
                <w:shd w:fill="auto" w:val="clear"/>
              </w:rPr>
              <w:t xml:space="preserve">Javna zdravstvena ustanova</w:t>
            </w:r>
          </w:p>
        </w:tc>
      </w:tr>
      <w:tr>
        <w:trPr>
          <w:trHeight w:val="300" w:hRule="auto"/>
          <w:jc w:val="left"/>
        </w:trPr>
        <w:tc>
          <w:tcPr>
            <w:tcW w:w="88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40" w:after="0" w:line="240"/>
              <w:ind w:right="0" w:left="0" w:firstLine="0"/>
              <w:jc w:val="left"/>
              <w:rPr>
                <w:rFonts w:ascii="Calibri" w:hAnsi="Calibri" w:cs="Calibri" w:eastAsia="Calibri"/>
                <w:color w:val="000000"/>
                <w:spacing w:val="0"/>
                <w:position w:val="0"/>
                <w:sz w:val="20"/>
                <w:shd w:fill="auto" w:val="clear"/>
              </w:rPr>
            </w:pPr>
            <w:r>
              <w:rPr>
                <w:rFonts w:ascii="Calibri" w:hAnsi="Calibri" w:cs="Calibri" w:eastAsia="Calibri"/>
                <w:color w:val="000000"/>
                <w:spacing w:val="0"/>
                <w:position w:val="0"/>
                <w:sz w:val="20"/>
                <w:shd w:fill="auto" w:val="clear"/>
              </w:rPr>
              <w:t xml:space="preserve">KfW</w:t>
            </w:r>
          </w:p>
          <w:p>
            <w:pPr>
              <w:spacing w:before="40" w:after="0" w:line="240"/>
              <w:ind w:right="0" w:left="0" w:firstLine="0"/>
              <w:jc w:val="left"/>
              <w:rPr>
                <w:rFonts w:ascii="Calibri" w:hAnsi="Calibri" w:cs="Calibri" w:eastAsia="Calibri"/>
                <w:color w:val="000000"/>
                <w:spacing w:val="0"/>
                <w:position w:val="0"/>
                <w:sz w:val="20"/>
                <w:shd w:fill="auto" w:val="clear"/>
              </w:rPr>
            </w:pPr>
            <w:r>
              <w:rPr>
                <w:rFonts w:ascii="Calibri" w:hAnsi="Calibri" w:cs="Calibri" w:eastAsia="Calibri"/>
                <w:color w:val="000000"/>
                <w:spacing w:val="0"/>
                <w:position w:val="0"/>
                <w:sz w:val="20"/>
                <w:shd w:fill="auto" w:val="clear"/>
              </w:rPr>
              <w:t xml:space="preserve">LED</w:t>
            </w:r>
          </w:p>
          <w:p>
            <w:pPr>
              <w:spacing w:before="40" w:after="0" w:line="240"/>
              <w:ind w:right="0" w:left="0" w:firstLine="0"/>
              <w:jc w:val="left"/>
              <w:rPr>
                <w:rFonts w:ascii="Calibri" w:hAnsi="Calibri" w:cs="Calibri" w:eastAsia="Calibri"/>
                <w:color w:val="000000"/>
                <w:spacing w:val="0"/>
                <w:position w:val="0"/>
                <w:sz w:val="20"/>
                <w:shd w:fill="auto" w:val="clear"/>
              </w:rPr>
            </w:pPr>
            <w:r>
              <w:rPr>
                <w:rFonts w:ascii="Calibri" w:hAnsi="Calibri" w:cs="Calibri" w:eastAsia="Calibri"/>
                <w:color w:val="000000"/>
                <w:spacing w:val="0"/>
                <w:position w:val="0"/>
                <w:sz w:val="20"/>
                <w:shd w:fill="auto" w:val="clear"/>
              </w:rPr>
              <w:t xml:space="preserve">MEI</w:t>
            </w:r>
          </w:p>
          <w:p>
            <w:pPr>
              <w:spacing w:before="40" w:after="0" w:line="240"/>
              <w:ind w:right="0" w:left="0" w:firstLine="0"/>
              <w:jc w:val="left"/>
              <w:rPr>
                <w:rFonts w:ascii="Calibri" w:hAnsi="Calibri" w:cs="Calibri" w:eastAsia="Calibri"/>
                <w:color w:val="000000"/>
                <w:spacing w:val="0"/>
                <w:position w:val="0"/>
                <w:sz w:val="20"/>
                <w:shd w:fill="auto" w:val="clear"/>
              </w:rPr>
            </w:pPr>
            <w:r>
              <w:rPr>
                <w:rFonts w:ascii="Calibri" w:hAnsi="Calibri" w:cs="Calibri" w:eastAsia="Calibri"/>
                <w:color w:val="000000"/>
                <w:spacing w:val="0"/>
                <w:position w:val="0"/>
                <w:sz w:val="20"/>
                <w:shd w:fill="auto" w:val="clear"/>
              </w:rPr>
              <w:t xml:space="preserve">MZ</w:t>
            </w:r>
          </w:p>
          <w:p>
            <w:pPr>
              <w:spacing w:before="40" w:after="0" w:line="240"/>
              <w:ind w:right="0" w:left="0" w:firstLine="0"/>
              <w:jc w:val="left"/>
              <w:rPr>
                <w:rFonts w:ascii="Calibri" w:hAnsi="Calibri" w:cs="Calibri" w:eastAsia="Calibri"/>
                <w:spacing w:val="0"/>
                <w:position w:val="0"/>
              </w:rPr>
            </w:pPr>
          </w:p>
        </w:tc>
        <w:tc>
          <w:tcPr>
            <w:tcW w:w="8504"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40" w:after="0" w:line="240"/>
              <w:ind w:right="0" w:left="0" w:firstLine="0"/>
              <w:jc w:val="left"/>
              <w:rPr>
                <w:rFonts w:ascii="Calibri" w:hAnsi="Calibri" w:cs="Calibri" w:eastAsia="Calibri"/>
                <w:color w:val="000000"/>
                <w:spacing w:val="0"/>
                <w:position w:val="0"/>
                <w:sz w:val="20"/>
                <w:shd w:fill="auto" w:val="clear"/>
              </w:rPr>
            </w:pPr>
            <w:r>
              <w:rPr>
                <w:rFonts w:ascii="Calibri" w:hAnsi="Calibri" w:cs="Calibri" w:eastAsia="Calibri"/>
                <w:color w:val="000000"/>
                <w:spacing w:val="0"/>
                <w:position w:val="0"/>
                <w:sz w:val="20"/>
                <w:shd w:fill="auto" w:val="clear"/>
              </w:rPr>
              <w:t xml:space="preserve">Njema</w:t>
            </w:r>
            <w:r>
              <w:rPr>
                <w:rFonts w:ascii="Calibri" w:hAnsi="Calibri" w:cs="Calibri" w:eastAsia="Calibri"/>
                <w:color w:val="000000"/>
                <w:spacing w:val="0"/>
                <w:position w:val="0"/>
                <w:sz w:val="20"/>
                <w:shd w:fill="auto" w:val="clear"/>
              </w:rPr>
              <w:t xml:space="preserve">čka razvojna banka (njem. </w:t>
            </w:r>
            <w:r>
              <w:rPr>
                <w:rFonts w:ascii="Calibri" w:hAnsi="Calibri" w:cs="Calibri" w:eastAsia="Calibri"/>
                <w:i/>
                <w:color w:val="202122"/>
                <w:spacing w:val="0"/>
                <w:position w:val="0"/>
                <w:sz w:val="20"/>
                <w:shd w:fill="FFFFFF" w:val="clear"/>
              </w:rPr>
              <w:t xml:space="preserve">Kreditanstalt für Wiederaufbau)</w:t>
            </w:r>
          </w:p>
          <w:p>
            <w:pPr>
              <w:spacing w:before="40" w:after="0" w:line="240"/>
              <w:ind w:right="0" w:left="0" w:firstLine="0"/>
              <w:jc w:val="left"/>
              <w:rPr>
                <w:rFonts w:ascii="Calibri" w:hAnsi="Calibri" w:cs="Calibri" w:eastAsia="Calibri"/>
                <w:color w:val="000000"/>
                <w:spacing w:val="0"/>
                <w:position w:val="0"/>
                <w:sz w:val="20"/>
                <w:shd w:fill="auto" w:val="clear"/>
              </w:rPr>
            </w:pPr>
            <w:r>
              <w:rPr>
                <w:rFonts w:ascii="Calibri" w:hAnsi="Calibri" w:cs="Calibri" w:eastAsia="Calibri"/>
                <w:color w:val="000000"/>
                <w:spacing w:val="0"/>
                <w:position w:val="0"/>
                <w:sz w:val="20"/>
                <w:shd w:fill="auto" w:val="clear"/>
              </w:rPr>
              <w:t xml:space="preserve">Svjetle</w:t>
            </w:r>
            <w:r>
              <w:rPr>
                <w:rFonts w:ascii="Calibri" w:hAnsi="Calibri" w:cs="Calibri" w:eastAsia="Calibri"/>
                <w:color w:val="000000"/>
                <w:spacing w:val="0"/>
                <w:position w:val="0"/>
                <w:sz w:val="20"/>
                <w:shd w:fill="auto" w:val="clear"/>
              </w:rPr>
              <w:t xml:space="preserve">ća dioda (engl. </w:t>
            </w:r>
            <w:r>
              <w:rPr>
                <w:rFonts w:ascii="Calibri" w:hAnsi="Calibri" w:cs="Calibri" w:eastAsia="Calibri"/>
                <w:i/>
                <w:color w:val="000000"/>
                <w:spacing w:val="0"/>
                <w:position w:val="0"/>
                <w:sz w:val="20"/>
                <w:shd w:fill="auto" w:val="clear"/>
              </w:rPr>
              <w:t xml:space="preserve">Light Emitting Diode</w:t>
            </w:r>
            <w:r>
              <w:rPr>
                <w:rFonts w:ascii="Calibri" w:hAnsi="Calibri" w:cs="Calibri" w:eastAsia="Calibri"/>
                <w:color w:val="000000"/>
                <w:spacing w:val="0"/>
                <w:position w:val="0"/>
                <w:sz w:val="20"/>
                <w:shd w:fill="auto" w:val="clear"/>
              </w:rPr>
              <w:t xml:space="preserve">)</w:t>
            </w:r>
          </w:p>
          <w:p>
            <w:pPr>
              <w:spacing w:before="40" w:after="0" w:line="240"/>
              <w:ind w:right="0" w:left="0" w:firstLine="0"/>
              <w:jc w:val="left"/>
              <w:rPr>
                <w:rFonts w:ascii="Calibri" w:hAnsi="Calibri" w:cs="Calibri" w:eastAsia="Calibri"/>
                <w:i/>
                <w:color w:val="000000"/>
                <w:spacing w:val="0"/>
                <w:position w:val="0"/>
                <w:sz w:val="20"/>
                <w:shd w:fill="auto" w:val="clear"/>
              </w:rPr>
            </w:pPr>
            <w:r>
              <w:rPr>
                <w:rFonts w:ascii="Calibri" w:hAnsi="Calibri" w:cs="Calibri" w:eastAsia="Calibri"/>
                <w:color w:val="000000"/>
                <w:spacing w:val="0"/>
                <w:position w:val="0"/>
                <w:sz w:val="20"/>
                <w:shd w:fill="auto" w:val="clear"/>
              </w:rPr>
              <w:t xml:space="preserve">Kontrolni inventar emisija (engl. </w:t>
            </w:r>
            <w:r>
              <w:rPr>
                <w:rFonts w:ascii="Calibri" w:hAnsi="Calibri" w:cs="Calibri" w:eastAsia="Calibri"/>
                <w:i/>
                <w:color w:val="000000"/>
                <w:spacing w:val="0"/>
                <w:position w:val="0"/>
                <w:sz w:val="20"/>
                <w:shd w:fill="auto" w:val="clear"/>
              </w:rPr>
              <w:t xml:space="preserve">Monitoring Emission Inventory)</w:t>
            </w:r>
          </w:p>
          <w:p>
            <w:pPr>
              <w:spacing w:before="4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20"/>
                <w:shd w:fill="auto" w:val="clear"/>
              </w:rPr>
              <w:t xml:space="preserve">Mjesna zajednica</w:t>
            </w:r>
          </w:p>
        </w:tc>
      </w:tr>
      <w:tr>
        <w:trPr>
          <w:trHeight w:val="300" w:hRule="auto"/>
          <w:jc w:val="left"/>
        </w:trPr>
        <w:tc>
          <w:tcPr>
            <w:tcW w:w="88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40" w:after="0" w:line="240"/>
              <w:ind w:right="0" w:left="0" w:firstLine="0"/>
              <w:jc w:val="left"/>
              <w:rPr>
                <w:rFonts w:ascii="Calibri" w:hAnsi="Calibri" w:cs="Calibri" w:eastAsia="Calibri"/>
                <w:color w:val="000000"/>
                <w:spacing w:val="0"/>
                <w:position w:val="0"/>
                <w:sz w:val="20"/>
                <w:shd w:fill="auto" w:val="clear"/>
              </w:rPr>
            </w:pPr>
            <w:r>
              <w:rPr>
                <w:rFonts w:ascii="Calibri" w:hAnsi="Calibri" w:cs="Calibri" w:eastAsia="Calibri"/>
                <w:color w:val="000000"/>
                <w:spacing w:val="0"/>
                <w:position w:val="0"/>
                <w:sz w:val="20"/>
                <w:shd w:fill="auto" w:val="clear"/>
              </w:rPr>
              <w:t xml:space="preserve">RCM</w:t>
            </w:r>
          </w:p>
          <w:p>
            <w:pPr>
              <w:spacing w:before="40" w:after="0" w:line="240"/>
              <w:ind w:right="0" w:left="0" w:firstLine="0"/>
              <w:jc w:val="left"/>
              <w:rPr>
                <w:rFonts w:ascii="Calibri" w:hAnsi="Calibri" w:cs="Calibri" w:eastAsia="Calibri"/>
                <w:color w:val="000000"/>
                <w:spacing w:val="0"/>
                <w:position w:val="0"/>
                <w:sz w:val="20"/>
                <w:shd w:fill="auto" w:val="clear"/>
              </w:rPr>
            </w:pPr>
            <w:r>
              <w:rPr>
                <w:rFonts w:ascii="Calibri" w:hAnsi="Calibri" w:cs="Calibri" w:eastAsia="Calibri"/>
                <w:color w:val="000000"/>
                <w:spacing w:val="0"/>
                <w:position w:val="0"/>
                <w:sz w:val="20"/>
                <w:shd w:fill="auto" w:val="clear"/>
              </w:rPr>
              <w:t xml:space="preserve">RTV TK</w:t>
            </w:r>
          </w:p>
          <w:p>
            <w:pPr>
              <w:spacing w:before="4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20"/>
                <w:shd w:fill="auto" w:val="clear"/>
              </w:rPr>
              <w:t xml:space="preserve">RVA</w:t>
            </w:r>
          </w:p>
        </w:tc>
        <w:tc>
          <w:tcPr>
            <w:tcW w:w="8504"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40" w:after="0" w:line="240"/>
              <w:ind w:right="0" w:left="0" w:firstLine="0"/>
              <w:jc w:val="left"/>
              <w:rPr>
                <w:rFonts w:ascii="Calibri" w:hAnsi="Calibri" w:cs="Calibri" w:eastAsia="Calibri"/>
                <w:color w:val="000000"/>
                <w:spacing w:val="0"/>
                <w:position w:val="0"/>
                <w:sz w:val="20"/>
                <w:shd w:fill="auto" w:val="clear"/>
              </w:rPr>
            </w:pPr>
            <w:r>
              <w:rPr>
                <w:rFonts w:ascii="Calibri" w:hAnsi="Calibri" w:cs="Calibri" w:eastAsia="Calibri"/>
                <w:color w:val="000000"/>
                <w:spacing w:val="0"/>
                <w:position w:val="0"/>
                <w:sz w:val="20"/>
                <w:shd w:fill="auto" w:val="clear"/>
              </w:rPr>
              <w:t xml:space="preserve">Regionalni klimatski model (engl. </w:t>
            </w:r>
            <w:r>
              <w:rPr>
                <w:rFonts w:ascii="Calibri" w:hAnsi="Calibri" w:cs="Calibri" w:eastAsia="Calibri"/>
                <w:i/>
                <w:color w:val="000000"/>
                <w:spacing w:val="0"/>
                <w:position w:val="0"/>
                <w:sz w:val="20"/>
                <w:shd w:fill="auto" w:val="clear"/>
              </w:rPr>
              <w:t xml:space="preserve">Regional Climate Model</w:t>
            </w:r>
            <w:r>
              <w:rPr>
                <w:rFonts w:ascii="Calibri" w:hAnsi="Calibri" w:cs="Calibri" w:eastAsia="Calibri"/>
                <w:color w:val="000000"/>
                <w:spacing w:val="0"/>
                <w:position w:val="0"/>
                <w:sz w:val="20"/>
                <w:shd w:fill="auto" w:val="clear"/>
              </w:rPr>
              <w:t xml:space="preserve">)</w:t>
            </w:r>
          </w:p>
          <w:p>
            <w:pPr>
              <w:spacing w:before="40" w:after="0" w:line="240"/>
              <w:ind w:right="0" w:left="0" w:firstLine="0"/>
              <w:jc w:val="left"/>
              <w:rPr>
                <w:rFonts w:ascii="Calibri" w:hAnsi="Calibri" w:cs="Calibri" w:eastAsia="Calibri"/>
                <w:color w:val="000000"/>
                <w:spacing w:val="0"/>
                <w:position w:val="0"/>
                <w:sz w:val="20"/>
                <w:shd w:fill="auto" w:val="clear"/>
              </w:rPr>
            </w:pPr>
            <w:r>
              <w:rPr>
                <w:rFonts w:ascii="Calibri" w:hAnsi="Calibri" w:cs="Calibri" w:eastAsia="Calibri"/>
                <w:color w:val="000000"/>
                <w:spacing w:val="0"/>
                <w:position w:val="0"/>
                <w:sz w:val="20"/>
                <w:shd w:fill="auto" w:val="clear"/>
              </w:rPr>
              <w:t xml:space="preserve">Radio televizija Tuzlanskog kantona</w:t>
            </w:r>
          </w:p>
          <w:p>
            <w:pPr>
              <w:spacing w:before="4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20"/>
                <w:shd w:fill="auto" w:val="clear"/>
              </w:rPr>
              <w:t xml:space="preserve">Ocjena opasnosti, izloženosti i kapaciteta za prilago</w:t>
            </w:r>
            <w:r>
              <w:rPr>
                <w:rFonts w:ascii="Calibri" w:hAnsi="Calibri" w:cs="Calibri" w:eastAsia="Calibri"/>
                <w:color w:val="000000"/>
                <w:spacing w:val="0"/>
                <w:position w:val="0"/>
                <w:sz w:val="20"/>
                <w:shd w:fill="auto" w:val="clear"/>
              </w:rPr>
              <w:t xml:space="preserve">đavanje na klimatske promjene (engl. </w:t>
            </w:r>
            <w:r>
              <w:rPr>
                <w:rFonts w:ascii="Calibri" w:hAnsi="Calibri" w:cs="Calibri" w:eastAsia="Calibri"/>
                <w:i/>
                <w:color w:val="000000"/>
                <w:spacing w:val="0"/>
                <w:position w:val="0"/>
                <w:sz w:val="20"/>
                <w:shd w:fill="auto" w:val="clear"/>
              </w:rPr>
              <w:t xml:space="preserve">Risk and Vulnerability Assessment</w:t>
            </w:r>
            <w:r>
              <w:rPr>
                <w:rFonts w:ascii="Calibri" w:hAnsi="Calibri" w:cs="Calibri" w:eastAsia="Calibri"/>
                <w:color w:val="000000"/>
                <w:spacing w:val="0"/>
                <w:position w:val="0"/>
                <w:sz w:val="20"/>
                <w:shd w:fill="auto" w:val="clear"/>
              </w:rPr>
              <w:t xml:space="preserve">)</w:t>
            </w:r>
          </w:p>
        </w:tc>
      </w:tr>
      <w:tr>
        <w:trPr>
          <w:trHeight w:val="300" w:hRule="auto"/>
          <w:jc w:val="left"/>
        </w:trPr>
        <w:tc>
          <w:tcPr>
            <w:tcW w:w="88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40" w:after="0" w:line="240"/>
              <w:ind w:right="0" w:left="0" w:firstLine="0"/>
              <w:jc w:val="left"/>
              <w:rPr>
                <w:rFonts w:ascii="Calibri" w:hAnsi="Calibri" w:cs="Calibri" w:eastAsia="Calibri"/>
                <w:color w:val="000000"/>
                <w:spacing w:val="0"/>
                <w:position w:val="0"/>
                <w:sz w:val="20"/>
                <w:shd w:fill="auto" w:val="clear"/>
              </w:rPr>
            </w:pPr>
            <w:r>
              <w:rPr>
                <w:rFonts w:ascii="Calibri" w:hAnsi="Calibri" w:cs="Calibri" w:eastAsia="Calibri"/>
                <w:color w:val="000000"/>
                <w:spacing w:val="0"/>
                <w:position w:val="0"/>
                <w:sz w:val="20"/>
                <w:shd w:fill="auto" w:val="clear"/>
              </w:rPr>
              <w:t xml:space="preserve">TK</w:t>
            </w:r>
          </w:p>
          <w:p>
            <w:pPr>
              <w:spacing w:before="4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20"/>
                <w:shd w:fill="auto" w:val="clear"/>
              </w:rPr>
              <w:t xml:space="preserve">SEAP</w:t>
            </w:r>
          </w:p>
        </w:tc>
        <w:tc>
          <w:tcPr>
            <w:tcW w:w="8504"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40" w:after="0" w:line="240"/>
              <w:ind w:right="0" w:left="0" w:firstLine="0"/>
              <w:jc w:val="left"/>
              <w:rPr>
                <w:rFonts w:ascii="Calibri" w:hAnsi="Calibri" w:cs="Calibri" w:eastAsia="Calibri"/>
                <w:color w:val="000000"/>
                <w:spacing w:val="0"/>
                <w:position w:val="0"/>
                <w:sz w:val="20"/>
                <w:shd w:fill="auto" w:val="clear"/>
              </w:rPr>
            </w:pPr>
            <w:r>
              <w:rPr>
                <w:rFonts w:ascii="Calibri" w:hAnsi="Calibri" w:cs="Calibri" w:eastAsia="Calibri"/>
                <w:color w:val="000000"/>
                <w:spacing w:val="0"/>
                <w:position w:val="0"/>
                <w:sz w:val="20"/>
                <w:shd w:fill="auto" w:val="clear"/>
              </w:rPr>
              <w:t xml:space="preserve">Tuzlanski kanton</w:t>
            </w:r>
          </w:p>
          <w:p>
            <w:pPr>
              <w:spacing w:before="4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20"/>
                <w:shd w:fill="auto" w:val="clear"/>
              </w:rPr>
              <w:t xml:space="preserve">Akcioni plan energetski održivog razvoja (engl. </w:t>
            </w:r>
            <w:r>
              <w:rPr>
                <w:rFonts w:ascii="Calibri" w:hAnsi="Calibri" w:cs="Calibri" w:eastAsia="Calibri"/>
                <w:i/>
                <w:color w:val="000000"/>
                <w:spacing w:val="0"/>
                <w:position w:val="0"/>
                <w:sz w:val="20"/>
                <w:shd w:fill="auto" w:val="clear"/>
              </w:rPr>
              <w:t xml:space="preserve">Sustainable Energy Action Plan</w:t>
            </w:r>
            <w:r>
              <w:rPr>
                <w:rFonts w:ascii="Calibri" w:hAnsi="Calibri" w:cs="Calibri" w:eastAsia="Calibri"/>
                <w:color w:val="000000"/>
                <w:spacing w:val="0"/>
                <w:position w:val="0"/>
                <w:sz w:val="20"/>
                <w:shd w:fill="auto" w:val="clear"/>
              </w:rPr>
              <w:t xml:space="preserve">)</w:t>
            </w:r>
          </w:p>
        </w:tc>
      </w:tr>
      <w:tr>
        <w:trPr>
          <w:trHeight w:val="300" w:hRule="auto"/>
          <w:jc w:val="left"/>
        </w:trPr>
        <w:tc>
          <w:tcPr>
            <w:tcW w:w="88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40" w:after="0" w:line="240"/>
              <w:ind w:right="0" w:left="0" w:firstLine="0"/>
              <w:jc w:val="left"/>
              <w:rPr>
                <w:rFonts w:ascii="Calibri" w:hAnsi="Calibri" w:cs="Calibri" w:eastAsia="Calibri"/>
                <w:color w:val="000000"/>
                <w:spacing w:val="0"/>
                <w:position w:val="0"/>
                <w:sz w:val="20"/>
                <w:shd w:fill="auto" w:val="clear"/>
              </w:rPr>
            </w:pPr>
            <w:r>
              <w:rPr>
                <w:rFonts w:ascii="Calibri" w:hAnsi="Calibri" w:cs="Calibri" w:eastAsia="Calibri"/>
                <w:color w:val="000000"/>
                <w:spacing w:val="0"/>
                <w:position w:val="0"/>
                <w:sz w:val="20"/>
                <w:shd w:fill="auto" w:val="clear"/>
              </w:rPr>
              <w:t xml:space="preserve">SECAP</w:t>
            </w:r>
          </w:p>
          <w:p>
            <w:pPr>
              <w:spacing w:before="40" w:after="0" w:line="240"/>
              <w:ind w:right="0" w:left="0" w:firstLine="0"/>
              <w:jc w:val="left"/>
              <w:rPr>
                <w:rFonts w:ascii="Calibri" w:hAnsi="Calibri" w:cs="Calibri" w:eastAsia="Calibri"/>
                <w:spacing w:val="0"/>
                <w:position w:val="0"/>
              </w:rPr>
            </w:pPr>
          </w:p>
        </w:tc>
        <w:tc>
          <w:tcPr>
            <w:tcW w:w="8504"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40" w:after="0" w:line="240"/>
              <w:ind w:right="0" w:left="0" w:firstLine="0"/>
              <w:jc w:val="left"/>
              <w:rPr>
                <w:rFonts w:ascii="Calibri" w:hAnsi="Calibri" w:cs="Calibri" w:eastAsia="Calibri"/>
                <w:color w:val="000000"/>
                <w:spacing w:val="0"/>
                <w:position w:val="0"/>
                <w:sz w:val="20"/>
                <w:shd w:fill="auto" w:val="clear"/>
              </w:rPr>
            </w:pPr>
            <w:r>
              <w:rPr>
                <w:rFonts w:ascii="Calibri" w:hAnsi="Calibri" w:cs="Calibri" w:eastAsia="Calibri"/>
                <w:color w:val="000000"/>
                <w:spacing w:val="0"/>
                <w:position w:val="0"/>
                <w:sz w:val="20"/>
                <w:shd w:fill="auto" w:val="clear"/>
              </w:rPr>
              <w:t xml:space="preserve">Akcioni plan održivog upravljanja energijom i prilago</w:t>
            </w:r>
            <w:r>
              <w:rPr>
                <w:rFonts w:ascii="Calibri" w:hAnsi="Calibri" w:cs="Calibri" w:eastAsia="Calibri"/>
                <w:color w:val="000000"/>
                <w:spacing w:val="0"/>
                <w:position w:val="0"/>
                <w:sz w:val="20"/>
                <w:shd w:fill="auto" w:val="clear"/>
              </w:rPr>
              <w:t xml:space="preserve">đavanja klimatskim promjenama (engl. </w:t>
            </w:r>
            <w:r>
              <w:rPr>
                <w:rFonts w:ascii="Calibri" w:hAnsi="Calibri" w:cs="Calibri" w:eastAsia="Calibri"/>
                <w:i/>
                <w:color w:val="000000"/>
                <w:spacing w:val="0"/>
                <w:position w:val="0"/>
                <w:sz w:val="20"/>
                <w:shd w:fill="auto" w:val="clear"/>
              </w:rPr>
              <w:t xml:space="preserve">Sustainable Energy and Climate Action Plan</w:t>
            </w:r>
            <w:r>
              <w:rPr>
                <w:rFonts w:ascii="Calibri" w:hAnsi="Calibri" w:cs="Calibri" w:eastAsia="Calibri"/>
                <w:color w:val="000000"/>
                <w:spacing w:val="0"/>
                <w:position w:val="0"/>
                <w:sz w:val="20"/>
                <w:shd w:fill="auto" w:val="clear"/>
              </w:rPr>
              <w:t xml:space="preserve">)</w:t>
            </w:r>
          </w:p>
          <w:p>
            <w:pPr>
              <w:spacing w:before="40" w:after="0" w:line="240"/>
              <w:ind w:right="0" w:left="0" w:firstLine="0"/>
              <w:jc w:val="left"/>
              <w:rPr>
                <w:rFonts w:ascii="Calibri" w:hAnsi="Calibri" w:cs="Calibri" w:eastAsia="Calibri"/>
                <w:spacing w:val="0"/>
                <w:position w:val="0"/>
              </w:rPr>
            </w:pPr>
          </w:p>
        </w:tc>
      </w:tr>
      <w:tr>
        <w:trPr>
          <w:trHeight w:val="300" w:hRule="auto"/>
          <w:jc w:val="left"/>
        </w:trPr>
        <w:tc>
          <w:tcPr>
            <w:tcW w:w="88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40" w:after="0" w:line="240"/>
              <w:ind w:right="0" w:left="0" w:firstLine="0"/>
              <w:jc w:val="left"/>
              <w:rPr>
                <w:rFonts w:ascii="Calibri" w:hAnsi="Calibri" w:cs="Calibri" w:eastAsia="Calibri"/>
                <w:color w:val="000000"/>
                <w:spacing w:val="0"/>
                <w:position w:val="0"/>
                <w:sz w:val="20"/>
                <w:shd w:fill="auto" w:val="clear"/>
              </w:rPr>
            </w:pPr>
            <w:r>
              <w:rPr>
                <w:rFonts w:ascii="Calibri" w:hAnsi="Calibri" w:cs="Calibri" w:eastAsia="Calibri"/>
                <w:color w:val="000000"/>
                <w:spacing w:val="0"/>
                <w:position w:val="0"/>
                <w:sz w:val="20"/>
                <w:shd w:fill="auto" w:val="clear"/>
              </w:rPr>
              <w:t xml:space="preserve">UN</w:t>
            </w:r>
          </w:p>
          <w:p>
            <w:pPr>
              <w:spacing w:before="4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20"/>
                <w:shd w:fill="auto" w:val="clear"/>
              </w:rPr>
              <w:t xml:space="preserve">UNDP</w:t>
            </w:r>
          </w:p>
        </w:tc>
        <w:tc>
          <w:tcPr>
            <w:tcW w:w="8504"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40" w:after="0" w:line="240"/>
              <w:ind w:right="0" w:left="0" w:firstLine="0"/>
              <w:jc w:val="left"/>
              <w:rPr>
                <w:rFonts w:ascii="Calibri" w:hAnsi="Calibri" w:cs="Calibri" w:eastAsia="Calibri"/>
                <w:color w:val="000000"/>
                <w:spacing w:val="0"/>
                <w:position w:val="0"/>
                <w:sz w:val="20"/>
                <w:shd w:fill="auto" w:val="clear"/>
              </w:rPr>
            </w:pPr>
            <w:r>
              <w:rPr>
                <w:rFonts w:ascii="Calibri" w:hAnsi="Calibri" w:cs="Calibri" w:eastAsia="Calibri"/>
                <w:color w:val="000000"/>
                <w:spacing w:val="0"/>
                <w:position w:val="0"/>
                <w:sz w:val="20"/>
                <w:shd w:fill="auto" w:val="clear"/>
              </w:rPr>
              <w:t xml:space="preserve">Ujedinjene nacije</w:t>
            </w:r>
          </w:p>
          <w:p>
            <w:pPr>
              <w:spacing w:before="4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20"/>
                <w:shd w:fill="auto" w:val="clear"/>
              </w:rPr>
              <w:t xml:space="preserve">Razvojni program Ujedinjenih nacija (engl. </w:t>
            </w:r>
            <w:r>
              <w:rPr>
                <w:rFonts w:ascii="Calibri" w:hAnsi="Calibri" w:cs="Calibri" w:eastAsia="Calibri"/>
                <w:i/>
                <w:color w:val="000000"/>
                <w:spacing w:val="0"/>
                <w:position w:val="0"/>
                <w:sz w:val="20"/>
                <w:shd w:fill="auto" w:val="clear"/>
              </w:rPr>
              <w:t xml:space="preserve">United Nations Development Program</w:t>
            </w:r>
            <w:r>
              <w:rPr>
                <w:rFonts w:ascii="Calibri" w:hAnsi="Calibri" w:cs="Calibri" w:eastAsia="Calibri"/>
                <w:color w:val="000000"/>
                <w:spacing w:val="0"/>
                <w:position w:val="0"/>
                <w:sz w:val="20"/>
                <w:shd w:fill="auto" w:val="clear"/>
              </w:rPr>
              <w:t xml:space="preserve">)</w:t>
            </w:r>
          </w:p>
        </w:tc>
      </w:tr>
      <w:tr>
        <w:trPr>
          <w:trHeight w:val="300" w:hRule="auto"/>
          <w:jc w:val="left"/>
        </w:trPr>
        <w:tc>
          <w:tcPr>
            <w:tcW w:w="88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4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20"/>
                <w:shd w:fill="auto" w:val="clear"/>
              </w:rPr>
              <w:t xml:space="preserve">UNEP</w:t>
            </w:r>
          </w:p>
        </w:tc>
        <w:tc>
          <w:tcPr>
            <w:tcW w:w="8504"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4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20"/>
                <w:shd w:fill="auto" w:val="clear"/>
              </w:rPr>
              <w:t xml:space="preserve">Programa za okoliš Ujedinjenih nacija (engl. </w:t>
            </w:r>
            <w:r>
              <w:rPr>
                <w:rFonts w:ascii="Calibri" w:hAnsi="Calibri" w:cs="Calibri" w:eastAsia="Calibri"/>
                <w:i/>
                <w:color w:val="000000"/>
                <w:spacing w:val="0"/>
                <w:position w:val="0"/>
                <w:sz w:val="20"/>
                <w:shd w:fill="auto" w:val="clear"/>
              </w:rPr>
              <w:t xml:space="preserve">United Nations Environment Program</w:t>
            </w:r>
            <w:r>
              <w:rPr>
                <w:rFonts w:ascii="Calibri" w:hAnsi="Calibri" w:cs="Calibri" w:eastAsia="Calibri"/>
                <w:color w:val="000000"/>
                <w:spacing w:val="0"/>
                <w:position w:val="0"/>
                <w:sz w:val="20"/>
                <w:shd w:fill="auto" w:val="clear"/>
              </w:rPr>
              <w:t xml:space="preserve">)</w:t>
            </w:r>
          </w:p>
        </w:tc>
      </w:tr>
      <w:tr>
        <w:trPr>
          <w:trHeight w:val="300" w:hRule="auto"/>
          <w:jc w:val="left"/>
        </w:trPr>
        <w:tc>
          <w:tcPr>
            <w:tcW w:w="88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4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20"/>
                <w:shd w:fill="auto" w:val="clear"/>
              </w:rPr>
              <w:t xml:space="preserve">UNFCCC</w:t>
            </w:r>
          </w:p>
        </w:tc>
        <w:tc>
          <w:tcPr>
            <w:tcW w:w="8504"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4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20"/>
                <w:shd w:fill="auto" w:val="clear"/>
              </w:rPr>
              <w:t xml:space="preserve">Okvirna konvencija Ujedinjenih naroda o promjeni klime (engl. </w:t>
            </w:r>
            <w:r>
              <w:rPr>
                <w:rFonts w:ascii="Calibri" w:hAnsi="Calibri" w:cs="Calibri" w:eastAsia="Calibri"/>
                <w:i/>
                <w:color w:val="000000"/>
                <w:spacing w:val="0"/>
                <w:position w:val="0"/>
                <w:sz w:val="20"/>
                <w:shd w:fill="auto" w:val="clear"/>
              </w:rPr>
              <w:t xml:space="preserve">United Nation Framework Convention on Climate Change</w:t>
            </w:r>
            <w:r>
              <w:rPr>
                <w:rFonts w:ascii="Calibri" w:hAnsi="Calibri" w:cs="Calibri" w:eastAsia="Calibri"/>
                <w:color w:val="000000"/>
                <w:spacing w:val="0"/>
                <w:position w:val="0"/>
                <w:sz w:val="20"/>
                <w:shd w:fill="auto" w:val="clear"/>
              </w:rPr>
              <w:t xml:space="preserve">)</w:t>
            </w:r>
          </w:p>
        </w:tc>
      </w:tr>
      <w:tr>
        <w:trPr>
          <w:trHeight w:val="300" w:hRule="auto"/>
          <w:jc w:val="left"/>
        </w:trPr>
        <w:tc>
          <w:tcPr>
            <w:tcW w:w="88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40" w:after="0" w:line="240"/>
              <w:ind w:right="0" w:left="0" w:firstLine="0"/>
              <w:jc w:val="left"/>
              <w:rPr>
                <w:rFonts w:ascii="Calibri" w:hAnsi="Calibri" w:cs="Calibri" w:eastAsia="Calibri"/>
                <w:color w:val="000000"/>
                <w:spacing w:val="0"/>
                <w:position w:val="0"/>
                <w:sz w:val="20"/>
                <w:shd w:fill="auto" w:val="clear"/>
              </w:rPr>
            </w:pPr>
            <w:r>
              <w:rPr>
                <w:rFonts w:ascii="Calibri" w:hAnsi="Calibri" w:cs="Calibri" w:eastAsia="Calibri"/>
                <w:color w:val="000000"/>
                <w:spacing w:val="0"/>
                <w:position w:val="0"/>
                <w:sz w:val="20"/>
                <w:shd w:fill="auto" w:val="clear"/>
              </w:rPr>
              <w:t xml:space="preserve">USAID</w:t>
            </w:r>
          </w:p>
          <w:p>
            <w:pPr>
              <w:spacing w:before="4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20"/>
                <w:shd w:fill="auto" w:val="clear"/>
              </w:rPr>
              <w:t xml:space="preserve">WMO</w:t>
            </w:r>
          </w:p>
        </w:tc>
        <w:tc>
          <w:tcPr>
            <w:tcW w:w="8504"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40" w:after="0" w:line="240"/>
              <w:ind w:right="0" w:left="0" w:firstLine="0"/>
              <w:jc w:val="left"/>
              <w:rPr>
                <w:rFonts w:ascii="Calibri" w:hAnsi="Calibri" w:cs="Calibri" w:eastAsia="Calibri"/>
                <w:color w:val="000000"/>
                <w:spacing w:val="0"/>
                <w:position w:val="0"/>
                <w:sz w:val="20"/>
                <w:shd w:fill="auto" w:val="clear"/>
              </w:rPr>
            </w:pPr>
            <w:r>
              <w:rPr>
                <w:rFonts w:ascii="Calibri" w:hAnsi="Calibri" w:cs="Calibri" w:eastAsia="Calibri"/>
                <w:color w:val="000000"/>
                <w:spacing w:val="0"/>
                <w:position w:val="0"/>
                <w:sz w:val="20"/>
                <w:shd w:fill="auto" w:val="clear"/>
              </w:rPr>
              <w:t xml:space="preserve">Ameri</w:t>
            </w:r>
            <w:r>
              <w:rPr>
                <w:rFonts w:ascii="Calibri" w:hAnsi="Calibri" w:cs="Calibri" w:eastAsia="Calibri"/>
                <w:color w:val="000000"/>
                <w:spacing w:val="0"/>
                <w:position w:val="0"/>
                <w:sz w:val="20"/>
                <w:shd w:fill="auto" w:val="clear"/>
              </w:rPr>
              <w:t xml:space="preserve">čka agencija za međunarodni razvoj (engl. </w:t>
            </w:r>
            <w:r>
              <w:rPr>
                <w:rFonts w:ascii="Calibri" w:hAnsi="Calibri" w:cs="Calibri" w:eastAsia="Calibri"/>
                <w:i/>
                <w:color w:val="000000"/>
                <w:spacing w:val="0"/>
                <w:position w:val="0"/>
                <w:sz w:val="20"/>
                <w:shd w:fill="auto" w:val="clear"/>
              </w:rPr>
              <w:t xml:space="preserve">United States Agency for International Development</w:t>
            </w:r>
            <w:r>
              <w:rPr>
                <w:rFonts w:ascii="Calibri" w:hAnsi="Calibri" w:cs="Calibri" w:eastAsia="Calibri"/>
                <w:color w:val="000000"/>
                <w:spacing w:val="0"/>
                <w:position w:val="0"/>
                <w:sz w:val="20"/>
                <w:shd w:fill="auto" w:val="clear"/>
              </w:rPr>
              <w:t xml:space="preserve">)</w:t>
            </w:r>
          </w:p>
          <w:p>
            <w:pPr>
              <w:spacing w:before="4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20"/>
                <w:shd w:fill="auto" w:val="clear"/>
              </w:rPr>
              <w:t xml:space="preserve">Svjetska meteorološka organizacija (engl. </w:t>
            </w:r>
            <w:r>
              <w:rPr>
                <w:rFonts w:ascii="Calibri" w:hAnsi="Calibri" w:cs="Calibri" w:eastAsia="Calibri"/>
                <w:i/>
                <w:color w:val="000000"/>
                <w:spacing w:val="0"/>
                <w:position w:val="0"/>
                <w:sz w:val="20"/>
                <w:shd w:fill="auto" w:val="clear"/>
              </w:rPr>
              <w:t xml:space="preserve">World Meteorological Organisation</w:t>
            </w:r>
            <w:r>
              <w:rPr>
                <w:rFonts w:ascii="Calibri" w:hAnsi="Calibri" w:cs="Calibri" w:eastAsia="Calibri"/>
                <w:color w:val="000000"/>
                <w:spacing w:val="0"/>
                <w:position w:val="0"/>
                <w:sz w:val="20"/>
                <w:shd w:fill="auto" w:val="clear"/>
              </w:rPr>
              <w:t xml:space="preserve">)</w:t>
            </w:r>
          </w:p>
        </w:tc>
      </w:tr>
    </w:tbl>
    <w:p>
      <w:pPr>
        <w:spacing w:before="0" w:after="0" w:line="240"/>
        <w:ind w:right="0" w:left="0" w:firstLine="0"/>
        <w:jc w:val="left"/>
        <w:rPr>
          <w:rFonts w:ascii="Calibri" w:hAnsi="Calibri" w:cs="Calibri" w:eastAsia="Calibri"/>
          <w:color w:val="auto"/>
          <w:spacing w:val="0"/>
          <w:position w:val="0"/>
          <w:sz w:val="22"/>
          <w:shd w:fill="FFFF00" w:val="clear"/>
        </w:rPr>
      </w:pPr>
      <w:r>
        <w:rPr>
          <w:rFonts w:ascii="Calibri" w:hAnsi="Calibri" w:cs="Calibri" w:eastAsia="Calibri"/>
          <w:color w:val="auto"/>
          <w:spacing w:val="0"/>
          <w:position w:val="0"/>
          <w:sz w:val="22"/>
          <w:shd w:fill="FFFF00" w:val="clear"/>
        </w:rPr>
        <w:t xml:space="preserve"> </w:t>
      </w:r>
    </w:p>
    <w:p>
      <w:pPr>
        <w:spacing w:before="0" w:after="0" w:line="240"/>
        <w:ind w:right="0" w:left="0" w:firstLine="0"/>
        <w:jc w:val="left"/>
        <w:rPr>
          <w:rFonts w:ascii="Calibri" w:hAnsi="Calibri" w:cs="Calibri" w:eastAsia="Calibri"/>
          <w:color w:val="2E74B5"/>
          <w:spacing w:val="0"/>
          <w:position w:val="0"/>
          <w:sz w:val="32"/>
          <w:shd w:fill="FFFF00" w:val="clear"/>
        </w:rPr>
      </w:pPr>
    </w:p>
    <w:p>
      <w:pPr>
        <w:keepNext w:val="true"/>
        <w:keepLines w:val="true"/>
        <w:numPr>
          <w:ilvl w:val="0"/>
          <w:numId w:val="95"/>
        </w:numPr>
        <w:spacing w:before="0" w:after="0" w:line="240"/>
        <w:ind w:right="0" w:left="431" w:hanging="431"/>
        <w:jc w:val="both"/>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UVOD</w:t>
      </w:r>
    </w:p>
    <w:p>
      <w:pPr>
        <w:keepNext w:val="true"/>
        <w:keepLines w:val="true"/>
        <w:numPr>
          <w:ilvl w:val="0"/>
          <w:numId w:val="95"/>
        </w:numPr>
        <w:spacing w:before="120" w:after="0" w:line="240"/>
        <w:ind w:right="0" w:left="578" w:hanging="578"/>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Sporazum gradona</w:t>
      </w:r>
      <w:r>
        <w:rPr>
          <w:rFonts w:ascii="Calibri" w:hAnsi="Calibri" w:cs="Calibri" w:eastAsia="Calibri"/>
          <w:b/>
          <w:color w:val="auto"/>
          <w:spacing w:val="0"/>
          <w:position w:val="0"/>
          <w:sz w:val="24"/>
          <w:shd w:fill="auto" w:val="clear"/>
        </w:rPr>
        <w:t xml:space="preserve">čelnika za klimu i energiju</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Rješavanje problema vezanih za klimatske promjene predstavlja jedan od najve</w:t>
      </w:r>
      <w:r>
        <w:rPr>
          <w:rFonts w:ascii="Calibri" w:hAnsi="Calibri" w:cs="Calibri" w:eastAsia="Calibri"/>
          <w:color w:val="auto"/>
          <w:spacing w:val="0"/>
          <w:position w:val="0"/>
          <w:sz w:val="20"/>
          <w:shd w:fill="auto" w:val="clear"/>
        </w:rPr>
        <w:t xml:space="preserve">ćih prioriteta Evropske unije, koja je u toj oblasti već postavila vrlo jasne ciljeve za smanjenje energetske potrošnje i pripadajućih emisija stakleničkih gasova. Imajući u vidu da se više od polovine ukupnih emisija stakleničkih gasova stvara u urbanim sredinama gdje se troši i do 80% ukupne količine energije, i da lokalne vlasti imaju ključnu ulogu u ublažavanju i prilagođavanju klimatskim promjenama, Evropska unija je 2008. godine pokrenula inicijativu „Sporazum gradonačelnika“ (engl. </w:t>
      </w:r>
      <w:r>
        <w:rPr>
          <w:rFonts w:ascii="Calibri" w:hAnsi="Calibri" w:cs="Calibri" w:eastAsia="Calibri"/>
          <w:i/>
          <w:color w:val="auto"/>
          <w:spacing w:val="0"/>
          <w:position w:val="0"/>
          <w:sz w:val="20"/>
          <w:shd w:fill="auto" w:val="clear"/>
        </w:rPr>
        <w:t xml:space="preserve">Covenant of Mayors</w:t>
      </w:r>
      <w:r>
        <w:rPr>
          <w:rFonts w:ascii="Calibri" w:hAnsi="Calibri" w:cs="Calibri" w:eastAsia="Calibri"/>
          <w:color w:val="auto"/>
          <w:spacing w:val="0"/>
          <w:position w:val="0"/>
          <w:sz w:val="20"/>
          <w:shd w:fill="auto" w:val="clear"/>
        </w:rPr>
        <w:t xml:space="preserve">) u svrhu poticanja lokalnih vlasti na ostvarivanje i premašivanje klimatskih i energetskih ciljeva Evropske unije. Cilj Sporazuma gradonačelnika je bio postizanje smanjenja emisija stakleničkih gasova za najmanje 20% do 2020. godine. Uspjeh ove inicijative je ubrzo premašio sva očekivanja, i Sporazum gradonačelnika je uskoro postao najveća dobrovoljna svjetska inicijativa lokalnih energetskih i klimatskih aktivnosti usmjerenih na smanjenje energetske potrošnje i pripadajućih emisija stakleničkih gasova. Jedna od obaveza potpisnika ovog sporazuma bila je izrada i provođenje </w:t>
      </w:r>
      <w:r>
        <w:rPr>
          <w:rFonts w:ascii="Calibri" w:hAnsi="Calibri" w:cs="Calibri" w:eastAsia="Calibri"/>
          <w:i/>
          <w:color w:val="auto"/>
          <w:spacing w:val="0"/>
          <w:position w:val="0"/>
          <w:sz w:val="20"/>
          <w:shd w:fill="auto" w:val="clear"/>
        </w:rPr>
        <w:t xml:space="preserve">Akcionog plana održivog upravljanja energijom</w:t>
      </w:r>
      <w:r>
        <w:rPr>
          <w:rFonts w:ascii="Calibri" w:hAnsi="Calibri" w:cs="Calibri" w:eastAsia="Calibri"/>
          <w:color w:val="auto"/>
          <w:spacing w:val="0"/>
          <w:position w:val="0"/>
          <w:sz w:val="20"/>
          <w:shd w:fill="auto" w:val="clear"/>
        </w:rPr>
        <w:t xml:space="preserve"> (engl. </w:t>
      </w:r>
      <w:r>
        <w:rPr>
          <w:rFonts w:ascii="Calibri" w:hAnsi="Calibri" w:cs="Calibri" w:eastAsia="Calibri"/>
          <w:i/>
          <w:color w:val="auto"/>
          <w:spacing w:val="0"/>
          <w:position w:val="0"/>
          <w:sz w:val="20"/>
          <w:shd w:fill="auto" w:val="clear"/>
        </w:rPr>
        <w:t xml:space="preserve">Sustainable Energy Action Plan – SEAP</w:t>
      </w:r>
      <w:r>
        <w:rPr>
          <w:rFonts w:ascii="Calibri" w:hAnsi="Calibri" w:cs="Calibri" w:eastAsia="Calibri"/>
          <w:color w:val="auto"/>
          <w:spacing w:val="0"/>
          <w:position w:val="0"/>
          <w:sz w:val="20"/>
          <w:shd w:fill="auto" w:val="clear"/>
        </w:rPr>
        <w:t xml:space="preserve">).</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U 2015. godini, nakon što je Evropska unija postavila nove ciljeve za smanjenje emisija stakleni</w:t>
      </w:r>
      <w:r>
        <w:rPr>
          <w:rFonts w:ascii="Calibri" w:hAnsi="Calibri" w:cs="Calibri" w:eastAsia="Calibri"/>
          <w:color w:val="auto"/>
          <w:spacing w:val="0"/>
          <w:position w:val="0"/>
          <w:sz w:val="20"/>
          <w:shd w:fill="auto" w:val="clear"/>
        </w:rPr>
        <w:t xml:space="preserve">čkih gasova do 2030. godine te nove ciljeve vezane za urgentno i neizbježno prilagođavanje na već postojeće klimatske promjene, ova inicijativa je prerasla u „Sporazum gradonačelnika za klimu i energiju“ (engl. </w:t>
      </w:r>
      <w:r>
        <w:rPr>
          <w:rFonts w:ascii="Calibri" w:hAnsi="Calibri" w:cs="Calibri" w:eastAsia="Calibri"/>
          <w:i/>
          <w:color w:val="auto"/>
          <w:spacing w:val="0"/>
          <w:position w:val="0"/>
          <w:sz w:val="20"/>
          <w:shd w:fill="auto" w:val="clear"/>
        </w:rPr>
        <w:t xml:space="preserve">Covenant of Mayors for Climate and Energy</w:t>
      </w:r>
      <w:r>
        <w:rPr>
          <w:rFonts w:ascii="Calibri" w:hAnsi="Calibri" w:cs="Calibri" w:eastAsia="Calibri"/>
          <w:color w:val="auto"/>
          <w:spacing w:val="0"/>
          <w:position w:val="0"/>
          <w:sz w:val="20"/>
          <w:shd w:fill="auto" w:val="clear"/>
        </w:rPr>
        <w:t xml:space="preserve">). Lokalne zajednice, potpisnice ove inicijative, obavezuju se na djelovanje kojim će se postići smanjenje emisija stakleničkih gasova za najmanje 40% do 2030. godine. Cilj ove inicijative je da objedini različite nivoe vlasti, relevantne organizacije, agencije i udruženja, te građane u svrhu ubrzanog zajedničkog djelovanja usmjerenog na ublažavanje klimatskih promjena i jačanje lokalnih kapaciteta za prilagođavanje klimatskim promjenama. </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U 2017. godini ova inicijativa je prerasla u „Globalni sporazum gradona</w:t>
      </w:r>
      <w:r>
        <w:rPr>
          <w:rFonts w:ascii="Calibri" w:hAnsi="Calibri" w:cs="Calibri" w:eastAsia="Calibri"/>
          <w:color w:val="auto"/>
          <w:spacing w:val="0"/>
          <w:position w:val="0"/>
          <w:sz w:val="20"/>
          <w:shd w:fill="auto" w:val="clear"/>
        </w:rPr>
        <w:t xml:space="preserve">čelnika za klimu i energiju“ (engl. </w:t>
      </w:r>
      <w:r>
        <w:rPr>
          <w:rFonts w:ascii="Calibri" w:hAnsi="Calibri" w:cs="Calibri" w:eastAsia="Calibri"/>
          <w:i/>
          <w:color w:val="auto"/>
          <w:spacing w:val="0"/>
          <w:position w:val="0"/>
          <w:sz w:val="20"/>
          <w:shd w:fill="auto" w:val="clear"/>
        </w:rPr>
        <w:t xml:space="preserve">Global Covenant of Mayors</w:t>
      </w:r>
      <w:r>
        <w:rPr>
          <w:rFonts w:ascii="Calibri" w:hAnsi="Calibri" w:cs="Calibri" w:eastAsia="Calibri"/>
          <w:color w:val="auto"/>
          <w:spacing w:val="0"/>
          <w:position w:val="0"/>
          <w:sz w:val="20"/>
          <w:shd w:fill="auto" w:val="clear"/>
        </w:rPr>
        <w:t xml:space="preserve">), svjetski pokret koji trenutno okuplja 10.096 potpisnika, gradova i općina iz 60 zemalja iz Evrope, Azije, Afrike i Amerike. Svi potpisnici dijele zajedničku viziju za 2050. godinu, koja uključuje:</w:t>
      </w:r>
    </w:p>
    <w:p>
      <w:pPr>
        <w:numPr>
          <w:ilvl w:val="0"/>
          <w:numId w:val="98"/>
        </w:numPr>
        <w:spacing w:before="60" w:after="0" w:line="240"/>
        <w:ind w:right="0" w:left="714" w:hanging="357"/>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provo</w:t>
      </w:r>
      <w:r>
        <w:rPr>
          <w:rFonts w:ascii="Calibri" w:hAnsi="Calibri" w:cs="Calibri" w:eastAsia="Calibri"/>
          <w:color w:val="auto"/>
          <w:spacing w:val="0"/>
          <w:position w:val="0"/>
          <w:sz w:val="20"/>
          <w:shd w:fill="auto" w:val="clear"/>
        </w:rPr>
        <w:t xml:space="preserve">đenje dekarbonizacije lokalnog područja, na taj način pridonoseći ograničavanju prosječnog globalnog porasta temperature ispod 2°C, u skladu sa međunarodnim klimatskim sporazumom postignutom na konferenciji Ujedinjenih nacija o klimatskim promjenama, održanoj u Parizu u decembru 2015. godine;</w:t>
      </w:r>
    </w:p>
    <w:p>
      <w:pPr>
        <w:numPr>
          <w:ilvl w:val="0"/>
          <w:numId w:val="98"/>
        </w:numPr>
        <w:spacing w:before="0" w:after="0" w:line="240"/>
        <w:ind w:right="0" w:left="714" w:hanging="357"/>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ja</w:t>
      </w:r>
      <w:r>
        <w:rPr>
          <w:rFonts w:ascii="Calibri" w:hAnsi="Calibri" w:cs="Calibri" w:eastAsia="Calibri"/>
          <w:color w:val="auto"/>
          <w:spacing w:val="0"/>
          <w:position w:val="0"/>
          <w:sz w:val="20"/>
          <w:shd w:fill="auto" w:val="clear"/>
        </w:rPr>
        <w:t xml:space="preserve">čanje kapaciteta lokalne zajednice za prilagođavanje neizbježnim efektima klimatskih promjena;</w:t>
      </w:r>
    </w:p>
    <w:p>
      <w:pPr>
        <w:numPr>
          <w:ilvl w:val="0"/>
          <w:numId w:val="98"/>
        </w:numPr>
        <w:spacing w:before="0" w:after="0" w:line="240"/>
        <w:ind w:right="0" w:left="714" w:hanging="357"/>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omogu</w:t>
      </w:r>
      <w:r>
        <w:rPr>
          <w:rFonts w:ascii="Calibri" w:hAnsi="Calibri" w:cs="Calibri" w:eastAsia="Calibri"/>
          <w:color w:val="auto"/>
          <w:spacing w:val="0"/>
          <w:position w:val="0"/>
          <w:sz w:val="20"/>
          <w:shd w:fill="auto" w:val="clear"/>
        </w:rPr>
        <w:t xml:space="preserve">ćavanje pristupa sigurnoj, održivoj i cjenovno dostupnoj energiji za sve građane, što će doprinijeti unaprijeđenju kvaliteta života i povećanju energetske sigurnosti.</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Potpisnici Sporazuma obavezuju se na:</w:t>
      </w:r>
    </w:p>
    <w:p>
      <w:pPr>
        <w:numPr>
          <w:ilvl w:val="0"/>
          <w:numId w:val="101"/>
        </w:numPr>
        <w:spacing w:before="60" w:after="0" w:line="240"/>
        <w:ind w:right="0" w:left="714" w:hanging="357"/>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smanjenje emisija CO</w:t>
      </w:r>
      <w:r>
        <w:rPr>
          <w:rFonts w:ascii="Calibri" w:hAnsi="Calibri" w:cs="Calibri" w:eastAsia="Calibri"/>
          <w:color w:val="auto"/>
          <w:spacing w:val="0"/>
          <w:position w:val="0"/>
          <w:sz w:val="20"/>
          <w:shd w:fill="auto" w:val="clear"/>
          <w:vertAlign w:val="subscript"/>
        </w:rPr>
        <w:t xml:space="preserve">2 </w:t>
      </w:r>
      <w:r>
        <w:rPr>
          <w:rFonts w:ascii="Calibri" w:hAnsi="Calibri" w:cs="Calibri" w:eastAsia="Calibri"/>
          <w:color w:val="auto"/>
          <w:spacing w:val="0"/>
          <w:position w:val="0"/>
          <w:sz w:val="20"/>
          <w:shd w:fill="auto" w:val="clear"/>
        </w:rPr>
        <w:t xml:space="preserve">(po mogu</w:t>
      </w:r>
      <w:r>
        <w:rPr>
          <w:rFonts w:ascii="Calibri" w:hAnsi="Calibri" w:cs="Calibri" w:eastAsia="Calibri"/>
          <w:color w:val="auto"/>
          <w:spacing w:val="0"/>
          <w:position w:val="0"/>
          <w:sz w:val="20"/>
          <w:shd w:fill="auto" w:val="clear"/>
        </w:rPr>
        <w:t xml:space="preserve">ćnosti i ostalih stakleničkih gasova) na svom području za najmanje 40%</w:t>
      </w:r>
      <w:r>
        <w:rPr>
          <w:rFonts w:ascii="Calibri" w:hAnsi="Calibri" w:cs="Calibri" w:eastAsia="Calibri"/>
          <w:b/>
          <w:color w:val="auto"/>
          <w:spacing w:val="0"/>
          <w:position w:val="0"/>
          <w:sz w:val="20"/>
          <w:shd w:fill="auto" w:val="clear"/>
        </w:rPr>
        <w:t xml:space="preserve"> </w:t>
      </w:r>
      <w:r>
        <w:rPr>
          <w:rFonts w:ascii="Calibri" w:hAnsi="Calibri" w:cs="Calibri" w:eastAsia="Calibri"/>
          <w:color w:val="auto"/>
          <w:spacing w:val="0"/>
          <w:position w:val="0"/>
          <w:sz w:val="20"/>
          <w:shd w:fill="auto" w:val="clear"/>
        </w:rPr>
        <w:t xml:space="preserve">do 2030. godine u odnosu  na baznu godinu, kroz povećanu energetsku efikasnost i korištenje obnovljivih izvora energije;</w:t>
      </w:r>
    </w:p>
    <w:p>
      <w:pPr>
        <w:numPr>
          <w:ilvl w:val="0"/>
          <w:numId w:val="101"/>
        </w:numPr>
        <w:spacing w:before="60" w:after="0" w:line="240"/>
        <w:ind w:right="0" w:left="714" w:hanging="357"/>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pove</w:t>
      </w:r>
      <w:r>
        <w:rPr>
          <w:rFonts w:ascii="Calibri" w:hAnsi="Calibri" w:cs="Calibri" w:eastAsia="Calibri"/>
          <w:color w:val="auto"/>
          <w:spacing w:val="0"/>
          <w:position w:val="0"/>
          <w:sz w:val="20"/>
          <w:shd w:fill="auto" w:val="clear"/>
        </w:rPr>
        <w:t xml:space="preserve">ćanje otpornosti na klimatske promjene primjenom principa prilagođavanja klimatskim promjenama;</w:t>
      </w:r>
    </w:p>
    <w:p>
      <w:pPr>
        <w:numPr>
          <w:ilvl w:val="0"/>
          <w:numId w:val="101"/>
        </w:numPr>
        <w:spacing w:before="60" w:after="0" w:line="240"/>
        <w:ind w:right="0" w:left="714" w:hanging="357"/>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razmjenu iskustava, rezultata i dobrih praksi sa ostalim lokalnim i regionalnim vlastima u Evropskoj uniji i šire, a u kontekstu Sporazuma gradona</w:t>
      </w:r>
      <w:r>
        <w:rPr>
          <w:rFonts w:ascii="Calibri" w:hAnsi="Calibri" w:cs="Calibri" w:eastAsia="Calibri"/>
          <w:color w:val="auto"/>
          <w:spacing w:val="0"/>
          <w:position w:val="0"/>
          <w:sz w:val="20"/>
          <w:shd w:fill="auto" w:val="clear"/>
        </w:rPr>
        <w:t xml:space="preserve">čelnika; i</w:t>
      </w:r>
    </w:p>
    <w:p>
      <w:pPr>
        <w:numPr>
          <w:ilvl w:val="0"/>
          <w:numId w:val="101"/>
        </w:numPr>
        <w:spacing w:before="60" w:after="0" w:line="240"/>
        <w:ind w:right="0" w:left="714" w:hanging="357"/>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izradu </w:t>
      </w:r>
      <w:r>
        <w:rPr>
          <w:rFonts w:ascii="Calibri" w:hAnsi="Calibri" w:cs="Calibri" w:eastAsia="Calibri"/>
          <w:b/>
          <w:color w:val="auto"/>
          <w:spacing w:val="0"/>
          <w:position w:val="0"/>
          <w:sz w:val="20"/>
          <w:shd w:fill="auto" w:val="clear"/>
        </w:rPr>
        <w:t xml:space="preserve">Akcionog plana održivog upravljanja energijom i prilago</w:t>
      </w:r>
      <w:r>
        <w:rPr>
          <w:rFonts w:ascii="Calibri" w:hAnsi="Calibri" w:cs="Calibri" w:eastAsia="Calibri"/>
          <w:b/>
          <w:color w:val="auto"/>
          <w:spacing w:val="0"/>
          <w:position w:val="0"/>
          <w:sz w:val="20"/>
          <w:shd w:fill="auto" w:val="clear"/>
        </w:rPr>
        <w:t xml:space="preserve">đavanja klimatskim promjenama</w:t>
      </w:r>
      <w:r>
        <w:rPr>
          <w:rFonts w:ascii="Calibri" w:hAnsi="Calibri" w:cs="Calibri" w:eastAsia="Calibri"/>
          <w:b/>
          <w:i/>
          <w:color w:val="auto"/>
          <w:spacing w:val="0"/>
          <w:position w:val="0"/>
          <w:sz w:val="20"/>
          <w:shd w:fill="auto" w:val="clear"/>
        </w:rPr>
        <w:t xml:space="preserve"> (</w:t>
      </w:r>
      <w:r>
        <w:rPr>
          <w:rFonts w:ascii="Calibri" w:hAnsi="Calibri" w:cs="Calibri" w:eastAsia="Calibri"/>
          <w:color w:val="auto"/>
          <w:spacing w:val="0"/>
          <w:position w:val="0"/>
          <w:sz w:val="20"/>
          <w:shd w:fill="auto" w:val="clear"/>
        </w:rPr>
        <w:t xml:space="preserve">engl.</w:t>
      </w:r>
      <w:r>
        <w:rPr>
          <w:rFonts w:ascii="Calibri" w:hAnsi="Calibri" w:cs="Calibri" w:eastAsia="Calibri"/>
          <w:b/>
          <w:i/>
          <w:color w:val="auto"/>
          <w:spacing w:val="0"/>
          <w:position w:val="0"/>
          <w:sz w:val="20"/>
          <w:shd w:fill="auto" w:val="clear"/>
        </w:rPr>
        <w:t xml:space="preserve"> Sustainable Energy and Climate Action Plan – SECAP)</w:t>
      </w:r>
      <w:r>
        <w:rPr>
          <w:rFonts w:ascii="Calibri" w:hAnsi="Calibri" w:cs="Calibri" w:eastAsia="Calibri"/>
          <w:color w:val="auto"/>
          <w:spacing w:val="0"/>
          <w:position w:val="0"/>
          <w:sz w:val="20"/>
          <w:shd w:fill="auto" w:val="clear"/>
        </w:rPr>
        <w:t xml:space="preserve"> u roku od najviše dvije godine od datuma pristupanja Sporazumu gradonačelnika za klimu i energiju, te izradu pripadajućih izvještaja o realizaciji Akcionog plana. </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Kako bi se postigla usaglašenost pristupa planiranju i mogu</w:t>
      </w:r>
      <w:r>
        <w:rPr>
          <w:rFonts w:ascii="Calibri" w:hAnsi="Calibri" w:cs="Calibri" w:eastAsia="Calibri"/>
          <w:color w:val="auto"/>
          <w:spacing w:val="0"/>
          <w:position w:val="0"/>
          <w:sz w:val="20"/>
          <w:shd w:fill="auto" w:val="clear"/>
        </w:rPr>
        <w:t xml:space="preserve">ćnost poređenja postignutih rezultata realizacije akcionih planova, ova inicijativa je pripremila razne vidove podrške (uputstva, preporuke, web-alati) koji potpisnicima Sporazuma olakšavaju izradu planova, realizaciju planiranih mjera i izvještavanje o postignutim rezultatima. </w:t>
      </w:r>
    </w:p>
    <w:p>
      <w:pPr>
        <w:keepNext w:val="true"/>
        <w:keepLines w:val="true"/>
        <w:numPr>
          <w:ilvl w:val="0"/>
          <w:numId w:val="103"/>
        </w:numPr>
        <w:spacing w:before="240" w:after="0" w:line="240"/>
        <w:ind w:right="0" w:left="578" w:hanging="578"/>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Akcioni plan održivog upravljanja energijom i prilago</w:t>
      </w:r>
      <w:r>
        <w:rPr>
          <w:rFonts w:ascii="Calibri" w:hAnsi="Calibri" w:cs="Calibri" w:eastAsia="Calibri"/>
          <w:b/>
          <w:color w:val="auto"/>
          <w:spacing w:val="0"/>
          <w:position w:val="0"/>
          <w:sz w:val="24"/>
          <w:shd w:fill="auto" w:val="clear"/>
        </w:rPr>
        <w:t xml:space="preserve">đavanja klimatskim promjenama</w:t>
      </w:r>
    </w:p>
    <w:p>
      <w:pPr>
        <w:tabs>
          <w:tab w:val="left" w:pos="951" w:leader="none"/>
        </w:tabs>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Akcioni plan održivog upravljanja energijom i prilago</w:t>
      </w:r>
      <w:r>
        <w:rPr>
          <w:rFonts w:ascii="Calibri" w:hAnsi="Calibri" w:cs="Calibri" w:eastAsia="Calibri"/>
          <w:color w:val="auto"/>
          <w:spacing w:val="0"/>
          <w:position w:val="0"/>
          <w:sz w:val="20"/>
          <w:shd w:fill="auto" w:val="clear"/>
        </w:rPr>
        <w:t xml:space="preserve">đavanja klimatskim promjenama (engl. </w:t>
      </w:r>
      <w:r>
        <w:rPr>
          <w:rFonts w:ascii="Calibri" w:hAnsi="Calibri" w:cs="Calibri" w:eastAsia="Calibri"/>
          <w:i/>
          <w:color w:val="auto"/>
          <w:spacing w:val="0"/>
          <w:position w:val="0"/>
          <w:sz w:val="20"/>
          <w:shd w:fill="auto" w:val="clear"/>
        </w:rPr>
        <w:t xml:space="preserve">Sustainable Energy and Climate Action Plan - SECAP</w:t>
      </w:r>
      <w:r>
        <w:rPr>
          <w:rFonts w:ascii="Calibri" w:hAnsi="Calibri" w:cs="Calibri" w:eastAsia="Calibri"/>
          <w:color w:val="auto"/>
          <w:spacing w:val="0"/>
          <w:position w:val="0"/>
          <w:sz w:val="20"/>
          <w:shd w:fill="auto" w:val="clear"/>
        </w:rPr>
        <w:t xml:space="preserve">) je ključni dokument koji pokazuje na koji način će potpisnik Sporazuma gradonačelnika za klimu i energiju ostvariti svoje obaveze postavljene za 2030. godinu. Ovaj akcioni plan mora sadržavati slijedeće ključne elemente:</w:t>
      </w:r>
    </w:p>
    <w:p>
      <w:pPr>
        <w:numPr>
          <w:ilvl w:val="0"/>
          <w:numId w:val="105"/>
        </w:numPr>
        <w:tabs>
          <w:tab w:val="left" w:pos="951" w:leader="none"/>
        </w:tabs>
        <w:spacing w:before="60" w:after="0" w:line="240"/>
        <w:ind w:right="0" w:left="720" w:hanging="36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Procjenu stanja u pogledu emisija stakleni</w:t>
      </w:r>
      <w:r>
        <w:rPr>
          <w:rFonts w:ascii="Calibri" w:hAnsi="Calibri" w:cs="Calibri" w:eastAsia="Calibri"/>
          <w:color w:val="auto"/>
          <w:spacing w:val="0"/>
          <w:position w:val="0"/>
          <w:sz w:val="20"/>
          <w:shd w:fill="auto" w:val="clear"/>
        </w:rPr>
        <w:t xml:space="preserve">čkih gasova na cjelokupnoj teritoriji lokalne zajednice u odabranoj baznoj godini, koje se kvantificiraju baznim inventarom emisija (engl. </w:t>
      </w:r>
      <w:r>
        <w:rPr>
          <w:rFonts w:ascii="Calibri" w:hAnsi="Calibri" w:cs="Calibri" w:eastAsia="Calibri"/>
          <w:i/>
          <w:color w:val="auto"/>
          <w:spacing w:val="0"/>
          <w:position w:val="0"/>
          <w:sz w:val="20"/>
          <w:shd w:fill="auto" w:val="clear"/>
        </w:rPr>
        <w:t xml:space="preserve">Baseline Emission Inventory – BEI</w:t>
      </w:r>
      <w:r>
        <w:rPr>
          <w:rFonts w:ascii="Calibri" w:hAnsi="Calibri" w:cs="Calibri" w:eastAsia="Calibri"/>
          <w:color w:val="auto"/>
          <w:spacing w:val="0"/>
          <w:position w:val="0"/>
          <w:sz w:val="20"/>
          <w:shd w:fill="auto" w:val="clear"/>
        </w:rPr>
        <w:t xml:space="preserve">);</w:t>
      </w:r>
    </w:p>
    <w:p>
      <w:pPr>
        <w:numPr>
          <w:ilvl w:val="0"/>
          <w:numId w:val="105"/>
        </w:numPr>
        <w:tabs>
          <w:tab w:val="left" w:pos="951" w:leader="none"/>
        </w:tabs>
        <w:spacing w:before="60" w:after="0" w:line="240"/>
        <w:ind w:right="0" w:left="720" w:hanging="36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Procjenu sadašnjih rizika i izloženosti lokalne zajednice klimatskim promjenama, i njenih kapaciteta za prilago</w:t>
      </w:r>
      <w:r>
        <w:rPr>
          <w:rFonts w:ascii="Calibri" w:hAnsi="Calibri" w:cs="Calibri" w:eastAsia="Calibri"/>
          <w:color w:val="auto"/>
          <w:spacing w:val="0"/>
          <w:position w:val="0"/>
          <w:sz w:val="20"/>
          <w:shd w:fill="auto" w:val="clear"/>
        </w:rPr>
        <w:t xml:space="preserve">đavanje na klimatske promjene (engl. </w:t>
      </w:r>
      <w:r>
        <w:rPr>
          <w:rFonts w:ascii="Calibri" w:hAnsi="Calibri" w:cs="Calibri" w:eastAsia="Calibri"/>
          <w:i/>
          <w:color w:val="auto"/>
          <w:spacing w:val="0"/>
          <w:position w:val="0"/>
          <w:sz w:val="20"/>
          <w:shd w:fill="auto" w:val="clear"/>
        </w:rPr>
        <w:t xml:space="preserve">Risk and Vulnerability Assessment – RVA</w:t>
      </w:r>
      <w:r>
        <w:rPr>
          <w:rFonts w:ascii="Calibri" w:hAnsi="Calibri" w:cs="Calibri" w:eastAsia="Calibri"/>
          <w:color w:val="auto"/>
          <w:spacing w:val="0"/>
          <w:position w:val="0"/>
          <w:sz w:val="20"/>
          <w:shd w:fill="auto" w:val="clear"/>
        </w:rPr>
        <w:t xml:space="preserve">);</w:t>
      </w:r>
    </w:p>
    <w:p>
      <w:pPr>
        <w:numPr>
          <w:ilvl w:val="0"/>
          <w:numId w:val="105"/>
        </w:numPr>
        <w:tabs>
          <w:tab w:val="left" w:pos="951" w:leader="none"/>
        </w:tabs>
        <w:spacing w:before="60" w:after="0" w:line="240"/>
        <w:ind w:right="0" w:left="720" w:hanging="36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Dugoro</w:t>
      </w:r>
      <w:r>
        <w:rPr>
          <w:rFonts w:ascii="Calibri" w:hAnsi="Calibri" w:cs="Calibri" w:eastAsia="Calibri"/>
          <w:color w:val="auto"/>
          <w:spacing w:val="0"/>
          <w:position w:val="0"/>
          <w:sz w:val="20"/>
          <w:shd w:fill="auto" w:val="clear"/>
        </w:rPr>
        <w:t xml:space="preserve">čnu viziju i ciljeve do 2030. godine provedive na lokalnom nivou, za ublažavanje klimatskih promjena odnosno za smanjenje emisija stakleničkih gasova (engl. </w:t>
      </w:r>
      <w:r>
        <w:rPr>
          <w:rFonts w:ascii="Calibri" w:hAnsi="Calibri" w:cs="Calibri" w:eastAsia="Calibri"/>
          <w:i/>
          <w:color w:val="auto"/>
          <w:spacing w:val="0"/>
          <w:position w:val="0"/>
          <w:sz w:val="20"/>
          <w:shd w:fill="auto" w:val="clear"/>
        </w:rPr>
        <w:t xml:space="preserve">Climate Change Mitigation</w:t>
      </w:r>
      <w:r>
        <w:rPr>
          <w:rFonts w:ascii="Calibri" w:hAnsi="Calibri" w:cs="Calibri" w:eastAsia="Calibri"/>
          <w:color w:val="auto"/>
          <w:spacing w:val="0"/>
          <w:position w:val="0"/>
          <w:sz w:val="20"/>
          <w:shd w:fill="auto" w:val="clear"/>
        </w:rPr>
        <w:t xml:space="preserve">) i za prilagođavanje lokalne zajednice na već postojeće klimatske promjene (engl. </w:t>
      </w:r>
      <w:r>
        <w:rPr>
          <w:rFonts w:ascii="Calibri" w:hAnsi="Calibri" w:cs="Calibri" w:eastAsia="Calibri"/>
          <w:i/>
          <w:color w:val="auto"/>
          <w:spacing w:val="0"/>
          <w:position w:val="0"/>
          <w:sz w:val="20"/>
          <w:shd w:fill="auto" w:val="clear"/>
        </w:rPr>
        <w:t xml:space="preserve">Climate Change Adaptation</w:t>
      </w:r>
      <w:r>
        <w:rPr>
          <w:rFonts w:ascii="Calibri" w:hAnsi="Calibri" w:cs="Calibri" w:eastAsia="Calibri"/>
          <w:color w:val="auto"/>
          <w:spacing w:val="0"/>
          <w:position w:val="0"/>
          <w:sz w:val="20"/>
          <w:shd w:fill="auto" w:val="clear"/>
        </w:rPr>
        <w:t xml:space="preserve">);</w:t>
      </w:r>
    </w:p>
    <w:p>
      <w:pPr>
        <w:numPr>
          <w:ilvl w:val="0"/>
          <w:numId w:val="105"/>
        </w:numPr>
        <w:tabs>
          <w:tab w:val="left" w:pos="951" w:leader="none"/>
        </w:tabs>
        <w:spacing w:before="60" w:after="0" w:line="240"/>
        <w:ind w:right="0" w:left="720" w:hanging="36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Mjere lokalne zajednice za ublažavanje klimatskih promjena, kojima </w:t>
      </w:r>
      <w:r>
        <w:rPr>
          <w:rFonts w:ascii="Calibri" w:hAnsi="Calibri" w:cs="Calibri" w:eastAsia="Calibri"/>
          <w:color w:val="auto"/>
          <w:spacing w:val="0"/>
          <w:position w:val="0"/>
          <w:sz w:val="20"/>
          <w:shd w:fill="auto" w:val="clear"/>
        </w:rPr>
        <w:t xml:space="preserve">će se do 2030. godine postići postavljeni cilj smanjenja emisija stakleničkih gasova;</w:t>
      </w:r>
    </w:p>
    <w:p>
      <w:pPr>
        <w:numPr>
          <w:ilvl w:val="0"/>
          <w:numId w:val="105"/>
        </w:numPr>
        <w:tabs>
          <w:tab w:val="left" w:pos="951" w:leader="none"/>
        </w:tabs>
        <w:spacing w:before="60" w:after="0" w:line="240"/>
        <w:ind w:right="0" w:left="720" w:hanging="36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Mjere lokalne zajednice u oblasti prilago</w:t>
      </w:r>
      <w:r>
        <w:rPr>
          <w:rFonts w:ascii="Calibri" w:hAnsi="Calibri" w:cs="Calibri" w:eastAsia="Calibri"/>
          <w:color w:val="auto"/>
          <w:spacing w:val="0"/>
          <w:position w:val="0"/>
          <w:sz w:val="20"/>
          <w:shd w:fill="auto" w:val="clear"/>
        </w:rPr>
        <w:t xml:space="preserve">đavanja klimatskim promjenama, kojima će se do 2030. godine postići postavljeni cilj jačanja kapaciteta lokalne zajednice za prilagođavanje njenih najugroženijih socio-ekonomskih sektora na najveće rizike koje klimatske promjene donose; i</w:t>
      </w:r>
    </w:p>
    <w:p>
      <w:pPr>
        <w:numPr>
          <w:ilvl w:val="0"/>
          <w:numId w:val="105"/>
        </w:numPr>
        <w:tabs>
          <w:tab w:val="left" w:pos="951" w:leader="none"/>
        </w:tabs>
        <w:spacing w:before="60" w:after="0" w:line="240"/>
        <w:ind w:right="0" w:left="720" w:hanging="36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Institucionalne, organizacione, financijske i kontrolne mehanizme za realizaciju planiranih mjera i pra</w:t>
      </w:r>
      <w:r>
        <w:rPr>
          <w:rFonts w:ascii="Calibri" w:hAnsi="Calibri" w:cs="Calibri" w:eastAsia="Calibri"/>
          <w:color w:val="auto"/>
          <w:spacing w:val="0"/>
          <w:position w:val="0"/>
          <w:sz w:val="20"/>
          <w:shd w:fill="auto" w:val="clear"/>
        </w:rPr>
        <w:t xml:space="preserve">ćenje postignutih rezultata.</w:t>
      </w:r>
    </w:p>
    <w:p>
      <w:pPr>
        <w:tabs>
          <w:tab w:val="left" w:pos="951" w:leader="none"/>
        </w:tabs>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Za svaku lokalnu zajednicu pristupanje ovoj inicijativi predstavlja priklju</w:t>
      </w:r>
      <w:r>
        <w:rPr>
          <w:rFonts w:ascii="Calibri" w:hAnsi="Calibri" w:cs="Calibri" w:eastAsia="Calibri"/>
          <w:color w:val="auto"/>
          <w:spacing w:val="0"/>
          <w:position w:val="0"/>
          <w:sz w:val="20"/>
          <w:shd w:fill="auto" w:val="clear"/>
        </w:rPr>
        <w:t xml:space="preserve">čenje aktivnoj zajednici gradova i općina koji su se obavezali na kontinuirano unapređivanje životnih uslova svojih građana i predan rad na ostvarivanju vizije dekarbonizacije svoje teritorije, prilagođavanja klimatskim promjenama i obezbjeđivanje održive i sigurne energije dostupne svim svojim stanovnicima.</w:t>
      </w:r>
    </w:p>
    <w:p>
      <w:pPr>
        <w:tabs>
          <w:tab w:val="left" w:pos="951" w:leader="none"/>
        </w:tabs>
        <w:spacing w:before="12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Op</w:t>
      </w:r>
      <w:r>
        <w:rPr>
          <w:rFonts w:ascii="Calibri" w:hAnsi="Calibri" w:cs="Calibri" w:eastAsia="Calibri"/>
          <w:color w:val="auto"/>
          <w:spacing w:val="0"/>
          <w:position w:val="0"/>
          <w:sz w:val="20"/>
          <w:shd w:fill="auto" w:val="clear"/>
        </w:rPr>
        <w:t xml:space="preserve">ćina Doboj Istok je Sporazumu gradonačelnika pristupila 2019. godine</w:t>
      </w:r>
      <w:r>
        <w:rPr>
          <w:rFonts w:ascii="Calibri" w:hAnsi="Calibri" w:cs="Calibri" w:eastAsia="Calibri"/>
          <w:i/>
          <w:color w:val="auto"/>
          <w:spacing w:val="0"/>
          <w:position w:val="0"/>
          <w:sz w:val="20"/>
          <w:shd w:fill="auto" w:val="clear"/>
        </w:rPr>
        <w:t xml:space="preserve">. </w:t>
      </w:r>
      <w:r>
        <w:rPr>
          <w:rFonts w:ascii="Calibri" w:hAnsi="Calibri" w:cs="Calibri" w:eastAsia="Calibri"/>
          <w:color w:val="auto"/>
          <w:spacing w:val="0"/>
          <w:position w:val="0"/>
          <w:sz w:val="20"/>
          <w:shd w:fill="auto" w:val="clear"/>
        </w:rPr>
        <w:t xml:space="preserve">Krajem 2018. godine Općina je aplicirala na </w:t>
      </w:r>
      <w:r>
        <w:rPr>
          <w:rFonts w:ascii="Calibri" w:hAnsi="Calibri" w:cs="Calibri" w:eastAsia="Calibri"/>
          <w:i/>
          <w:color w:val="auto"/>
          <w:spacing w:val="0"/>
          <w:position w:val="0"/>
          <w:sz w:val="20"/>
          <w:shd w:fill="auto" w:val="clear"/>
        </w:rPr>
        <w:t xml:space="preserve">Javni poziv za pripremu akcionog plana za energetski održiv razvoj i klimatske promjene (SECAP) na području jedinica lokalne samouprave (JLS</w:t>
      </w:r>
      <w:r>
        <w:rPr>
          <w:rFonts w:ascii="Calibri" w:hAnsi="Calibri" w:cs="Calibri" w:eastAsia="Calibri"/>
          <w:color w:val="auto"/>
          <w:spacing w:val="0"/>
          <w:position w:val="0"/>
          <w:sz w:val="20"/>
          <w:shd w:fill="auto" w:val="clear"/>
        </w:rPr>
        <w:t xml:space="preserve">). Ovaj poziv raspisan je u okviru projekta koji Razvojni program Ujedinjenih naroda (UNDP) realizira u Bosni i Hercegovini pod nazivom „</w:t>
      </w:r>
      <w:r>
        <w:rPr>
          <w:rFonts w:ascii="Calibri" w:hAnsi="Calibri" w:cs="Calibri" w:eastAsia="Calibri"/>
          <w:i/>
          <w:color w:val="auto"/>
          <w:spacing w:val="0"/>
          <w:position w:val="0"/>
          <w:sz w:val="20"/>
          <w:shd w:fill="auto" w:val="clear"/>
        </w:rPr>
        <w:t xml:space="preserve">Povećanje ulaganja u javne objekte sa niskom stopom emisije ugljika u Bosni i Hercegovini</w:t>
      </w:r>
      <w:r>
        <w:rPr>
          <w:rFonts w:ascii="Calibri" w:hAnsi="Calibri" w:cs="Calibri" w:eastAsia="Calibri"/>
          <w:color w:val="auto"/>
          <w:spacing w:val="0"/>
          <w:position w:val="0"/>
          <w:sz w:val="20"/>
          <w:shd w:fill="auto" w:val="clear"/>
        </w:rPr>
        <w:t xml:space="preserve">“, uz financijsku podršku </w:t>
      </w:r>
      <w:r>
        <w:rPr>
          <w:rFonts w:ascii="Calibri" w:hAnsi="Calibri" w:cs="Calibri" w:eastAsia="Calibri"/>
          <w:i/>
          <w:color w:val="auto"/>
          <w:spacing w:val="0"/>
          <w:position w:val="0"/>
          <w:sz w:val="20"/>
          <w:shd w:fill="auto" w:val="clear"/>
        </w:rPr>
        <w:t xml:space="preserve">Zelenog klimatskog fonda</w:t>
      </w:r>
      <w:r>
        <w:rPr>
          <w:rFonts w:ascii="Calibri" w:hAnsi="Calibri" w:cs="Calibri" w:eastAsia="Calibri"/>
          <w:color w:val="auto"/>
          <w:spacing w:val="0"/>
          <w:position w:val="0"/>
          <w:sz w:val="20"/>
          <w:shd w:fill="auto" w:val="clear"/>
        </w:rPr>
        <w:t xml:space="preserve"> (engl. </w:t>
      </w:r>
      <w:r>
        <w:rPr>
          <w:rFonts w:ascii="Calibri" w:hAnsi="Calibri" w:cs="Calibri" w:eastAsia="Calibri"/>
          <w:i/>
          <w:color w:val="auto"/>
          <w:spacing w:val="0"/>
          <w:position w:val="0"/>
          <w:sz w:val="20"/>
          <w:shd w:fill="auto" w:val="clear"/>
        </w:rPr>
        <w:t xml:space="preserve">Green Climate Fund - GCF</w:t>
      </w:r>
      <w:r>
        <w:rPr>
          <w:rFonts w:ascii="Calibri" w:hAnsi="Calibri" w:cs="Calibri" w:eastAsia="Calibri"/>
          <w:color w:val="auto"/>
          <w:spacing w:val="0"/>
          <w:position w:val="0"/>
          <w:sz w:val="20"/>
          <w:shd w:fill="auto" w:val="clear"/>
        </w:rPr>
        <w:t xml:space="preserve">). Aplikacija Općine Doboj Istok je odobrena, te je na taj način osigurana tehnička i financijska podrška za pripremne radnje i izradu ovog Akcionog plana. Slijedeći važan korak u potvrđivanju opredijeljenosti za principe i prakse održivog energetskog razvoja i prilagođavanja klimatskim promjenama Općine Doboj Istok načinjen je 28. oktobra 2019. godine, kada je Općinsko vijeće usvojilo odluku o pristupanju </w:t>
      </w:r>
      <w:r>
        <w:rPr>
          <w:rFonts w:ascii="Calibri" w:hAnsi="Calibri" w:cs="Calibri" w:eastAsia="Calibri"/>
          <w:i/>
          <w:color w:val="auto"/>
          <w:spacing w:val="0"/>
          <w:position w:val="0"/>
          <w:sz w:val="20"/>
          <w:shd w:fill="auto" w:val="clear"/>
        </w:rPr>
        <w:t xml:space="preserve">Sporazumu gradonačelnika za klimu i energiju</w:t>
      </w:r>
      <w:r>
        <w:rPr>
          <w:rFonts w:ascii="Calibri" w:hAnsi="Calibri" w:cs="Calibri" w:eastAsia="Calibri"/>
          <w:color w:val="auto"/>
          <w:spacing w:val="0"/>
          <w:position w:val="0"/>
          <w:sz w:val="20"/>
          <w:shd w:fill="auto" w:val="clear"/>
        </w:rPr>
        <w:t xml:space="preserve"> i izradi Akcionog plana održivog upravljanja energijom i prilagođavanja klimatskim promjenama.  </w:t>
      </w:r>
    </w:p>
    <w:p>
      <w:pPr>
        <w:tabs>
          <w:tab w:val="left" w:pos="951" w:leader="none"/>
        </w:tabs>
        <w:spacing w:before="120" w:after="0" w:line="240"/>
        <w:ind w:right="0" w:left="0" w:firstLine="0"/>
        <w:jc w:val="both"/>
        <w:rPr>
          <w:rFonts w:ascii="Calibri" w:hAnsi="Calibri" w:cs="Calibri" w:eastAsia="Calibri"/>
          <w:color w:val="auto"/>
          <w:spacing w:val="0"/>
          <w:position w:val="0"/>
          <w:sz w:val="20"/>
          <w:shd w:fill="FFFF00" w:val="clear"/>
        </w:rPr>
      </w:pPr>
      <w:r>
        <w:rPr>
          <w:rFonts w:ascii="Calibri" w:hAnsi="Calibri" w:cs="Calibri" w:eastAsia="Calibri"/>
          <w:color w:val="auto"/>
          <w:spacing w:val="0"/>
          <w:position w:val="0"/>
          <w:sz w:val="20"/>
          <w:shd w:fill="FFFF00" w:val="clear"/>
        </w:rPr>
        <w:t xml:space="preserve"> </w:t>
      </w:r>
    </w:p>
    <w:p>
      <w:pPr>
        <w:spacing w:before="0" w:after="0" w:line="240"/>
        <w:ind w:right="0" w:left="0" w:firstLine="0"/>
        <w:jc w:val="left"/>
        <w:rPr>
          <w:rFonts w:ascii="Calibri" w:hAnsi="Calibri" w:cs="Calibri" w:eastAsia="Calibri"/>
          <w:color w:val="auto"/>
          <w:spacing w:val="0"/>
          <w:position w:val="0"/>
          <w:sz w:val="20"/>
          <w:shd w:fill="FFFF00" w:val="clear"/>
        </w:rPr>
      </w:pPr>
    </w:p>
    <w:p>
      <w:pPr>
        <w:keepNext w:val="true"/>
        <w:keepLines w:val="true"/>
        <w:numPr>
          <w:ilvl w:val="0"/>
          <w:numId w:val="109"/>
        </w:numPr>
        <w:spacing w:before="360" w:after="0" w:line="240"/>
        <w:ind w:right="0" w:left="431" w:hanging="431"/>
        <w:jc w:val="both"/>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SAŽETAK</w:t>
      </w:r>
    </w:p>
    <w:p>
      <w:pPr>
        <w:tabs>
          <w:tab w:val="left" w:pos="951" w:leader="none"/>
        </w:tabs>
        <w:spacing w:before="12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0"/>
          <w:shd w:fill="auto" w:val="clear"/>
        </w:rPr>
        <w:t xml:space="preserve">Izrada SECAP-a Op</w:t>
      </w:r>
      <w:r>
        <w:rPr>
          <w:rFonts w:ascii="Calibri" w:hAnsi="Calibri" w:cs="Calibri" w:eastAsia="Calibri"/>
          <w:color w:val="auto"/>
          <w:spacing w:val="0"/>
          <w:position w:val="0"/>
          <w:sz w:val="20"/>
          <w:shd w:fill="auto" w:val="clear"/>
        </w:rPr>
        <w:t xml:space="preserve">ćine Doboj Istok obuhvatila je slijedeće glavne aktivnosti:</w:t>
      </w:r>
    </w:p>
    <w:p>
      <w:pPr>
        <w:numPr>
          <w:ilvl w:val="0"/>
          <w:numId w:val="111"/>
        </w:numPr>
        <w:spacing w:before="120" w:after="0" w:line="240"/>
        <w:ind w:right="0" w:left="714" w:hanging="357"/>
        <w:jc w:val="left"/>
        <w:rPr>
          <w:rFonts w:ascii="Calibri" w:hAnsi="Calibri" w:cs="Calibri" w:eastAsia="Calibri"/>
          <w:b/>
          <w:i/>
          <w:color w:val="auto"/>
          <w:spacing w:val="0"/>
          <w:position w:val="0"/>
          <w:sz w:val="22"/>
          <w:shd w:fill="auto" w:val="clear"/>
        </w:rPr>
      </w:pPr>
      <w:r>
        <w:rPr>
          <w:rFonts w:ascii="Calibri" w:hAnsi="Calibri" w:cs="Calibri" w:eastAsia="Calibri"/>
          <w:b/>
          <w:i/>
          <w:color w:val="auto"/>
          <w:spacing w:val="0"/>
          <w:position w:val="0"/>
          <w:sz w:val="22"/>
          <w:shd w:fill="auto" w:val="clear"/>
        </w:rPr>
        <w:t xml:space="preserve">Odre</w:t>
      </w:r>
      <w:r>
        <w:rPr>
          <w:rFonts w:ascii="Calibri" w:hAnsi="Calibri" w:cs="Calibri" w:eastAsia="Calibri"/>
          <w:b/>
          <w:i/>
          <w:color w:val="auto"/>
          <w:spacing w:val="0"/>
          <w:position w:val="0"/>
          <w:sz w:val="22"/>
          <w:shd w:fill="auto" w:val="clear"/>
        </w:rPr>
        <w:t xml:space="preserve">đivanje ključnih elemenata SECAP-a</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Klju</w:t>
      </w:r>
      <w:r>
        <w:rPr>
          <w:rFonts w:ascii="Calibri" w:hAnsi="Calibri" w:cs="Calibri" w:eastAsia="Calibri"/>
          <w:color w:val="auto"/>
          <w:spacing w:val="0"/>
          <w:position w:val="0"/>
          <w:sz w:val="20"/>
          <w:shd w:fill="auto" w:val="clear"/>
        </w:rPr>
        <w:t xml:space="preserve">čni elementi SECAP-a za Općinu Doboj Istok definirani su u skladu sa metodološkim preporukama Sporazuma gradonačelnika za klimu i energiju, i uključuju:</w:t>
      </w:r>
    </w:p>
    <w:p>
      <w:pPr>
        <w:spacing w:before="4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b/>
          <w:color w:val="auto"/>
          <w:spacing w:val="0"/>
          <w:position w:val="0"/>
          <w:sz w:val="20"/>
          <w:shd w:fill="auto" w:val="clear"/>
        </w:rPr>
        <w:t xml:space="preserve">Obim SECAP-a</w:t>
      </w:r>
      <w:r>
        <w:rPr>
          <w:rFonts w:ascii="Calibri" w:hAnsi="Calibri" w:cs="Calibri" w:eastAsia="Calibri"/>
          <w:color w:val="auto"/>
          <w:spacing w:val="0"/>
          <w:position w:val="0"/>
          <w:sz w:val="20"/>
          <w:shd w:fill="auto" w:val="clear"/>
        </w:rPr>
        <w:t xml:space="preserve">: SECAP Doboj Istok se odnosi na cjelokupnu geografsku odnosno administrativnu teritoriju op</w:t>
      </w:r>
      <w:r>
        <w:rPr>
          <w:rFonts w:ascii="Calibri" w:hAnsi="Calibri" w:cs="Calibri" w:eastAsia="Calibri"/>
          <w:color w:val="auto"/>
          <w:spacing w:val="0"/>
          <w:position w:val="0"/>
          <w:sz w:val="20"/>
          <w:shd w:fill="auto" w:val="clear"/>
        </w:rPr>
        <w:t xml:space="preserve">ćine Doboj Istok, koja je u nadležnosti Općine Doboj Istok kao potpisnika Sporazuma gradonačelnika.</w:t>
      </w:r>
    </w:p>
    <w:p>
      <w:pPr>
        <w:spacing w:before="4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Kao </w:t>
      </w:r>
      <w:r>
        <w:rPr>
          <w:rFonts w:ascii="Calibri" w:hAnsi="Calibri" w:cs="Calibri" w:eastAsia="Calibri"/>
          <w:b/>
          <w:color w:val="auto"/>
          <w:spacing w:val="0"/>
          <w:position w:val="0"/>
          <w:sz w:val="20"/>
          <w:shd w:fill="auto" w:val="clear"/>
        </w:rPr>
        <w:t xml:space="preserve">bazna godina</w:t>
      </w:r>
      <w:r>
        <w:rPr>
          <w:rFonts w:ascii="Calibri" w:hAnsi="Calibri" w:cs="Calibri" w:eastAsia="Calibri"/>
          <w:color w:val="auto"/>
          <w:spacing w:val="0"/>
          <w:position w:val="0"/>
          <w:sz w:val="20"/>
          <w:shd w:fill="auto" w:val="clear"/>
        </w:rPr>
        <w:t xml:space="preserve"> izabrana je 2010 godina</w:t>
      </w:r>
      <w:r>
        <w:rPr>
          <w:rFonts w:ascii="Calibri" w:hAnsi="Calibri" w:cs="Calibri" w:eastAsia="Calibri"/>
          <w:i/>
          <w:color w:val="auto"/>
          <w:spacing w:val="0"/>
          <w:position w:val="0"/>
          <w:sz w:val="20"/>
          <w:shd w:fill="auto" w:val="clear"/>
        </w:rPr>
        <w:t xml:space="preserve">. </w:t>
      </w:r>
      <w:r>
        <w:rPr>
          <w:rFonts w:ascii="Calibri" w:hAnsi="Calibri" w:cs="Calibri" w:eastAsia="Calibri"/>
          <w:color w:val="auto"/>
          <w:spacing w:val="0"/>
          <w:position w:val="0"/>
          <w:sz w:val="20"/>
          <w:shd w:fill="auto" w:val="clear"/>
        </w:rPr>
        <w:t xml:space="preserve">Glavni kriterij za izbor 2010. godine kao bazne godine bila je raspoloživost ulaznih podataka potrebnih za prora</w:t>
      </w:r>
      <w:r>
        <w:rPr>
          <w:rFonts w:ascii="Calibri" w:hAnsi="Calibri" w:cs="Calibri" w:eastAsia="Calibri"/>
          <w:color w:val="auto"/>
          <w:spacing w:val="0"/>
          <w:position w:val="0"/>
          <w:sz w:val="20"/>
          <w:shd w:fill="auto" w:val="clear"/>
        </w:rPr>
        <w:t xml:space="preserve">čun emisija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w:t>
      </w:r>
    </w:p>
    <w:p>
      <w:pPr>
        <w:spacing w:before="4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SECAP Doboj Istok obuhvata </w:t>
      </w:r>
      <w:r>
        <w:rPr>
          <w:rFonts w:ascii="Calibri" w:hAnsi="Calibri" w:cs="Calibri" w:eastAsia="Calibri"/>
          <w:b/>
          <w:color w:val="auto"/>
          <w:spacing w:val="0"/>
          <w:position w:val="0"/>
          <w:sz w:val="20"/>
          <w:shd w:fill="auto" w:val="clear"/>
        </w:rPr>
        <w:t xml:space="preserve">vremenski period</w:t>
      </w:r>
      <w:r>
        <w:rPr>
          <w:rFonts w:ascii="Calibri" w:hAnsi="Calibri" w:cs="Calibri" w:eastAsia="Calibri"/>
          <w:color w:val="auto"/>
          <w:spacing w:val="0"/>
          <w:position w:val="0"/>
          <w:sz w:val="20"/>
          <w:shd w:fill="auto" w:val="clear"/>
        </w:rPr>
        <w:t xml:space="preserve"> do 2030. godine. U okviru Akcionog plana izra</w:t>
      </w:r>
      <w:r>
        <w:rPr>
          <w:rFonts w:ascii="Calibri" w:hAnsi="Calibri" w:cs="Calibri" w:eastAsia="Calibri"/>
          <w:color w:val="auto"/>
          <w:spacing w:val="0"/>
          <w:position w:val="0"/>
          <w:sz w:val="20"/>
          <w:shd w:fill="auto" w:val="clear"/>
        </w:rPr>
        <w:t xml:space="preserve">đen je kontrolni inventar emisija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za 2020. godinu u odnosu na baznu 2010. godinu, u svrhu utvrđivanja do sada postignutog smanjenja emisija i određivanja preostalih obaveza smanjenja emisija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u odnosu na cilj postavljen u ovom dokumentu za 2030. godinu.</w:t>
      </w:r>
    </w:p>
    <w:p>
      <w:pPr>
        <w:spacing w:before="4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U SECAP Doboj Istok uklju</w:t>
      </w:r>
      <w:r>
        <w:rPr>
          <w:rFonts w:ascii="Calibri" w:hAnsi="Calibri" w:cs="Calibri" w:eastAsia="Calibri"/>
          <w:color w:val="auto"/>
          <w:spacing w:val="0"/>
          <w:position w:val="0"/>
          <w:sz w:val="20"/>
          <w:shd w:fill="auto" w:val="clear"/>
        </w:rPr>
        <w:t xml:space="preserve">čene su obje </w:t>
      </w:r>
      <w:r>
        <w:rPr>
          <w:rFonts w:ascii="Calibri" w:hAnsi="Calibri" w:cs="Calibri" w:eastAsia="Calibri"/>
          <w:b/>
          <w:color w:val="auto"/>
          <w:spacing w:val="0"/>
          <w:position w:val="0"/>
          <w:sz w:val="20"/>
          <w:shd w:fill="auto" w:val="clear"/>
        </w:rPr>
        <w:t xml:space="preserve">kategorije mjera</w:t>
      </w:r>
      <w:r>
        <w:rPr>
          <w:rFonts w:ascii="Calibri" w:hAnsi="Calibri" w:cs="Calibri" w:eastAsia="Calibri"/>
          <w:color w:val="auto"/>
          <w:spacing w:val="0"/>
          <w:position w:val="0"/>
          <w:sz w:val="20"/>
          <w:shd w:fill="auto" w:val="clear"/>
        </w:rPr>
        <w:t xml:space="preserve"> - mjere za ublažavanje posljedica klimatskih promjena, i mjere za prilagođavanje klimatskim promjenama, a </w:t>
      </w:r>
      <w:r>
        <w:rPr>
          <w:rFonts w:ascii="Calibri" w:hAnsi="Calibri" w:cs="Calibri" w:eastAsia="Calibri"/>
          <w:b/>
          <w:color w:val="auto"/>
          <w:spacing w:val="0"/>
          <w:position w:val="0"/>
          <w:sz w:val="20"/>
          <w:shd w:fill="auto" w:val="clear"/>
        </w:rPr>
        <w:t xml:space="preserve">razmatrane su samo emisije CO</w:t>
      </w:r>
      <w:r>
        <w:rPr>
          <w:rFonts w:ascii="Calibri" w:hAnsi="Calibri" w:cs="Calibri" w:eastAsia="Calibri"/>
          <w:b/>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w:t>
      </w:r>
    </w:p>
    <w:p>
      <w:pPr>
        <w:spacing w:before="4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Pri izradi baznog i kontrolnog inventara razmatrane su: (i) direktne emisije, koje su rezultat potrošnje energije koja se fizi</w:t>
      </w:r>
      <w:r>
        <w:rPr>
          <w:rFonts w:ascii="Calibri" w:hAnsi="Calibri" w:cs="Calibri" w:eastAsia="Calibri"/>
          <w:color w:val="auto"/>
          <w:spacing w:val="0"/>
          <w:position w:val="0"/>
          <w:sz w:val="20"/>
          <w:shd w:fill="auto" w:val="clear"/>
        </w:rPr>
        <w:t xml:space="preserve">čki odvija na teritoriji općine; (ii) indirektne emisije, koje se odnose na potrošnju mrežne energije (električna energija) gdje proizvodna postrojenja mogu biti locirana izvan teritorije općine Doboj Istok, ali se njena potrošnja odvija na njenoj teritoriji; i (iii) emisije koje se odnose na neenergetsku potrošnju (sektor vodosnabdijevanja).</w:t>
      </w:r>
    </w:p>
    <w:p>
      <w:pPr>
        <w:spacing w:before="4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Za izradu inventara emisija odabran je </w:t>
      </w:r>
      <w:r>
        <w:rPr>
          <w:rFonts w:ascii="Calibri" w:hAnsi="Calibri" w:cs="Calibri" w:eastAsia="Calibri"/>
          <w:b/>
          <w:color w:val="auto"/>
          <w:spacing w:val="0"/>
          <w:position w:val="0"/>
          <w:sz w:val="20"/>
          <w:shd w:fill="auto" w:val="clear"/>
        </w:rPr>
        <w:t xml:space="preserve">metodološki pristup zasnovan na aktivnostima</w:t>
      </w:r>
      <w:r>
        <w:rPr>
          <w:rFonts w:ascii="Calibri" w:hAnsi="Calibri" w:cs="Calibri" w:eastAsia="Calibri"/>
          <w:color w:val="auto"/>
          <w:spacing w:val="0"/>
          <w:position w:val="0"/>
          <w:sz w:val="20"/>
          <w:shd w:fill="auto" w:val="clear"/>
        </w:rPr>
        <w:t xml:space="preserve">, gdje se u inventar uklju</w:t>
      </w:r>
      <w:r>
        <w:rPr>
          <w:rFonts w:ascii="Calibri" w:hAnsi="Calibri" w:cs="Calibri" w:eastAsia="Calibri"/>
          <w:color w:val="auto"/>
          <w:spacing w:val="0"/>
          <w:position w:val="0"/>
          <w:sz w:val="20"/>
          <w:shd w:fill="auto" w:val="clear"/>
        </w:rPr>
        <w:t xml:space="preserve">čuju sve direktne i indirektne emisije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koje su rezultat aktivnosti kod kojih se energija troši na teritoriji općine Doboj Istok.</w:t>
      </w:r>
    </w:p>
    <w:p>
      <w:pPr>
        <w:spacing w:before="4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Razmatrani su slijede</w:t>
      </w:r>
      <w:r>
        <w:rPr>
          <w:rFonts w:ascii="Calibri" w:hAnsi="Calibri" w:cs="Calibri" w:eastAsia="Calibri"/>
          <w:color w:val="auto"/>
          <w:spacing w:val="0"/>
          <w:position w:val="0"/>
          <w:sz w:val="20"/>
          <w:shd w:fill="auto" w:val="clear"/>
        </w:rPr>
        <w:t xml:space="preserve">ći </w:t>
      </w:r>
      <w:r>
        <w:rPr>
          <w:rFonts w:ascii="Calibri" w:hAnsi="Calibri" w:cs="Calibri" w:eastAsia="Calibri"/>
          <w:b/>
          <w:color w:val="auto"/>
          <w:spacing w:val="0"/>
          <w:position w:val="0"/>
          <w:sz w:val="20"/>
          <w:shd w:fill="auto" w:val="clear"/>
        </w:rPr>
        <w:t xml:space="preserve">sektori finalne potrošnje energije</w:t>
      </w:r>
      <w:r>
        <w:rPr>
          <w:rFonts w:ascii="Calibri" w:hAnsi="Calibri" w:cs="Calibri" w:eastAsia="Calibri"/>
          <w:color w:val="auto"/>
          <w:spacing w:val="0"/>
          <w:position w:val="0"/>
          <w:sz w:val="20"/>
          <w:shd w:fill="auto" w:val="clear"/>
        </w:rPr>
        <w:t xml:space="preserve">: </w:t>
      </w:r>
    </w:p>
    <w:p>
      <w:pPr>
        <w:numPr>
          <w:ilvl w:val="0"/>
          <w:numId w:val="114"/>
        </w:numPr>
        <w:spacing w:before="0" w:after="0" w:line="240"/>
        <w:ind w:right="0" w:left="714" w:hanging="357"/>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Sektor zgradarstva, sa tri podsektora: (1) javne zgrade u vlasništvu Op</w:t>
      </w:r>
      <w:r>
        <w:rPr>
          <w:rFonts w:ascii="Calibri" w:hAnsi="Calibri" w:cs="Calibri" w:eastAsia="Calibri"/>
          <w:color w:val="auto"/>
          <w:spacing w:val="0"/>
          <w:position w:val="0"/>
          <w:sz w:val="20"/>
          <w:shd w:fill="auto" w:val="clear"/>
        </w:rPr>
        <w:t xml:space="preserve">ćine Doboj Istok; (2) javne zgrade koje nisu u vlasništvu Općine Doboj Istok; i (3) stambene zgrade;</w:t>
      </w:r>
    </w:p>
    <w:p>
      <w:pPr>
        <w:numPr>
          <w:ilvl w:val="0"/>
          <w:numId w:val="114"/>
        </w:numPr>
        <w:spacing w:before="0" w:after="0" w:line="240"/>
        <w:ind w:right="0" w:left="720" w:hanging="36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Sektor saobra</w:t>
      </w:r>
      <w:r>
        <w:rPr>
          <w:rFonts w:ascii="Calibri" w:hAnsi="Calibri" w:cs="Calibri" w:eastAsia="Calibri"/>
          <w:color w:val="auto"/>
          <w:spacing w:val="0"/>
          <w:position w:val="0"/>
          <w:sz w:val="20"/>
          <w:shd w:fill="auto" w:val="clear"/>
        </w:rPr>
        <w:t xml:space="preserve">ćaja, sa tri podsektora: (1) vozila u vlasništvu Općine Doboj Istok; (2) javni prijevoz na području općine Doboj Istok; i (3) osobna i komercijalna vozila, registrirana na području općine Doboj Istok;</w:t>
      </w:r>
    </w:p>
    <w:p>
      <w:pPr>
        <w:numPr>
          <w:ilvl w:val="0"/>
          <w:numId w:val="114"/>
        </w:numPr>
        <w:spacing w:before="0" w:after="0" w:line="240"/>
        <w:ind w:right="0" w:left="720" w:hanging="36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Sektor javne rasvjete, koji obuhvata cjelokupnu mrežu javne rasvjete na podru</w:t>
      </w:r>
      <w:r>
        <w:rPr>
          <w:rFonts w:ascii="Calibri" w:hAnsi="Calibri" w:cs="Calibri" w:eastAsia="Calibri"/>
          <w:color w:val="auto"/>
          <w:spacing w:val="0"/>
          <w:position w:val="0"/>
          <w:sz w:val="20"/>
          <w:shd w:fill="auto" w:val="clear"/>
        </w:rPr>
        <w:t xml:space="preserve">čju općine; i</w:t>
      </w:r>
    </w:p>
    <w:p>
      <w:pPr>
        <w:numPr>
          <w:ilvl w:val="0"/>
          <w:numId w:val="114"/>
        </w:numPr>
        <w:spacing w:before="60" w:after="120" w:line="240"/>
        <w:ind w:right="0" w:left="720" w:hanging="36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Sektor vodosnabdijevanja, koji uklju</w:t>
      </w:r>
      <w:r>
        <w:rPr>
          <w:rFonts w:ascii="Calibri" w:hAnsi="Calibri" w:cs="Calibri" w:eastAsia="Calibri"/>
          <w:color w:val="auto"/>
          <w:spacing w:val="0"/>
          <w:position w:val="0"/>
          <w:sz w:val="20"/>
          <w:shd w:fill="auto" w:val="clear"/>
        </w:rPr>
        <w:t xml:space="preserve">čuje infrastrukturu sistema vodosnabdijavanja na području općine.</w:t>
      </w:r>
    </w:p>
    <w:p>
      <w:pPr>
        <w:numPr>
          <w:ilvl w:val="0"/>
          <w:numId w:val="114"/>
        </w:numPr>
        <w:spacing w:before="240" w:after="0" w:line="240"/>
        <w:ind w:right="0" w:left="714" w:hanging="357"/>
        <w:jc w:val="left"/>
        <w:rPr>
          <w:rFonts w:ascii="Calibri" w:hAnsi="Calibri" w:cs="Calibri" w:eastAsia="Calibri"/>
          <w:b/>
          <w:i/>
          <w:color w:val="auto"/>
          <w:spacing w:val="0"/>
          <w:position w:val="0"/>
          <w:sz w:val="22"/>
          <w:shd w:fill="auto" w:val="clear"/>
        </w:rPr>
      </w:pPr>
      <w:r>
        <w:rPr>
          <w:rFonts w:ascii="Calibri" w:hAnsi="Calibri" w:cs="Calibri" w:eastAsia="Calibri"/>
          <w:b/>
          <w:i/>
          <w:color w:val="auto"/>
          <w:spacing w:val="0"/>
          <w:position w:val="0"/>
          <w:sz w:val="22"/>
          <w:shd w:fill="auto" w:val="clear"/>
        </w:rPr>
        <w:t xml:space="preserve">Odre</w:t>
      </w:r>
      <w:r>
        <w:rPr>
          <w:rFonts w:ascii="Calibri" w:hAnsi="Calibri" w:cs="Calibri" w:eastAsia="Calibri"/>
          <w:b/>
          <w:i/>
          <w:color w:val="auto"/>
          <w:spacing w:val="0"/>
          <w:position w:val="0"/>
          <w:sz w:val="22"/>
          <w:shd w:fill="auto" w:val="clear"/>
        </w:rPr>
        <w:t xml:space="preserve">đivanje dugoročne vizije održivog razvoja općine Doboj Istok, te ciljeva u oblasti ublažavanja klimatskih promjena i prilagođavanja na klimatske promjene</w:t>
      </w:r>
    </w:p>
    <w:p>
      <w:pPr>
        <w:spacing w:before="120" w:after="0" w:line="240"/>
        <w:ind w:right="0" w:left="0" w:firstLine="0"/>
        <w:jc w:val="both"/>
        <w:rPr>
          <w:rFonts w:ascii="Calibri" w:hAnsi="Calibri" w:cs="Calibri" w:eastAsia="Calibri"/>
          <w:b/>
          <w:color w:val="auto"/>
          <w:spacing w:val="0"/>
          <w:position w:val="0"/>
          <w:sz w:val="20"/>
          <w:shd w:fill="auto" w:val="clear"/>
        </w:rPr>
      </w:pPr>
      <w:r>
        <w:rPr>
          <w:rFonts w:ascii="Calibri" w:hAnsi="Calibri" w:cs="Calibri" w:eastAsia="Calibri"/>
          <w:color w:val="auto"/>
          <w:spacing w:val="0"/>
          <w:position w:val="0"/>
          <w:sz w:val="20"/>
          <w:shd w:fill="auto" w:val="clear"/>
        </w:rPr>
        <w:t xml:space="preserve">Imaju</w:t>
      </w:r>
      <w:r>
        <w:rPr>
          <w:rFonts w:ascii="Calibri" w:hAnsi="Calibri" w:cs="Calibri" w:eastAsia="Calibri"/>
          <w:color w:val="auto"/>
          <w:spacing w:val="0"/>
          <w:position w:val="0"/>
          <w:sz w:val="20"/>
          <w:shd w:fill="auto" w:val="clear"/>
        </w:rPr>
        <w:t xml:space="preserve">ći u vidu najveće klimatske i energetske probleme sa kojima se općina Doboj Istok suočava, u ovom Akcionom planu, kojim se po prvi put objedinjuju oblasti ublažavanja klimatskih promjena i prilagođavanje njihovim posljedicama, utvrđena je dugoročna vizija održive budućnosti općine. </w:t>
      </w:r>
      <w:r>
        <w:rPr>
          <w:rFonts w:ascii="Calibri" w:hAnsi="Calibri" w:cs="Calibri" w:eastAsia="Calibri"/>
          <w:b/>
          <w:color w:val="auto"/>
          <w:spacing w:val="0"/>
          <w:position w:val="0"/>
          <w:sz w:val="20"/>
          <w:shd w:fill="auto" w:val="clear"/>
        </w:rPr>
        <w:t xml:space="preserve">U 2050. godini Doboj Istok će biti općina energetski održivog razvoja i zdravog okoliša, koja ne koristi ugalj za zagrijavanje zgrada, te općina koja nije ugrožena poplavama, sposobna da se prilagodi i ostalim posljedicama klimatskih promjena. </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Ciljevi postavljeni u ovom Akcionom planu, koji trasiraju put ka ostvarenju vizije i koji su uskla</w:t>
      </w:r>
      <w:r>
        <w:rPr>
          <w:rFonts w:ascii="Calibri" w:hAnsi="Calibri" w:cs="Calibri" w:eastAsia="Calibri"/>
          <w:color w:val="auto"/>
          <w:spacing w:val="0"/>
          <w:position w:val="0"/>
          <w:sz w:val="20"/>
          <w:shd w:fill="auto" w:val="clear"/>
        </w:rPr>
        <w:t xml:space="preserve">đeni sa ostalim strateškim razvojnim ciljevima općine Doboj Istok, su: </w:t>
      </w:r>
    </w:p>
    <w:p>
      <w:pPr>
        <w:numPr>
          <w:ilvl w:val="0"/>
          <w:numId w:val="120"/>
        </w:numPr>
        <w:spacing w:before="60" w:after="0" w:line="240"/>
        <w:ind w:right="0" w:left="714" w:hanging="357"/>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smanjenje emisija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za najmanje 40% do 2030. godine u odnosu na bazni inventar emisija iz 2010. godine; i</w:t>
      </w:r>
    </w:p>
    <w:p>
      <w:pPr>
        <w:numPr>
          <w:ilvl w:val="0"/>
          <w:numId w:val="120"/>
        </w:numPr>
        <w:spacing w:before="60" w:after="0" w:line="240"/>
        <w:ind w:right="0" w:left="720" w:hanging="36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smanjen broj nesre</w:t>
      </w:r>
      <w:r>
        <w:rPr>
          <w:rFonts w:ascii="Calibri" w:hAnsi="Calibri" w:cs="Calibri" w:eastAsia="Calibri"/>
          <w:color w:val="auto"/>
          <w:spacing w:val="0"/>
          <w:position w:val="0"/>
          <w:sz w:val="20"/>
          <w:shd w:fill="auto" w:val="clear"/>
        </w:rPr>
        <w:t xml:space="preserve">ća usljed opasnosti od posljedica klimatskih promjena koje ugrožavaju život i zdravlje ljudi te dovode do velikih materijalnih šteta, za 80% do 2030. godine</w:t>
      </w:r>
    </w:p>
    <w:p>
      <w:pPr>
        <w:numPr>
          <w:ilvl w:val="0"/>
          <w:numId w:val="120"/>
        </w:numPr>
        <w:spacing w:before="120" w:after="0" w:line="240"/>
        <w:ind w:right="0" w:left="714" w:hanging="357"/>
        <w:jc w:val="left"/>
        <w:rPr>
          <w:rFonts w:ascii="Calibri" w:hAnsi="Calibri" w:cs="Calibri" w:eastAsia="Calibri"/>
          <w:b/>
          <w:i/>
          <w:color w:val="auto"/>
          <w:spacing w:val="0"/>
          <w:position w:val="0"/>
          <w:sz w:val="22"/>
          <w:shd w:fill="auto" w:val="clear"/>
        </w:rPr>
      </w:pPr>
      <w:r>
        <w:rPr>
          <w:rFonts w:ascii="Calibri" w:hAnsi="Calibri" w:cs="Calibri" w:eastAsia="Calibri"/>
          <w:b/>
          <w:i/>
          <w:color w:val="auto"/>
          <w:spacing w:val="0"/>
          <w:position w:val="0"/>
          <w:sz w:val="22"/>
          <w:shd w:fill="auto" w:val="clear"/>
        </w:rPr>
        <w:t xml:space="preserve">Prikupljanje ulaznih podataka za analizu dosadašnje potrošnje energije u razmatranim sektorima, te izrada inventara emisija CO</w:t>
      </w:r>
      <w:r>
        <w:rPr>
          <w:rFonts w:ascii="Calibri" w:hAnsi="Calibri" w:cs="Calibri" w:eastAsia="Calibri"/>
          <w:b/>
          <w:i/>
          <w:color w:val="auto"/>
          <w:spacing w:val="0"/>
          <w:position w:val="0"/>
          <w:sz w:val="22"/>
          <w:shd w:fill="auto" w:val="clear"/>
          <w:vertAlign w:val="subscript"/>
        </w:rPr>
        <w:t xml:space="preserve">2</w:t>
      </w:r>
      <w:r>
        <w:rPr>
          <w:rFonts w:ascii="Calibri" w:hAnsi="Calibri" w:cs="Calibri" w:eastAsia="Calibri"/>
          <w:b/>
          <w:i/>
          <w:color w:val="auto"/>
          <w:spacing w:val="0"/>
          <w:position w:val="0"/>
          <w:sz w:val="22"/>
          <w:shd w:fill="auto" w:val="clear"/>
        </w:rPr>
        <w:t xml:space="preserve"> u baznoj 2010. i kontrolnoj 2020. godini</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U ovoj fazi rada izvršen je prora</w:t>
      </w:r>
      <w:r>
        <w:rPr>
          <w:rFonts w:ascii="Calibri" w:hAnsi="Calibri" w:cs="Calibri" w:eastAsia="Calibri"/>
          <w:color w:val="auto"/>
          <w:spacing w:val="0"/>
          <w:position w:val="0"/>
          <w:sz w:val="20"/>
          <w:shd w:fill="auto" w:val="clear"/>
        </w:rPr>
        <w:t xml:space="preserve">čun emisija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u baznoj 2010. godini iz svih razmatranih sektora i podsektora, te ukupni bazni inventar emisija koji objedinjuje emisije iz svih sektora. Pri tome je najprije izvršen odgovarajući proračun potrošnje finalne energije, dok su emisije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dobivene množenjem dobivene energije sa odgovarajućim emisionim faktorima za pojedine energente. Nakon toga je izvršen i proračun emisija iz svih navedenih sektora i za kontrolnu 2020. godinu, pri kojem su u obzir uzete sve promjene (smanjenje ili povećanje potrošnje energije, itd) koje su se desile u periodu 2010.-2020.  </w:t>
      </w:r>
    </w:p>
    <w:p>
      <w:pPr>
        <w:spacing w:before="60" w:after="120" w:line="240"/>
        <w:ind w:right="0" w:left="0" w:firstLine="0"/>
        <w:jc w:val="both"/>
        <w:rPr>
          <w:rFonts w:ascii="Calibri" w:hAnsi="Calibri" w:cs="Calibri" w:eastAsia="Calibri"/>
          <w:color w:val="auto"/>
          <w:spacing w:val="0"/>
          <w:position w:val="0"/>
          <w:sz w:val="20"/>
          <w:shd w:fill="FFFF00" w:val="clear"/>
        </w:rPr>
      </w:pPr>
      <w:r>
        <w:rPr>
          <w:rFonts w:ascii="Calibri" w:hAnsi="Calibri" w:cs="Calibri" w:eastAsia="Calibri"/>
          <w:color w:val="auto"/>
          <w:spacing w:val="0"/>
          <w:position w:val="0"/>
          <w:sz w:val="20"/>
          <w:shd w:fill="auto" w:val="clear"/>
        </w:rPr>
        <w:t xml:space="preserve">Pore</w:t>
      </w:r>
      <w:r>
        <w:rPr>
          <w:rFonts w:ascii="Calibri" w:hAnsi="Calibri" w:cs="Calibri" w:eastAsia="Calibri"/>
          <w:color w:val="auto"/>
          <w:spacing w:val="0"/>
          <w:position w:val="0"/>
          <w:sz w:val="20"/>
          <w:shd w:fill="auto" w:val="clear"/>
        </w:rPr>
        <w:t xml:space="preserve">đenje potrošnje finalne energije u dobivenom baznom i kontrolnom inventaru pokazuje da je potrošnja finalne energije na području općine Doboj Istok u kontrolnoj 2020. godini za 14,32 % manja u odnosu na potrošnju u baznoj 2010. godini. Prikaz promjena ukupne potrošnje energije i potrošnje u razmatranim sektorima te udjela pojedinih sektora u ukupnoj finalnoj energiji, u periodu od bazne do kontrolne godine, dat je u narednoj tabeli i dijagramu.</w:t>
      </w:r>
    </w:p>
    <w:tbl>
      <w:tblPr/>
      <w:tblGrid>
        <w:gridCol w:w="2786"/>
        <w:gridCol w:w="1168"/>
        <w:gridCol w:w="1106"/>
        <w:gridCol w:w="1183"/>
        <w:gridCol w:w="954"/>
        <w:gridCol w:w="1172"/>
        <w:gridCol w:w="1251"/>
      </w:tblGrid>
      <w:tr>
        <w:trPr>
          <w:trHeight w:val="1" w:hRule="atLeast"/>
          <w:jc w:val="left"/>
        </w:trPr>
        <w:tc>
          <w:tcPr>
            <w:tcW w:w="2786" w:type="dxa"/>
            <w:vMerge w:val="restart"/>
            <w:tcBorders>
              <w:top w:val="single" w:color="000000" w:sz="4"/>
              <w:left w:val="single" w:color="000000" w:sz="4"/>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SEKTORI</w:t>
            </w:r>
          </w:p>
        </w:tc>
        <w:tc>
          <w:tcPr>
            <w:tcW w:w="2274" w:type="dxa"/>
            <w:gridSpan w:val="2"/>
            <w:tcBorders>
              <w:top w:val="single" w:color="000000" w:sz="4"/>
              <w:left w:val="single" w:color="000000" w:sz="0"/>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center"/>
              <w:rPr>
                <w:rFonts w:ascii="Calibri" w:hAnsi="Calibri" w:cs="Calibri" w:eastAsia="Calibri"/>
                <w:color w:val="000000"/>
                <w:spacing w:val="0"/>
                <w:position w:val="0"/>
                <w:sz w:val="16"/>
                <w:shd w:fill="auto" w:val="clear"/>
              </w:rPr>
            </w:pPr>
            <w:r>
              <w:rPr>
                <w:rFonts w:ascii="Calibri" w:hAnsi="Calibri" w:cs="Calibri" w:eastAsia="Calibri"/>
                <w:color w:val="000000"/>
                <w:spacing w:val="0"/>
                <w:position w:val="0"/>
                <w:sz w:val="16"/>
                <w:shd w:fill="auto" w:val="clear"/>
              </w:rPr>
              <w:t xml:space="preserve">REFERENTNI INVNETAR </w:t>
            </w:r>
          </w:p>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u 2010. godini</w:t>
            </w:r>
          </w:p>
        </w:tc>
        <w:tc>
          <w:tcPr>
            <w:tcW w:w="2137" w:type="dxa"/>
            <w:gridSpan w:val="2"/>
            <w:tcBorders>
              <w:top w:val="single" w:color="000000" w:sz="4"/>
              <w:left w:val="single" w:color="000000" w:sz="0"/>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center"/>
              <w:rPr>
                <w:rFonts w:ascii="Calibri" w:hAnsi="Calibri" w:cs="Calibri" w:eastAsia="Calibri"/>
                <w:color w:val="000000"/>
                <w:spacing w:val="0"/>
                <w:position w:val="0"/>
                <w:sz w:val="16"/>
                <w:shd w:fill="auto" w:val="clear"/>
              </w:rPr>
            </w:pPr>
            <w:r>
              <w:rPr>
                <w:rFonts w:ascii="Calibri" w:hAnsi="Calibri" w:cs="Calibri" w:eastAsia="Calibri"/>
                <w:color w:val="000000"/>
                <w:spacing w:val="0"/>
                <w:position w:val="0"/>
                <w:sz w:val="16"/>
                <w:shd w:fill="auto" w:val="clear"/>
              </w:rPr>
              <w:t xml:space="preserve">KONTROLNI INVENTA</w:t>
            </w:r>
          </w:p>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R u 2020. godini</w:t>
            </w:r>
          </w:p>
        </w:tc>
        <w:tc>
          <w:tcPr>
            <w:tcW w:w="2423" w:type="dxa"/>
            <w:gridSpan w:val="2"/>
            <w:tcBorders>
              <w:top w:val="single" w:color="000000" w:sz="4"/>
              <w:left w:val="single" w:color="000000" w:sz="0"/>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OSTVARENO SMANJENJE POTROŠNJE ENERGIJE</w:t>
            </w:r>
          </w:p>
        </w:tc>
      </w:tr>
      <w:tr>
        <w:trPr>
          <w:trHeight w:val="1" w:hRule="atLeast"/>
          <w:jc w:val="left"/>
        </w:trPr>
        <w:tc>
          <w:tcPr>
            <w:tcW w:w="2786"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168"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Finalna energija [MWh]</w:t>
            </w:r>
          </w:p>
        </w:tc>
        <w:tc>
          <w:tcPr>
            <w:tcW w:w="1106"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Udio pojedinih sektora [%]</w:t>
            </w:r>
          </w:p>
        </w:tc>
        <w:tc>
          <w:tcPr>
            <w:tcW w:w="1183"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Finalna energija [MWh]</w:t>
            </w:r>
          </w:p>
        </w:tc>
        <w:tc>
          <w:tcPr>
            <w:tcW w:w="954"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Udio pojedinih sektora [%]</w:t>
            </w:r>
          </w:p>
        </w:tc>
        <w:tc>
          <w:tcPr>
            <w:tcW w:w="1172"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Finalna energija [MWh]</w:t>
            </w:r>
          </w:p>
        </w:tc>
        <w:tc>
          <w:tcPr>
            <w:tcW w:w="1251"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Promjene potrošnje energije po sektorima [%]</w:t>
            </w:r>
          </w:p>
        </w:tc>
      </w:tr>
      <w:tr>
        <w:trPr>
          <w:trHeight w:val="1" w:hRule="atLeast"/>
          <w:jc w:val="left"/>
        </w:trPr>
        <w:tc>
          <w:tcPr>
            <w:tcW w:w="2786" w:type="dxa"/>
            <w:tcBorders>
              <w:top w:val="single" w:color="000000" w:sz="0"/>
              <w:left w:val="single" w:color="000000" w:sz="4"/>
              <w:bottom w:val="single" w:color="000000" w:sz="4"/>
              <w:right w:val="single" w:color="000000" w:sz="4"/>
            </w:tcBorders>
            <w:shd w:color="000000" w:fill="b4c6e7" w:val="clear"/>
            <w:tcMar>
              <w:left w:w="108" w:type="dxa"/>
              <w:right w:w="108"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ZGRADARSTVO I JAVNA RASVJETA</w:t>
            </w:r>
          </w:p>
        </w:tc>
        <w:tc>
          <w:tcPr>
            <w:tcW w:w="1168"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 </w:t>
            </w:r>
          </w:p>
        </w:tc>
        <w:tc>
          <w:tcPr>
            <w:tcW w:w="1106"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 </w:t>
            </w:r>
          </w:p>
        </w:tc>
        <w:tc>
          <w:tcPr>
            <w:tcW w:w="1183"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 </w:t>
            </w:r>
          </w:p>
        </w:tc>
        <w:tc>
          <w:tcPr>
            <w:tcW w:w="954"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 </w:t>
            </w:r>
          </w:p>
        </w:tc>
        <w:tc>
          <w:tcPr>
            <w:tcW w:w="1172"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 </w:t>
            </w:r>
          </w:p>
        </w:tc>
        <w:tc>
          <w:tcPr>
            <w:tcW w:w="1251"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 </w:t>
            </w:r>
          </w:p>
        </w:tc>
      </w:tr>
      <w:tr>
        <w:trPr>
          <w:trHeight w:val="1" w:hRule="atLeast"/>
          <w:jc w:val="left"/>
        </w:trPr>
        <w:tc>
          <w:tcPr>
            <w:tcW w:w="2786" w:type="dxa"/>
            <w:tcBorders>
              <w:top w:val="single" w:color="000000" w:sz="0"/>
              <w:left w:val="single" w:color="000000" w:sz="4"/>
              <w:bottom w:val="single" w:color="000000" w:sz="4"/>
              <w:right w:val="single" w:color="000000" w:sz="4"/>
            </w:tcBorders>
            <w:shd w:color="000000" w:fill="d9e1f2" w:val="clear"/>
            <w:tcMar>
              <w:left w:w="108" w:type="dxa"/>
              <w:right w:w="108" w:type="dxa"/>
            </w:tcMar>
            <w:vAlign w:val="top"/>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Javne zgrade u vlasništvu Op</w:t>
            </w:r>
            <w:r>
              <w:rPr>
                <w:rFonts w:ascii="Calibri" w:hAnsi="Calibri" w:cs="Calibri" w:eastAsia="Calibri"/>
                <w:color w:val="000000"/>
                <w:spacing w:val="0"/>
                <w:position w:val="0"/>
                <w:sz w:val="16"/>
                <w:shd w:fill="auto" w:val="clear"/>
              </w:rPr>
              <w:t xml:space="preserve">ćine</w:t>
            </w:r>
          </w:p>
        </w:tc>
        <w:tc>
          <w:tcPr>
            <w:tcW w:w="11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2.074,02</w:t>
            </w:r>
          </w:p>
        </w:tc>
        <w:tc>
          <w:tcPr>
            <w:tcW w:w="110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2,23</w:t>
            </w:r>
          </w:p>
        </w:tc>
        <w:tc>
          <w:tcPr>
            <w:tcW w:w="118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1.701,65</w:t>
            </w:r>
          </w:p>
        </w:tc>
        <w:tc>
          <w:tcPr>
            <w:tcW w:w="95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2,14</w:t>
            </w:r>
          </w:p>
        </w:tc>
        <w:tc>
          <w:tcPr>
            <w:tcW w:w="117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372,36</w:t>
            </w:r>
          </w:p>
        </w:tc>
        <w:tc>
          <w:tcPr>
            <w:tcW w:w="12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17,95</w:t>
            </w:r>
          </w:p>
        </w:tc>
      </w:tr>
      <w:tr>
        <w:trPr>
          <w:trHeight w:val="1" w:hRule="atLeast"/>
          <w:jc w:val="left"/>
        </w:trPr>
        <w:tc>
          <w:tcPr>
            <w:tcW w:w="2786" w:type="dxa"/>
            <w:tcBorders>
              <w:top w:val="single" w:color="000000" w:sz="0"/>
              <w:left w:val="single" w:color="000000" w:sz="4"/>
              <w:bottom w:val="single" w:color="000000" w:sz="4"/>
              <w:right w:val="single" w:color="000000" w:sz="4"/>
            </w:tcBorders>
            <w:shd w:color="000000" w:fill="d9e1f2" w:val="clear"/>
            <w:tcMar>
              <w:left w:w="108" w:type="dxa"/>
              <w:right w:w="108" w:type="dxa"/>
            </w:tcMar>
            <w:vAlign w:val="top"/>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Javne zgrade koje nisu u vlasništvu Op</w:t>
            </w:r>
            <w:r>
              <w:rPr>
                <w:rFonts w:ascii="Calibri" w:hAnsi="Calibri" w:cs="Calibri" w:eastAsia="Calibri"/>
                <w:color w:val="000000"/>
                <w:spacing w:val="0"/>
                <w:position w:val="0"/>
                <w:sz w:val="16"/>
                <w:shd w:fill="auto" w:val="clear"/>
              </w:rPr>
              <w:t xml:space="preserve">ćine</w:t>
            </w:r>
          </w:p>
        </w:tc>
        <w:tc>
          <w:tcPr>
            <w:tcW w:w="11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1.528,42</w:t>
            </w:r>
          </w:p>
        </w:tc>
        <w:tc>
          <w:tcPr>
            <w:tcW w:w="110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1,64</w:t>
            </w:r>
          </w:p>
        </w:tc>
        <w:tc>
          <w:tcPr>
            <w:tcW w:w="118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983,16</w:t>
            </w:r>
          </w:p>
        </w:tc>
        <w:tc>
          <w:tcPr>
            <w:tcW w:w="95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1,23</w:t>
            </w:r>
          </w:p>
        </w:tc>
        <w:tc>
          <w:tcPr>
            <w:tcW w:w="117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545,26</w:t>
            </w:r>
          </w:p>
        </w:tc>
        <w:tc>
          <w:tcPr>
            <w:tcW w:w="12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35,67</w:t>
            </w:r>
          </w:p>
        </w:tc>
      </w:tr>
      <w:tr>
        <w:trPr>
          <w:trHeight w:val="1" w:hRule="atLeast"/>
          <w:jc w:val="left"/>
        </w:trPr>
        <w:tc>
          <w:tcPr>
            <w:tcW w:w="2786" w:type="dxa"/>
            <w:tcBorders>
              <w:top w:val="single" w:color="000000" w:sz="0"/>
              <w:left w:val="single" w:color="000000" w:sz="4"/>
              <w:bottom w:val="single" w:color="000000" w:sz="4"/>
              <w:right w:val="single" w:color="000000" w:sz="4"/>
            </w:tcBorders>
            <w:shd w:color="000000" w:fill="d9e1f2" w:val="clear"/>
            <w:tcMar>
              <w:left w:w="108" w:type="dxa"/>
              <w:right w:w="108" w:type="dxa"/>
            </w:tcMar>
            <w:vAlign w:val="top"/>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Stambene zgrade</w:t>
            </w:r>
          </w:p>
        </w:tc>
        <w:tc>
          <w:tcPr>
            <w:tcW w:w="11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54.352,61</w:t>
            </w:r>
          </w:p>
        </w:tc>
        <w:tc>
          <w:tcPr>
            <w:tcW w:w="110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58,45</w:t>
            </w:r>
          </w:p>
        </w:tc>
        <w:tc>
          <w:tcPr>
            <w:tcW w:w="118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46.525,49</w:t>
            </w:r>
          </w:p>
        </w:tc>
        <w:tc>
          <w:tcPr>
            <w:tcW w:w="95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58,40</w:t>
            </w:r>
          </w:p>
        </w:tc>
        <w:tc>
          <w:tcPr>
            <w:tcW w:w="117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7.827,12</w:t>
            </w:r>
          </w:p>
        </w:tc>
        <w:tc>
          <w:tcPr>
            <w:tcW w:w="12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14,40</w:t>
            </w:r>
          </w:p>
        </w:tc>
      </w:tr>
      <w:tr>
        <w:trPr>
          <w:trHeight w:val="1" w:hRule="atLeast"/>
          <w:jc w:val="left"/>
        </w:trPr>
        <w:tc>
          <w:tcPr>
            <w:tcW w:w="2786" w:type="dxa"/>
            <w:tcBorders>
              <w:top w:val="single" w:color="000000" w:sz="0"/>
              <w:left w:val="single" w:color="000000" w:sz="4"/>
              <w:bottom w:val="single" w:color="000000" w:sz="4"/>
              <w:right w:val="single" w:color="000000" w:sz="4"/>
            </w:tcBorders>
            <w:shd w:color="000000" w:fill="d9e1f2" w:val="clear"/>
            <w:tcMar>
              <w:left w:w="108" w:type="dxa"/>
              <w:right w:w="108" w:type="dxa"/>
            </w:tcMar>
            <w:vAlign w:val="top"/>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Javna rasvjeta</w:t>
            </w:r>
          </w:p>
        </w:tc>
        <w:tc>
          <w:tcPr>
            <w:tcW w:w="11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549,70</w:t>
            </w:r>
          </w:p>
        </w:tc>
        <w:tc>
          <w:tcPr>
            <w:tcW w:w="110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0,59</w:t>
            </w:r>
          </w:p>
        </w:tc>
        <w:tc>
          <w:tcPr>
            <w:tcW w:w="118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629,50</w:t>
            </w:r>
          </w:p>
        </w:tc>
        <w:tc>
          <w:tcPr>
            <w:tcW w:w="95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0,79</w:t>
            </w:r>
          </w:p>
        </w:tc>
        <w:tc>
          <w:tcPr>
            <w:tcW w:w="117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-79,80</w:t>
            </w:r>
          </w:p>
        </w:tc>
        <w:tc>
          <w:tcPr>
            <w:tcW w:w="12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-14,52</w:t>
            </w:r>
          </w:p>
        </w:tc>
      </w:tr>
      <w:tr>
        <w:trPr>
          <w:trHeight w:val="1" w:hRule="atLeast"/>
          <w:jc w:val="left"/>
        </w:trPr>
        <w:tc>
          <w:tcPr>
            <w:tcW w:w="2786" w:type="dxa"/>
            <w:tcBorders>
              <w:top w:val="single" w:color="000000" w:sz="0"/>
              <w:left w:val="single" w:color="000000" w:sz="4"/>
              <w:bottom w:val="single" w:color="000000" w:sz="4"/>
              <w:right w:val="single" w:color="000000" w:sz="4"/>
            </w:tcBorders>
            <w:shd w:color="000000" w:fill="b4c6e7" w:val="clear"/>
            <w:tcMar>
              <w:left w:w="108" w:type="dxa"/>
              <w:right w:w="108" w:type="dxa"/>
            </w:tcMar>
            <w:vAlign w:val="top"/>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SAOBRA</w:t>
            </w:r>
            <w:r>
              <w:rPr>
                <w:rFonts w:ascii="Calibri" w:hAnsi="Calibri" w:cs="Calibri" w:eastAsia="Calibri"/>
                <w:color w:val="000000"/>
                <w:spacing w:val="0"/>
                <w:position w:val="0"/>
                <w:sz w:val="16"/>
                <w:shd w:fill="auto" w:val="clear"/>
              </w:rPr>
              <w:t xml:space="preserve">ĆAJ</w:t>
            </w:r>
          </w:p>
        </w:tc>
        <w:tc>
          <w:tcPr>
            <w:tcW w:w="1168"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06"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83"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954"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72"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51"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2786" w:type="dxa"/>
            <w:tcBorders>
              <w:top w:val="single" w:color="000000" w:sz="0"/>
              <w:left w:val="single" w:color="000000" w:sz="4"/>
              <w:bottom w:val="single" w:color="000000" w:sz="4"/>
              <w:right w:val="single" w:color="000000" w:sz="4"/>
            </w:tcBorders>
            <w:shd w:color="000000" w:fill="d9e1f2" w:val="clear"/>
            <w:tcMar>
              <w:left w:w="108" w:type="dxa"/>
              <w:right w:w="108" w:type="dxa"/>
            </w:tcMar>
            <w:vAlign w:val="top"/>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Vozila u vlasništvu Op</w:t>
            </w:r>
            <w:r>
              <w:rPr>
                <w:rFonts w:ascii="Calibri" w:hAnsi="Calibri" w:cs="Calibri" w:eastAsia="Calibri"/>
                <w:color w:val="000000"/>
                <w:spacing w:val="0"/>
                <w:position w:val="0"/>
                <w:sz w:val="16"/>
                <w:shd w:fill="auto" w:val="clear"/>
              </w:rPr>
              <w:t xml:space="preserve">ćine</w:t>
            </w:r>
          </w:p>
        </w:tc>
        <w:tc>
          <w:tcPr>
            <w:tcW w:w="11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248,20</w:t>
            </w:r>
          </w:p>
        </w:tc>
        <w:tc>
          <w:tcPr>
            <w:tcW w:w="110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0,27</w:t>
            </w:r>
          </w:p>
        </w:tc>
        <w:tc>
          <w:tcPr>
            <w:tcW w:w="118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199,35</w:t>
            </w:r>
          </w:p>
        </w:tc>
        <w:tc>
          <w:tcPr>
            <w:tcW w:w="95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0,25</w:t>
            </w:r>
          </w:p>
        </w:tc>
        <w:tc>
          <w:tcPr>
            <w:tcW w:w="117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48,84</w:t>
            </w:r>
          </w:p>
        </w:tc>
        <w:tc>
          <w:tcPr>
            <w:tcW w:w="12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19,68</w:t>
            </w:r>
          </w:p>
        </w:tc>
      </w:tr>
      <w:tr>
        <w:trPr>
          <w:trHeight w:val="1" w:hRule="atLeast"/>
          <w:jc w:val="left"/>
        </w:trPr>
        <w:tc>
          <w:tcPr>
            <w:tcW w:w="2786" w:type="dxa"/>
            <w:tcBorders>
              <w:top w:val="single" w:color="000000" w:sz="0"/>
              <w:left w:val="single" w:color="000000" w:sz="4"/>
              <w:bottom w:val="single" w:color="000000" w:sz="4"/>
              <w:right w:val="single" w:color="000000" w:sz="4"/>
            </w:tcBorders>
            <w:shd w:color="000000" w:fill="d9e1f2" w:val="clear"/>
            <w:tcMar>
              <w:left w:w="108" w:type="dxa"/>
              <w:right w:w="108" w:type="dxa"/>
            </w:tcMar>
            <w:vAlign w:val="top"/>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Javni prijevoz</w:t>
            </w:r>
          </w:p>
        </w:tc>
        <w:tc>
          <w:tcPr>
            <w:tcW w:w="11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1.938,54</w:t>
            </w:r>
          </w:p>
        </w:tc>
        <w:tc>
          <w:tcPr>
            <w:tcW w:w="110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2,08</w:t>
            </w:r>
          </w:p>
        </w:tc>
        <w:tc>
          <w:tcPr>
            <w:tcW w:w="118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1.978,01</w:t>
            </w:r>
          </w:p>
        </w:tc>
        <w:tc>
          <w:tcPr>
            <w:tcW w:w="95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2,48</w:t>
            </w:r>
          </w:p>
        </w:tc>
        <w:tc>
          <w:tcPr>
            <w:tcW w:w="117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-39,47</w:t>
            </w:r>
          </w:p>
        </w:tc>
        <w:tc>
          <w:tcPr>
            <w:tcW w:w="12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-2,04</w:t>
            </w:r>
          </w:p>
        </w:tc>
      </w:tr>
      <w:tr>
        <w:trPr>
          <w:trHeight w:val="1" w:hRule="atLeast"/>
          <w:jc w:val="left"/>
        </w:trPr>
        <w:tc>
          <w:tcPr>
            <w:tcW w:w="2786" w:type="dxa"/>
            <w:tcBorders>
              <w:top w:val="single" w:color="000000" w:sz="0"/>
              <w:left w:val="single" w:color="000000" w:sz="4"/>
              <w:bottom w:val="single" w:color="000000" w:sz="4"/>
              <w:right w:val="single" w:color="000000" w:sz="4"/>
            </w:tcBorders>
            <w:shd w:color="000000" w:fill="d9e1f2" w:val="clear"/>
            <w:tcMar>
              <w:left w:w="108" w:type="dxa"/>
              <w:right w:w="108" w:type="dxa"/>
            </w:tcMar>
            <w:vAlign w:val="top"/>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Osobna i komercijalna vozila</w:t>
            </w:r>
          </w:p>
        </w:tc>
        <w:tc>
          <w:tcPr>
            <w:tcW w:w="11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31.991,21</w:t>
            </w:r>
          </w:p>
        </w:tc>
        <w:tc>
          <w:tcPr>
            <w:tcW w:w="110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34,40</w:t>
            </w:r>
          </w:p>
        </w:tc>
        <w:tc>
          <w:tcPr>
            <w:tcW w:w="118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27.156,69</w:t>
            </w:r>
          </w:p>
        </w:tc>
        <w:tc>
          <w:tcPr>
            <w:tcW w:w="95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34,09</w:t>
            </w:r>
          </w:p>
        </w:tc>
        <w:tc>
          <w:tcPr>
            <w:tcW w:w="117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4.834,51</w:t>
            </w:r>
          </w:p>
        </w:tc>
        <w:tc>
          <w:tcPr>
            <w:tcW w:w="12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15,11</w:t>
            </w:r>
          </w:p>
        </w:tc>
      </w:tr>
      <w:tr>
        <w:trPr>
          <w:trHeight w:val="1" w:hRule="atLeast"/>
          <w:jc w:val="left"/>
        </w:trPr>
        <w:tc>
          <w:tcPr>
            <w:tcW w:w="2786" w:type="dxa"/>
            <w:tcBorders>
              <w:top w:val="single" w:color="000000" w:sz="0"/>
              <w:left w:val="single" w:color="000000" w:sz="4"/>
              <w:bottom w:val="single" w:color="000000" w:sz="4"/>
              <w:right w:val="single" w:color="000000" w:sz="4"/>
            </w:tcBorders>
            <w:shd w:color="000000" w:fill="b4c6e7" w:val="clear"/>
            <w:tcMar>
              <w:left w:w="108" w:type="dxa"/>
              <w:right w:w="108" w:type="dxa"/>
            </w:tcMar>
            <w:vAlign w:val="top"/>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NEENERGETSKI SEKTORI</w:t>
            </w:r>
          </w:p>
        </w:tc>
        <w:tc>
          <w:tcPr>
            <w:tcW w:w="1168"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06"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83"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954"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72"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51"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2786" w:type="dxa"/>
            <w:tcBorders>
              <w:top w:val="single" w:color="000000" w:sz="0"/>
              <w:left w:val="single" w:color="000000" w:sz="4"/>
              <w:bottom w:val="single" w:color="000000" w:sz="4"/>
              <w:right w:val="single" w:color="000000" w:sz="4"/>
            </w:tcBorders>
            <w:shd w:color="000000" w:fill="d9e1f2" w:val="clear"/>
            <w:tcMar>
              <w:left w:w="108" w:type="dxa"/>
              <w:right w:w="108" w:type="dxa"/>
            </w:tcMar>
            <w:vAlign w:val="top"/>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Vodosnabdijevanje</w:t>
            </w:r>
          </w:p>
        </w:tc>
        <w:tc>
          <w:tcPr>
            <w:tcW w:w="11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305,53</w:t>
            </w:r>
          </w:p>
        </w:tc>
        <w:tc>
          <w:tcPr>
            <w:tcW w:w="1106" w:type="dxa"/>
            <w:tcBorders>
              <w:top w:val="single" w:color="000000" w:sz="0"/>
              <w:left w:val="single" w:color="000000" w:sz="0"/>
              <w:bottom w:val="single" w:color="000000" w:sz="0"/>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0,33</w:t>
            </w:r>
          </w:p>
        </w:tc>
        <w:tc>
          <w:tcPr>
            <w:tcW w:w="118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499,47</w:t>
            </w:r>
          </w:p>
        </w:tc>
        <w:tc>
          <w:tcPr>
            <w:tcW w:w="954" w:type="dxa"/>
            <w:tcBorders>
              <w:top w:val="single" w:color="000000" w:sz="0"/>
              <w:left w:val="single" w:color="000000" w:sz="0"/>
              <w:bottom w:val="single" w:color="000000" w:sz="0"/>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0,63</w:t>
            </w:r>
          </w:p>
        </w:tc>
        <w:tc>
          <w:tcPr>
            <w:tcW w:w="117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-193,95</w:t>
            </w:r>
          </w:p>
        </w:tc>
        <w:tc>
          <w:tcPr>
            <w:tcW w:w="1251" w:type="dxa"/>
            <w:tcBorders>
              <w:top w:val="single" w:color="000000" w:sz="0"/>
              <w:left w:val="single" w:color="000000" w:sz="0"/>
              <w:bottom w:val="single" w:color="000000" w:sz="0"/>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-63,48</w:t>
            </w:r>
          </w:p>
        </w:tc>
      </w:tr>
      <w:tr>
        <w:trPr>
          <w:trHeight w:val="1" w:hRule="atLeast"/>
          <w:jc w:val="left"/>
        </w:trPr>
        <w:tc>
          <w:tcPr>
            <w:tcW w:w="2786" w:type="dxa"/>
            <w:tcBorders>
              <w:top w:val="single" w:color="000000" w:sz="0"/>
              <w:left w:val="single" w:color="000000" w:sz="4"/>
              <w:bottom w:val="single" w:color="000000" w:sz="4"/>
              <w:right w:val="single" w:color="000000" w:sz="4"/>
            </w:tcBorders>
            <w:shd w:color="000000" w:fill="b4c6e7" w:val="clear"/>
            <w:tcMar>
              <w:left w:w="108" w:type="dxa"/>
              <w:right w:w="108"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UKUPNO</w:t>
            </w:r>
          </w:p>
        </w:tc>
        <w:tc>
          <w:tcPr>
            <w:tcW w:w="1168" w:type="dxa"/>
            <w:tcBorders>
              <w:top w:val="single" w:color="000000" w:sz="0"/>
              <w:left w:val="single" w:color="000000" w:sz="0"/>
              <w:bottom w:val="single" w:color="000000" w:sz="4"/>
              <w:right w:val="single" w:color="000000" w:sz="4"/>
            </w:tcBorders>
            <w:shd w:color="000000" w:fill="d9e1f2"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92.988,22</w:t>
            </w:r>
          </w:p>
        </w:tc>
        <w:tc>
          <w:tcPr>
            <w:tcW w:w="1106" w:type="dxa"/>
            <w:tcBorders>
              <w:top w:val="single" w:color="000000" w:sz="4"/>
              <w:left w:val="single" w:color="000000" w:sz="0"/>
              <w:bottom w:val="single" w:color="000000" w:sz="4"/>
              <w:right w:val="single" w:color="000000" w:sz="4"/>
            </w:tcBorders>
            <w:shd w:color="000000" w:fill="d9e1f2"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100,00</w:t>
            </w:r>
          </w:p>
        </w:tc>
        <w:tc>
          <w:tcPr>
            <w:tcW w:w="1183" w:type="dxa"/>
            <w:tcBorders>
              <w:top w:val="single" w:color="000000" w:sz="0"/>
              <w:left w:val="single" w:color="000000" w:sz="0"/>
              <w:bottom w:val="single" w:color="000000" w:sz="4"/>
              <w:right w:val="single" w:color="000000" w:sz="4"/>
            </w:tcBorders>
            <w:shd w:color="000000" w:fill="d9e1f2"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79.673,34</w:t>
            </w:r>
          </w:p>
        </w:tc>
        <w:tc>
          <w:tcPr>
            <w:tcW w:w="954" w:type="dxa"/>
            <w:tcBorders>
              <w:top w:val="single" w:color="000000" w:sz="4"/>
              <w:left w:val="single" w:color="000000" w:sz="0"/>
              <w:bottom w:val="single" w:color="000000" w:sz="4"/>
              <w:right w:val="single" w:color="000000" w:sz="4"/>
            </w:tcBorders>
            <w:shd w:color="000000" w:fill="d9e1f2"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100,00</w:t>
            </w:r>
          </w:p>
        </w:tc>
        <w:tc>
          <w:tcPr>
            <w:tcW w:w="1172" w:type="dxa"/>
            <w:tcBorders>
              <w:top w:val="single" w:color="000000" w:sz="0"/>
              <w:left w:val="single" w:color="000000" w:sz="0"/>
              <w:bottom w:val="single" w:color="000000" w:sz="4"/>
              <w:right w:val="single" w:color="000000" w:sz="4"/>
            </w:tcBorders>
            <w:shd w:color="000000" w:fill="d9e1f2"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13.314,88</w:t>
            </w:r>
          </w:p>
        </w:tc>
        <w:tc>
          <w:tcPr>
            <w:tcW w:w="1251" w:type="dxa"/>
            <w:tcBorders>
              <w:top w:val="single" w:color="000000" w:sz="8"/>
              <w:left w:val="single" w:color="000000" w:sz="8"/>
              <w:bottom w:val="single" w:color="000000" w:sz="8"/>
              <w:right w:val="single" w:color="000000" w:sz="8"/>
            </w:tcBorders>
            <w:shd w:color="000000" w:fill="d9e1f2"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14,32%</w:t>
            </w:r>
          </w:p>
        </w:tc>
      </w:tr>
    </w:tbl>
    <w:p>
      <w:pPr>
        <w:spacing w:before="0" w:after="200" w:line="240"/>
        <w:ind w:right="0" w:left="0" w:firstLine="0"/>
        <w:jc w:val="left"/>
        <w:rPr>
          <w:rFonts w:ascii="Calibri" w:hAnsi="Calibri" w:cs="Calibri" w:eastAsia="Calibri"/>
          <w:i/>
          <w:color w:val="auto"/>
          <w:spacing w:val="0"/>
          <w:position w:val="0"/>
          <w:sz w:val="18"/>
          <w:shd w:fill="auto" w:val="clear"/>
        </w:rPr>
      </w:pPr>
      <w:r>
        <w:rPr>
          <w:rFonts w:ascii="Calibri" w:hAnsi="Calibri" w:cs="Calibri" w:eastAsia="Calibri"/>
          <w:i/>
          <w:color w:val="auto"/>
          <w:spacing w:val="0"/>
          <w:position w:val="0"/>
          <w:sz w:val="18"/>
          <w:shd w:fill="auto" w:val="clear"/>
        </w:rPr>
        <w:t xml:space="preserve">Tabela 2-1: Pore</w:t>
      </w:r>
      <w:r>
        <w:rPr>
          <w:rFonts w:ascii="Calibri" w:hAnsi="Calibri" w:cs="Calibri" w:eastAsia="Calibri"/>
          <w:i/>
          <w:color w:val="auto"/>
          <w:spacing w:val="0"/>
          <w:position w:val="0"/>
          <w:sz w:val="18"/>
          <w:shd w:fill="auto" w:val="clear"/>
        </w:rPr>
        <w:t xml:space="preserve">đenje ukupne potrošnje finalne energije i potrošnje po razmatranim sektorima u baznoj i kontrolnoj godini</w:t>
      </w:r>
    </w:p>
    <w:p>
      <w:pPr>
        <w:spacing w:before="60" w:after="160" w:line="240"/>
        <w:ind w:right="0" w:left="0" w:firstLine="0"/>
        <w:jc w:val="center"/>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Dijagram 2-1: Grafi</w:t>
      </w:r>
      <w:r>
        <w:rPr>
          <w:rFonts w:ascii="Calibri" w:hAnsi="Calibri" w:cs="Calibri" w:eastAsia="Calibri"/>
          <w:color w:val="auto"/>
          <w:spacing w:val="0"/>
          <w:position w:val="0"/>
          <w:sz w:val="18"/>
          <w:shd w:fill="auto" w:val="clear"/>
        </w:rPr>
        <w:t xml:space="preserve">čki prikaz promjena potrošnje finalne energije po razmatranim sektorima u baznoj i kontrolnoj godini</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Evidentno je da je u periodu 2010-2020 najve</w:t>
      </w:r>
      <w:r>
        <w:rPr>
          <w:rFonts w:ascii="Calibri" w:hAnsi="Calibri" w:cs="Calibri" w:eastAsia="Calibri"/>
          <w:color w:val="auto"/>
          <w:spacing w:val="0"/>
          <w:position w:val="0"/>
          <w:sz w:val="20"/>
          <w:shd w:fill="auto" w:val="clear"/>
        </w:rPr>
        <w:t xml:space="preserve">će smanjenje apsolutnih vrijednosti potrošnje energije ostvareno u sektoru zgradarstva, naročito u podsektoru stambenih zgrada u kojem se potrošnja energije do kontrolne 2020. godine smanjila za 7827,12 MWh, odnosno za 14,14 % u odnosu na baznu 2010. godinu. Glavni razlog ovog napretka je spremnost građana za provođenje mjera energetske efikasnosti i korištenje efikasnijih sistema grijanja, koja je evidentirana anketiranjem domaćinstava u fazi prikupljanja ulaznih podataka. </w:t>
      </w:r>
    </w:p>
    <w:p>
      <w:pPr>
        <w:spacing w:before="60" w:after="12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Pore</w:t>
      </w:r>
      <w:r>
        <w:rPr>
          <w:rFonts w:ascii="Calibri" w:hAnsi="Calibri" w:cs="Calibri" w:eastAsia="Calibri"/>
          <w:color w:val="auto"/>
          <w:spacing w:val="0"/>
          <w:position w:val="0"/>
          <w:sz w:val="20"/>
          <w:shd w:fill="auto" w:val="clear"/>
        </w:rPr>
        <w:t xml:space="preserve">đenje emisija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u baznom i kontrolnom inventaru pokazuje da su emisije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na području općine Doboj Istok u kontrolnoj 2020. godini  za 21,76 % manje u odnosu na baznu 2010. godinu. Prikaz promjena ukupnih emisija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te udjela pojedinih sektora u ukupnim emisijama, u periodu od bazne do kontrolne godine, dat je u narednoj tabeli.</w:t>
      </w:r>
    </w:p>
    <w:tbl>
      <w:tblPr/>
      <w:tblGrid>
        <w:gridCol w:w="2709"/>
        <w:gridCol w:w="1102"/>
        <w:gridCol w:w="1179"/>
        <w:gridCol w:w="1101"/>
        <w:gridCol w:w="1045"/>
        <w:gridCol w:w="1095"/>
        <w:gridCol w:w="1389"/>
      </w:tblGrid>
      <w:tr>
        <w:trPr>
          <w:trHeight w:val="1" w:hRule="atLeast"/>
          <w:jc w:val="left"/>
        </w:trPr>
        <w:tc>
          <w:tcPr>
            <w:tcW w:w="2709" w:type="dxa"/>
            <w:vMerge w:val="restart"/>
            <w:tcBorders>
              <w:top w:val="single" w:color="000000" w:sz="4"/>
              <w:left w:val="single" w:color="000000" w:sz="4"/>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SEKTORI</w:t>
            </w:r>
          </w:p>
        </w:tc>
        <w:tc>
          <w:tcPr>
            <w:tcW w:w="2281" w:type="dxa"/>
            <w:gridSpan w:val="2"/>
            <w:tcBorders>
              <w:top w:val="single" w:color="000000" w:sz="4"/>
              <w:left w:val="single" w:color="000000" w:sz="0"/>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center"/>
              <w:rPr>
                <w:rFonts w:ascii="Calibri" w:hAnsi="Calibri" w:cs="Calibri" w:eastAsia="Calibri"/>
                <w:color w:val="000000"/>
                <w:spacing w:val="0"/>
                <w:position w:val="0"/>
                <w:sz w:val="16"/>
                <w:shd w:fill="auto" w:val="clear"/>
              </w:rPr>
            </w:pPr>
            <w:r>
              <w:rPr>
                <w:rFonts w:ascii="Calibri" w:hAnsi="Calibri" w:cs="Calibri" w:eastAsia="Calibri"/>
                <w:color w:val="000000"/>
                <w:spacing w:val="0"/>
                <w:position w:val="0"/>
                <w:sz w:val="16"/>
                <w:shd w:fill="auto" w:val="clear"/>
              </w:rPr>
              <w:t xml:space="preserve">REFERENTNI INVNETAR </w:t>
            </w:r>
          </w:p>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u 2010. godini</w:t>
            </w:r>
          </w:p>
        </w:tc>
        <w:tc>
          <w:tcPr>
            <w:tcW w:w="2146" w:type="dxa"/>
            <w:gridSpan w:val="2"/>
            <w:tcBorders>
              <w:top w:val="single" w:color="000000" w:sz="4"/>
              <w:left w:val="single" w:color="000000" w:sz="0"/>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center"/>
              <w:rPr>
                <w:rFonts w:ascii="Calibri" w:hAnsi="Calibri" w:cs="Calibri" w:eastAsia="Calibri"/>
                <w:color w:val="000000"/>
                <w:spacing w:val="0"/>
                <w:position w:val="0"/>
                <w:sz w:val="16"/>
                <w:shd w:fill="auto" w:val="clear"/>
              </w:rPr>
            </w:pPr>
            <w:r>
              <w:rPr>
                <w:rFonts w:ascii="Calibri" w:hAnsi="Calibri" w:cs="Calibri" w:eastAsia="Calibri"/>
                <w:color w:val="000000"/>
                <w:spacing w:val="0"/>
                <w:position w:val="0"/>
                <w:sz w:val="16"/>
                <w:shd w:fill="auto" w:val="clear"/>
              </w:rPr>
              <w:t xml:space="preserve">KONTROLNI INVENTAR </w:t>
            </w:r>
          </w:p>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u 2020. godini</w:t>
            </w:r>
          </w:p>
        </w:tc>
        <w:tc>
          <w:tcPr>
            <w:tcW w:w="2484" w:type="dxa"/>
            <w:gridSpan w:val="2"/>
            <w:tcBorders>
              <w:top w:val="single" w:color="000000" w:sz="4"/>
              <w:left w:val="single" w:color="000000" w:sz="0"/>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OSTVARENO SMANJENJE EMISIJA CO₂</w:t>
            </w:r>
          </w:p>
        </w:tc>
      </w:tr>
      <w:tr>
        <w:trPr>
          <w:trHeight w:val="1" w:hRule="atLeast"/>
          <w:jc w:val="left"/>
        </w:trPr>
        <w:tc>
          <w:tcPr>
            <w:tcW w:w="2709"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102"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Emisije CO₂ [tCO₂]</w:t>
            </w:r>
          </w:p>
        </w:tc>
        <w:tc>
          <w:tcPr>
            <w:tcW w:w="1179"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Udio pojedinih sektora [%]</w:t>
            </w:r>
          </w:p>
        </w:tc>
        <w:tc>
          <w:tcPr>
            <w:tcW w:w="1101"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Emisije CO₂ [tCO₂]</w:t>
            </w:r>
          </w:p>
        </w:tc>
        <w:tc>
          <w:tcPr>
            <w:tcW w:w="1045"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Udio pojedinih sektora [%]</w:t>
            </w:r>
          </w:p>
        </w:tc>
        <w:tc>
          <w:tcPr>
            <w:tcW w:w="1095"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Emisije CO₂ [tCO₂]</w:t>
            </w:r>
          </w:p>
        </w:tc>
        <w:tc>
          <w:tcPr>
            <w:tcW w:w="1389"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Smanjenje CO₂ po sektorima [%]</w:t>
            </w:r>
          </w:p>
        </w:tc>
      </w:tr>
      <w:tr>
        <w:trPr>
          <w:trHeight w:val="1" w:hRule="atLeast"/>
          <w:jc w:val="left"/>
        </w:trPr>
        <w:tc>
          <w:tcPr>
            <w:tcW w:w="2709" w:type="dxa"/>
            <w:tcBorders>
              <w:top w:val="single" w:color="000000" w:sz="0"/>
              <w:left w:val="single" w:color="000000" w:sz="4"/>
              <w:bottom w:val="single" w:color="000000" w:sz="4"/>
              <w:right w:val="single" w:color="000000" w:sz="4"/>
            </w:tcBorders>
            <w:shd w:color="000000" w:fill="b4c6e7" w:val="clear"/>
            <w:tcMar>
              <w:left w:w="108" w:type="dxa"/>
              <w:right w:w="108"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ZGRADARSTVO I JAVNA RASVJETA</w:t>
            </w:r>
          </w:p>
        </w:tc>
        <w:tc>
          <w:tcPr>
            <w:tcW w:w="1102"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 </w:t>
            </w:r>
          </w:p>
        </w:tc>
        <w:tc>
          <w:tcPr>
            <w:tcW w:w="1179"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 </w:t>
            </w:r>
          </w:p>
        </w:tc>
        <w:tc>
          <w:tcPr>
            <w:tcW w:w="1101"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 </w:t>
            </w:r>
          </w:p>
        </w:tc>
        <w:tc>
          <w:tcPr>
            <w:tcW w:w="1045"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 </w:t>
            </w:r>
          </w:p>
        </w:tc>
        <w:tc>
          <w:tcPr>
            <w:tcW w:w="1095"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 </w:t>
            </w:r>
          </w:p>
        </w:tc>
        <w:tc>
          <w:tcPr>
            <w:tcW w:w="1389"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 </w:t>
            </w:r>
          </w:p>
        </w:tc>
      </w:tr>
      <w:tr>
        <w:trPr>
          <w:trHeight w:val="1" w:hRule="atLeast"/>
          <w:jc w:val="left"/>
        </w:trPr>
        <w:tc>
          <w:tcPr>
            <w:tcW w:w="2709" w:type="dxa"/>
            <w:tcBorders>
              <w:top w:val="single" w:color="000000" w:sz="0"/>
              <w:left w:val="single" w:color="000000" w:sz="4"/>
              <w:bottom w:val="single" w:color="000000" w:sz="4"/>
              <w:right w:val="single" w:color="000000" w:sz="4"/>
            </w:tcBorders>
            <w:shd w:color="000000" w:fill="d9e1f2" w:val="clear"/>
            <w:tcMar>
              <w:left w:w="108" w:type="dxa"/>
              <w:right w:w="108"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Javne zgrade u vlasništvu Op</w:t>
            </w:r>
            <w:r>
              <w:rPr>
                <w:rFonts w:ascii="Calibri" w:hAnsi="Calibri" w:cs="Calibri" w:eastAsia="Calibri"/>
                <w:color w:val="000000"/>
                <w:spacing w:val="0"/>
                <w:position w:val="0"/>
                <w:sz w:val="16"/>
                <w:shd w:fill="auto" w:val="clear"/>
              </w:rPr>
              <w:t xml:space="preserve">ćine</w:t>
            </w:r>
          </w:p>
        </w:tc>
        <w:tc>
          <w:tcPr>
            <w:tcW w:w="110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826,39</w:t>
            </w:r>
          </w:p>
        </w:tc>
        <w:tc>
          <w:tcPr>
            <w:tcW w:w="117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2,72</w:t>
            </w:r>
          </w:p>
        </w:tc>
        <w:tc>
          <w:tcPr>
            <w:tcW w:w="110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876,86</w:t>
            </w:r>
          </w:p>
        </w:tc>
        <w:tc>
          <w:tcPr>
            <w:tcW w:w="104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3,69</w:t>
            </w:r>
          </w:p>
        </w:tc>
        <w:tc>
          <w:tcPr>
            <w:tcW w:w="109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-50,47</w:t>
            </w:r>
          </w:p>
        </w:tc>
        <w:tc>
          <w:tcPr>
            <w:tcW w:w="138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-6,11</w:t>
            </w:r>
          </w:p>
        </w:tc>
      </w:tr>
      <w:tr>
        <w:trPr>
          <w:trHeight w:val="1" w:hRule="atLeast"/>
          <w:jc w:val="left"/>
        </w:trPr>
        <w:tc>
          <w:tcPr>
            <w:tcW w:w="2709" w:type="dxa"/>
            <w:tcBorders>
              <w:top w:val="single" w:color="000000" w:sz="0"/>
              <w:left w:val="single" w:color="000000" w:sz="4"/>
              <w:bottom w:val="single" w:color="000000" w:sz="4"/>
              <w:right w:val="single" w:color="000000" w:sz="4"/>
            </w:tcBorders>
            <w:shd w:color="000000" w:fill="d9e1f2" w:val="clear"/>
            <w:tcMar>
              <w:left w:w="108" w:type="dxa"/>
              <w:right w:w="108"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Javne zgrade koje nisu u vlasništvu Op</w:t>
            </w:r>
            <w:r>
              <w:rPr>
                <w:rFonts w:ascii="Calibri" w:hAnsi="Calibri" w:cs="Calibri" w:eastAsia="Calibri"/>
                <w:color w:val="000000"/>
                <w:spacing w:val="0"/>
                <w:position w:val="0"/>
                <w:sz w:val="16"/>
                <w:shd w:fill="auto" w:val="clear"/>
              </w:rPr>
              <w:t xml:space="preserve">ćine</w:t>
            </w:r>
          </w:p>
        </w:tc>
        <w:tc>
          <w:tcPr>
            <w:tcW w:w="110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544,67</w:t>
            </w:r>
          </w:p>
        </w:tc>
        <w:tc>
          <w:tcPr>
            <w:tcW w:w="117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1,80</w:t>
            </w:r>
          </w:p>
        </w:tc>
        <w:tc>
          <w:tcPr>
            <w:tcW w:w="110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348,44</w:t>
            </w:r>
          </w:p>
        </w:tc>
        <w:tc>
          <w:tcPr>
            <w:tcW w:w="104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1,47</w:t>
            </w:r>
          </w:p>
        </w:tc>
        <w:tc>
          <w:tcPr>
            <w:tcW w:w="109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196,23</w:t>
            </w:r>
          </w:p>
        </w:tc>
        <w:tc>
          <w:tcPr>
            <w:tcW w:w="138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36,03</w:t>
            </w:r>
          </w:p>
        </w:tc>
      </w:tr>
      <w:tr>
        <w:trPr>
          <w:trHeight w:val="1" w:hRule="atLeast"/>
          <w:jc w:val="left"/>
        </w:trPr>
        <w:tc>
          <w:tcPr>
            <w:tcW w:w="2709" w:type="dxa"/>
            <w:tcBorders>
              <w:top w:val="single" w:color="000000" w:sz="0"/>
              <w:left w:val="single" w:color="000000" w:sz="4"/>
              <w:bottom w:val="single" w:color="000000" w:sz="4"/>
              <w:right w:val="single" w:color="000000" w:sz="4"/>
            </w:tcBorders>
            <w:shd w:color="000000" w:fill="d9e1f2" w:val="clear"/>
            <w:tcMar>
              <w:left w:w="108" w:type="dxa"/>
              <w:right w:w="108"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Stambene zgrade</w:t>
            </w:r>
          </w:p>
        </w:tc>
        <w:tc>
          <w:tcPr>
            <w:tcW w:w="110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19.390,47</w:t>
            </w:r>
          </w:p>
        </w:tc>
        <w:tc>
          <w:tcPr>
            <w:tcW w:w="117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63,92</w:t>
            </w:r>
          </w:p>
        </w:tc>
        <w:tc>
          <w:tcPr>
            <w:tcW w:w="110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13.922,42</w:t>
            </w:r>
          </w:p>
        </w:tc>
        <w:tc>
          <w:tcPr>
            <w:tcW w:w="104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58,65</w:t>
            </w:r>
          </w:p>
        </w:tc>
        <w:tc>
          <w:tcPr>
            <w:tcW w:w="109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5.468,05</w:t>
            </w:r>
          </w:p>
        </w:tc>
        <w:tc>
          <w:tcPr>
            <w:tcW w:w="138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28,20</w:t>
            </w:r>
          </w:p>
        </w:tc>
      </w:tr>
      <w:tr>
        <w:trPr>
          <w:trHeight w:val="1" w:hRule="atLeast"/>
          <w:jc w:val="left"/>
        </w:trPr>
        <w:tc>
          <w:tcPr>
            <w:tcW w:w="2709" w:type="dxa"/>
            <w:tcBorders>
              <w:top w:val="single" w:color="000000" w:sz="0"/>
              <w:left w:val="single" w:color="000000" w:sz="4"/>
              <w:bottom w:val="single" w:color="000000" w:sz="4"/>
              <w:right w:val="single" w:color="000000" w:sz="4"/>
            </w:tcBorders>
            <w:shd w:color="000000" w:fill="d9e1f2" w:val="clear"/>
            <w:tcMar>
              <w:left w:w="108" w:type="dxa"/>
              <w:right w:w="108"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Javna rasvjeta</w:t>
            </w:r>
          </w:p>
        </w:tc>
        <w:tc>
          <w:tcPr>
            <w:tcW w:w="110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417,77</w:t>
            </w:r>
          </w:p>
        </w:tc>
        <w:tc>
          <w:tcPr>
            <w:tcW w:w="117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1,38</w:t>
            </w:r>
          </w:p>
        </w:tc>
        <w:tc>
          <w:tcPr>
            <w:tcW w:w="110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478,42</w:t>
            </w:r>
          </w:p>
        </w:tc>
        <w:tc>
          <w:tcPr>
            <w:tcW w:w="104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2,02</w:t>
            </w:r>
          </w:p>
        </w:tc>
        <w:tc>
          <w:tcPr>
            <w:tcW w:w="109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-60,65</w:t>
            </w:r>
          </w:p>
        </w:tc>
        <w:tc>
          <w:tcPr>
            <w:tcW w:w="138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-14,52</w:t>
            </w:r>
          </w:p>
        </w:tc>
      </w:tr>
      <w:tr>
        <w:trPr>
          <w:trHeight w:val="1" w:hRule="atLeast"/>
          <w:jc w:val="left"/>
        </w:trPr>
        <w:tc>
          <w:tcPr>
            <w:tcW w:w="2709" w:type="dxa"/>
            <w:tcBorders>
              <w:top w:val="single" w:color="000000" w:sz="0"/>
              <w:left w:val="single" w:color="000000" w:sz="4"/>
              <w:bottom w:val="single" w:color="000000" w:sz="4"/>
              <w:right w:val="single" w:color="000000" w:sz="4"/>
            </w:tcBorders>
            <w:shd w:color="000000" w:fill="b4c6e7" w:val="clear"/>
            <w:tcMar>
              <w:left w:w="108" w:type="dxa"/>
              <w:right w:w="108"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SAOBRA</w:t>
            </w:r>
            <w:r>
              <w:rPr>
                <w:rFonts w:ascii="Calibri" w:hAnsi="Calibri" w:cs="Calibri" w:eastAsia="Calibri"/>
                <w:color w:val="000000"/>
                <w:spacing w:val="0"/>
                <w:position w:val="0"/>
                <w:sz w:val="16"/>
                <w:shd w:fill="auto" w:val="clear"/>
              </w:rPr>
              <w:t xml:space="preserve">ĆAJ</w:t>
            </w:r>
          </w:p>
        </w:tc>
        <w:tc>
          <w:tcPr>
            <w:tcW w:w="1102"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79"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01"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045"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095"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89"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2709" w:type="dxa"/>
            <w:tcBorders>
              <w:top w:val="single" w:color="000000" w:sz="0"/>
              <w:left w:val="single" w:color="000000" w:sz="4"/>
              <w:bottom w:val="single" w:color="000000" w:sz="4"/>
              <w:right w:val="single" w:color="000000" w:sz="4"/>
            </w:tcBorders>
            <w:shd w:color="000000" w:fill="d9e1f2" w:val="clear"/>
            <w:tcMar>
              <w:left w:w="108" w:type="dxa"/>
              <w:right w:w="108"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Vozila u vlasništvu Op</w:t>
            </w:r>
            <w:r>
              <w:rPr>
                <w:rFonts w:ascii="Calibri" w:hAnsi="Calibri" w:cs="Calibri" w:eastAsia="Calibri"/>
                <w:color w:val="000000"/>
                <w:spacing w:val="0"/>
                <w:position w:val="0"/>
                <w:sz w:val="16"/>
                <w:shd w:fill="auto" w:val="clear"/>
              </w:rPr>
              <w:t xml:space="preserve">ćine</w:t>
            </w:r>
          </w:p>
        </w:tc>
        <w:tc>
          <w:tcPr>
            <w:tcW w:w="110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66,03</w:t>
            </w:r>
          </w:p>
        </w:tc>
        <w:tc>
          <w:tcPr>
            <w:tcW w:w="117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0,22</w:t>
            </w:r>
          </w:p>
        </w:tc>
        <w:tc>
          <w:tcPr>
            <w:tcW w:w="110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52,80</w:t>
            </w:r>
          </w:p>
        </w:tc>
        <w:tc>
          <w:tcPr>
            <w:tcW w:w="104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0,22</w:t>
            </w:r>
          </w:p>
        </w:tc>
        <w:tc>
          <w:tcPr>
            <w:tcW w:w="109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13,24</w:t>
            </w:r>
          </w:p>
        </w:tc>
        <w:tc>
          <w:tcPr>
            <w:tcW w:w="138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20,05</w:t>
            </w:r>
          </w:p>
        </w:tc>
      </w:tr>
      <w:tr>
        <w:trPr>
          <w:trHeight w:val="1" w:hRule="atLeast"/>
          <w:jc w:val="left"/>
        </w:trPr>
        <w:tc>
          <w:tcPr>
            <w:tcW w:w="2709" w:type="dxa"/>
            <w:tcBorders>
              <w:top w:val="single" w:color="000000" w:sz="0"/>
              <w:left w:val="single" w:color="000000" w:sz="4"/>
              <w:bottom w:val="single" w:color="000000" w:sz="4"/>
              <w:right w:val="single" w:color="000000" w:sz="4"/>
            </w:tcBorders>
            <w:shd w:color="000000" w:fill="d9e1f2" w:val="clear"/>
            <w:tcMar>
              <w:left w:w="108" w:type="dxa"/>
              <w:right w:w="108"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Javni prijevoz</w:t>
            </w:r>
          </w:p>
        </w:tc>
        <w:tc>
          <w:tcPr>
            <w:tcW w:w="110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517,59</w:t>
            </w:r>
          </w:p>
        </w:tc>
        <w:tc>
          <w:tcPr>
            <w:tcW w:w="117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1,71</w:t>
            </w:r>
          </w:p>
        </w:tc>
        <w:tc>
          <w:tcPr>
            <w:tcW w:w="110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528,13</w:t>
            </w:r>
          </w:p>
        </w:tc>
        <w:tc>
          <w:tcPr>
            <w:tcW w:w="104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2,22</w:t>
            </w:r>
          </w:p>
        </w:tc>
        <w:tc>
          <w:tcPr>
            <w:tcW w:w="109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-10,54</w:t>
            </w:r>
          </w:p>
        </w:tc>
        <w:tc>
          <w:tcPr>
            <w:tcW w:w="138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-2,04</w:t>
            </w:r>
          </w:p>
        </w:tc>
      </w:tr>
      <w:tr>
        <w:trPr>
          <w:trHeight w:val="1" w:hRule="atLeast"/>
          <w:jc w:val="left"/>
        </w:trPr>
        <w:tc>
          <w:tcPr>
            <w:tcW w:w="2709" w:type="dxa"/>
            <w:tcBorders>
              <w:top w:val="single" w:color="000000" w:sz="0"/>
              <w:left w:val="single" w:color="000000" w:sz="4"/>
              <w:bottom w:val="single" w:color="000000" w:sz="4"/>
              <w:right w:val="single" w:color="000000" w:sz="4"/>
            </w:tcBorders>
            <w:shd w:color="000000" w:fill="d9e1f2" w:val="clear"/>
            <w:tcMar>
              <w:left w:w="108" w:type="dxa"/>
              <w:right w:w="108"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Osobna i komercijalna vozila</w:t>
            </w:r>
          </w:p>
        </w:tc>
        <w:tc>
          <w:tcPr>
            <w:tcW w:w="110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8.341,76</w:t>
            </w:r>
          </w:p>
        </w:tc>
        <w:tc>
          <w:tcPr>
            <w:tcW w:w="117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27,50</w:t>
            </w:r>
          </w:p>
        </w:tc>
        <w:tc>
          <w:tcPr>
            <w:tcW w:w="110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7.150,09</w:t>
            </w:r>
          </w:p>
        </w:tc>
        <w:tc>
          <w:tcPr>
            <w:tcW w:w="104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30,12</w:t>
            </w:r>
          </w:p>
        </w:tc>
        <w:tc>
          <w:tcPr>
            <w:tcW w:w="109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1.191,68</w:t>
            </w:r>
          </w:p>
        </w:tc>
        <w:tc>
          <w:tcPr>
            <w:tcW w:w="138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14,29</w:t>
            </w:r>
          </w:p>
        </w:tc>
      </w:tr>
      <w:tr>
        <w:trPr>
          <w:trHeight w:val="1" w:hRule="atLeast"/>
          <w:jc w:val="left"/>
        </w:trPr>
        <w:tc>
          <w:tcPr>
            <w:tcW w:w="2709" w:type="dxa"/>
            <w:tcBorders>
              <w:top w:val="single" w:color="000000" w:sz="0"/>
              <w:left w:val="single" w:color="000000" w:sz="4"/>
              <w:bottom w:val="single" w:color="000000" w:sz="4"/>
              <w:right w:val="single" w:color="000000" w:sz="4"/>
            </w:tcBorders>
            <w:shd w:color="000000" w:fill="b4c6e7" w:val="clear"/>
            <w:tcMar>
              <w:left w:w="108" w:type="dxa"/>
              <w:right w:w="108"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N-ENERGETSKI SEKTORI</w:t>
            </w:r>
          </w:p>
        </w:tc>
        <w:tc>
          <w:tcPr>
            <w:tcW w:w="1102"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79"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01"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045"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095"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89"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2709" w:type="dxa"/>
            <w:tcBorders>
              <w:top w:val="single" w:color="000000" w:sz="0"/>
              <w:left w:val="single" w:color="000000" w:sz="4"/>
              <w:bottom w:val="single" w:color="000000" w:sz="4"/>
              <w:right w:val="single" w:color="000000" w:sz="4"/>
            </w:tcBorders>
            <w:shd w:color="000000" w:fill="d9e1f2" w:val="clear"/>
            <w:tcMar>
              <w:left w:w="108" w:type="dxa"/>
              <w:right w:w="108"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Vodosnabdijevanje</w:t>
            </w:r>
          </w:p>
        </w:tc>
        <w:tc>
          <w:tcPr>
            <w:tcW w:w="110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232,20</w:t>
            </w:r>
          </w:p>
        </w:tc>
        <w:tc>
          <w:tcPr>
            <w:tcW w:w="1179" w:type="dxa"/>
            <w:tcBorders>
              <w:top w:val="single" w:color="000000" w:sz="0"/>
              <w:left w:val="single" w:color="000000" w:sz="0"/>
              <w:bottom w:val="single" w:color="000000" w:sz="0"/>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0,77</w:t>
            </w:r>
          </w:p>
        </w:tc>
        <w:tc>
          <w:tcPr>
            <w:tcW w:w="110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379,60</w:t>
            </w:r>
          </w:p>
        </w:tc>
        <w:tc>
          <w:tcPr>
            <w:tcW w:w="1045" w:type="dxa"/>
            <w:tcBorders>
              <w:top w:val="single" w:color="000000" w:sz="0"/>
              <w:left w:val="single" w:color="000000" w:sz="0"/>
              <w:bottom w:val="single" w:color="000000" w:sz="0"/>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1,60</w:t>
            </w:r>
          </w:p>
        </w:tc>
        <w:tc>
          <w:tcPr>
            <w:tcW w:w="109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-147,40</w:t>
            </w:r>
          </w:p>
        </w:tc>
        <w:tc>
          <w:tcPr>
            <w:tcW w:w="1389" w:type="dxa"/>
            <w:tcBorders>
              <w:top w:val="single" w:color="000000" w:sz="0"/>
              <w:left w:val="single" w:color="000000" w:sz="0"/>
              <w:bottom w:val="single" w:color="000000" w:sz="0"/>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-63,48</w:t>
            </w:r>
          </w:p>
        </w:tc>
      </w:tr>
      <w:tr>
        <w:trPr>
          <w:trHeight w:val="1" w:hRule="atLeast"/>
          <w:jc w:val="left"/>
        </w:trPr>
        <w:tc>
          <w:tcPr>
            <w:tcW w:w="2709" w:type="dxa"/>
            <w:tcBorders>
              <w:top w:val="single" w:color="000000" w:sz="0"/>
              <w:left w:val="single" w:color="000000" w:sz="4"/>
              <w:bottom w:val="single" w:color="000000" w:sz="4"/>
              <w:right w:val="single" w:color="000000" w:sz="4"/>
            </w:tcBorders>
            <w:shd w:color="000000" w:fill="b4c6e7" w:val="clear"/>
            <w:tcMar>
              <w:left w:w="108" w:type="dxa"/>
              <w:right w:w="108"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UKUPNO</w:t>
            </w:r>
          </w:p>
        </w:tc>
        <w:tc>
          <w:tcPr>
            <w:tcW w:w="1102" w:type="dxa"/>
            <w:tcBorders>
              <w:top w:val="single" w:color="000000" w:sz="0"/>
              <w:left w:val="single" w:color="000000" w:sz="0"/>
              <w:bottom w:val="single" w:color="000000" w:sz="4"/>
              <w:right w:val="single" w:color="000000" w:sz="4"/>
            </w:tcBorders>
            <w:shd w:color="000000" w:fill="d9e1f2"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30.336,89</w:t>
            </w:r>
          </w:p>
        </w:tc>
        <w:tc>
          <w:tcPr>
            <w:tcW w:w="1179" w:type="dxa"/>
            <w:tcBorders>
              <w:top w:val="single" w:color="000000" w:sz="4"/>
              <w:left w:val="single" w:color="000000" w:sz="0"/>
              <w:bottom w:val="single" w:color="000000" w:sz="4"/>
              <w:right w:val="single" w:color="000000" w:sz="4"/>
            </w:tcBorders>
            <w:shd w:color="000000" w:fill="d9e1f2"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100,00</w:t>
            </w:r>
          </w:p>
        </w:tc>
        <w:tc>
          <w:tcPr>
            <w:tcW w:w="1101" w:type="dxa"/>
            <w:tcBorders>
              <w:top w:val="single" w:color="000000" w:sz="0"/>
              <w:left w:val="single" w:color="000000" w:sz="0"/>
              <w:bottom w:val="single" w:color="000000" w:sz="4"/>
              <w:right w:val="single" w:color="000000" w:sz="4"/>
            </w:tcBorders>
            <w:shd w:color="000000" w:fill="d9e1f2"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23.736,75</w:t>
            </w:r>
          </w:p>
        </w:tc>
        <w:tc>
          <w:tcPr>
            <w:tcW w:w="1045" w:type="dxa"/>
            <w:tcBorders>
              <w:top w:val="single" w:color="000000" w:sz="4"/>
              <w:left w:val="single" w:color="000000" w:sz="0"/>
              <w:bottom w:val="single" w:color="000000" w:sz="4"/>
              <w:right w:val="single" w:color="000000" w:sz="4"/>
            </w:tcBorders>
            <w:shd w:color="000000" w:fill="d9e1f2"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100,00</w:t>
            </w:r>
          </w:p>
        </w:tc>
        <w:tc>
          <w:tcPr>
            <w:tcW w:w="1095" w:type="dxa"/>
            <w:tcBorders>
              <w:top w:val="single" w:color="000000" w:sz="0"/>
              <w:left w:val="single" w:color="000000" w:sz="0"/>
              <w:bottom w:val="single" w:color="000000" w:sz="4"/>
              <w:right w:val="single" w:color="000000" w:sz="4"/>
            </w:tcBorders>
            <w:shd w:color="000000" w:fill="d9e1f2"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6.600,14</w:t>
            </w:r>
          </w:p>
        </w:tc>
        <w:tc>
          <w:tcPr>
            <w:tcW w:w="1389" w:type="dxa"/>
            <w:tcBorders>
              <w:top w:val="single" w:color="000000" w:sz="8"/>
              <w:left w:val="single" w:color="000000" w:sz="8"/>
              <w:bottom w:val="single" w:color="000000" w:sz="8"/>
              <w:right w:val="single" w:color="000000" w:sz="8"/>
            </w:tcBorders>
            <w:shd w:color="000000" w:fill="d9e1f2"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21,76%</w:t>
            </w:r>
          </w:p>
        </w:tc>
      </w:tr>
    </w:tbl>
    <w:p>
      <w:pPr>
        <w:spacing w:before="60" w:after="200" w:line="240"/>
        <w:ind w:right="0" w:left="0" w:firstLine="0"/>
        <w:jc w:val="center"/>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Tabela 2-2: Pore</w:t>
      </w:r>
      <w:r>
        <w:rPr>
          <w:rFonts w:ascii="Calibri" w:hAnsi="Calibri" w:cs="Calibri" w:eastAsia="Calibri"/>
          <w:color w:val="auto"/>
          <w:spacing w:val="0"/>
          <w:position w:val="0"/>
          <w:sz w:val="18"/>
          <w:shd w:fill="auto" w:val="clear"/>
        </w:rPr>
        <w:t xml:space="preserve">đenje ukupnih emisija CO</w:t>
      </w:r>
      <w:r>
        <w:rPr>
          <w:rFonts w:ascii="Calibri" w:hAnsi="Calibri" w:cs="Calibri" w:eastAsia="Calibri"/>
          <w:color w:val="auto"/>
          <w:spacing w:val="0"/>
          <w:position w:val="0"/>
          <w:sz w:val="18"/>
          <w:shd w:fill="auto" w:val="clear"/>
          <w:vertAlign w:val="subscript"/>
        </w:rPr>
        <w:t xml:space="preserve">2</w:t>
      </w:r>
      <w:r>
        <w:rPr>
          <w:rFonts w:ascii="Calibri" w:hAnsi="Calibri" w:cs="Calibri" w:eastAsia="Calibri"/>
          <w:color w:val="auto"/>
          <w:spacing w:val="0"/>
          <w:position w:val="0"/>
          <w:sz w:val="18"/>
          <w:shd w:fill="auto" w:val="clear"/>
        </w:rPr>
        <w:t xml:space="preserve"> i emisija iz razmatranih sektora u baznoj i kontrolnoj godini</w:t>
      </w:r>
    </w:p>
    <w:p>
      <w:pPr>
        <w:spacing w:before="60" w:after="160" w:line="240"/>
        <w:ind w:right="0" w:left="0" w:firstLine="0"/>
        <w:jc w:val="center"/>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Dijagram 2-2: Grafi</w:t>
      </w:r>
      <w:r>
        <w:rPr>
          <w:rFonts w:ascii="Calibri" w:hAnsi="Calibri" w:cs="Calibri" w:eastAsia="Calibri"/>
          <w:color w:val="auto"/>
          <w:spacing w:val="0"/>
          <w:position w:val="0"/>
          <w:sz w:val="18"/>
          <w:shd w:fill="auto" w:val="clear"/>
        </w:rPr>
        <w:t xml:space="preserve">čki prikaz promjena emisija CO</w:t>
      </w:r>
      <w:r>
        <w:rPr>
          <w:rFonts w:ascii="Calibri" w:hAnsi="Calibri" w:cs="Calibri" w:eastAsia="Calibri"/>
          <w:color w:val="auto"/>
          <w:spacing w:val="0"/>
          <w:position w:val="0"/>
          <w:sz w:val="18"/>
          <w:shd w:fill="auto" w:val="clear"/>
          <w:vertAlign w:val="subscript"/>
        </w:rPr>
        <w:t xml:space="preserve">2</w:t>
      </w:r>
      <w:r>
        <w:rPr>
          <w:rFonts w:ascii="Calibri" w:hAnsi="Calibri" w:cs="Calibri" w:eastAsia="Calibri"/>
          <w:color w:val="auto"/>
          <w:spacing w:val="0"/>
          <w:position w:val="0"/>
          <w:sz w:val="18"/>
          <w:shd w:fill="auto" w:val="clear"/>
        </w:rPr>
        <w:t xml:space="preserve"> iz razmatranih sektora u baznoj i kontrolnoj godini</w:t>
      </w:r>
    </w:p>
    <w:p>
      <w:pPr>
        <w:spacing w:before="60" w:after="0" w:line="240"/>
        <w:ind w:right="0" w:left="0" w:firstLine="0"/>
        <w:jc w:val="both"/>
        <w:rPr>
          <w:rFonts w:ascii="Calibri" w:hAnsi="Calibri" w:cs="Calibri" w:eastAsia="Calibri"/>
          <w:color w:val="auto"/>
          <w:spacing w:val="0"/>
          <w:position w:val="0"/>
          <w:sz w:val="20"/>
          <w:shd w:fill="FFFF00" w:val="clear"/>
        </w:rPr>
      </w:pPr>
      <w:r>
        <w:rPr>
          <w:rFonts w:ascii="Calibri" w:hAnsi="Calibri" w:cs="Calibri" w:eastAsia="Calibri"/>
          <w:color w:val="auto"/>
          <w:spacing w:val="0"/>
          <w:position w:val="0"/>
          <w:sz w:val="20"/>
          <w:shd w:fill="auto" w:val="clear"/>
        </w:rPr>
        <w:t xml:space="preserve">Evidentno je da je u periodu 2010.-2020. najve</w:t>
      </w:r>
      <w:r>
        <w:rPr>
          <w:rFonts w:ascii="Calibri" w:hAnsi="Calibri" w:cs="Calibri" w:eastAsia="Calibri"/>
          <w:color w:val="auto"/>
          <w:spacing w:val="0"/>
          <w:position w:val="0"/>
          <w:sz w:val="20"/>
          <w:shd w:fill="auto" w:val="clear"/>
        </w:rPr>
        <w:t xml:space="preserve">će smanjenje apsolutnih vrijednosti emisija ostvareno u sektoru zgradarstva, naročito u podsektoru stambenih zgrada gdje su se emisije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smanjile za </w:t>
      </w:r>
      <w:r>
        <w:rPr>
          <w:rFonts w:ascii="Calibri" w:hAnsi="Calibri" w:cs="Calibri" w:eastAsia="Calibri"/>
          <w:color w:val="000000"/>
          <w:spacing w:val="0"/>
          <w:position w:val="0"/>
          <w:sz w:val="20"/>
          <w:shd w:fill="auto" w:val="clear"/>
        </w:rPr>
        <w:t xml:space="preserve">5.468,05</w:t>
      </w:r>
      <w:r>
        <w:rPr>
          <w:rFonts w:ascii="Calibri" w:hAnsi="Calibri" w:cs="Calibri" w:eastAsia="Calibri"/>
          <w:color w:val="000000"/>
          <w:spacing w:val="0"/>
          <w:position w:val="0"/>
          <w:sz w:val="16"/>
          <w:shd w:fill="auto" w:val="clear"/>
        </w:rPr>
        <w:t xml:space="preserve"> </w:t>
      </w:r>
      <w:r>
        <w:rPr>
          <w:rFonts w:ascii="Calibri" w:hAnsi="Calibri" w:cs="Calibri" w:eastAsia="Calibri"/>
          <w:color w:val="auto"/>
          <w:spacing w:val="0"/>
          <w:position w:val="0"/>
          <w:sz w:val="20"/>
          <w:shd w:fill="auto" w:val="clear"/>
        </w:rPr>
        <w:t xml:space="preserve">t</w:t>
      </w:r>
      <w:r>
        <w:rPr>
          <w:rFonts w:ascii="Calibri" w:hAnsi="Calibri" w:cs="Calibri" w:eastAsia="Calibri"/>
          <w:color w:val="auto"/>
          <w:spacing w:val="0"/>
          <w:position w:val="0"/>
          <w:sz w:val="20"/>
          <w:shd w:fill="auto" w:val="clear"/>
          <w:vertAlign w:val="subscript"/>
        </w:rPr>
        <w:t xml:space="preserve"> </w:t>
      </w:r>
      <w:r>
        <w:rPr>
          <w:rFonts w:ascii="Calibri" w:hAnsi="Calibri" w:cs="Calibri" w:eastAsia="Calibri"/>
          <w:color w:val="auto"/>
          <w:spacing w:val="0"/>
          <w:position w:val="0"/>
          <w:sz w:val="20"/>
          <w:shd w:fill="auto" w:val="clear"/>
        </w:rPr>
        <w:t xml:space="preserve">odnosno za 28,20 % u odnosu na stanje u baznoj godini. Prelazak na korištenje okolišno prihvatljivijih energenata za grijanje, širenje mreže daljinskog grijanja i provođenje mjera energetske efikasnosti na ovojnicama stambenih zgrada, najveći su razlog ovog smanjenja emisija. Iz </w:t>
      </w:r>
      <w:r>
        <w:rPr>
          <w:rFonts w:ascii="Calibri" w:hAnsi="Calibri" w:cs="Calibri" w:eastAsia="Calibri"/>
          <w:i/>
          <w:color w:val="auto"/>
          <w:spacing w:val="0"/>
          <w:position w:val="0"/>
          <w:sz w:val="20"/>
          <w:shd w:fill="auto" w:val="clear"/>
        </w:rPr>
        <w:t xml:space="preserve">Tabele 2-2</w:t>
      </w:r>
      <w:r>
        <w:rPr>
          <w:rFonts w:ascii="Calibri" w:hAnsi="Calibri" w:cs="Calibri" w:eastAsia="Calibri"/>
          <w:color w:val="auto"/>
          <w:spacing w:val="0"/>
          <w:position w:val="0"/>
          <w:sz w:val="20"/>
          <w:shd w:fill="auto" w:val="clear"/>
        </w:rPr>
        <w:t xml:space="preserve"> je također evidentno da je u periodu 2010.-2020. ostvareno smanjenje emisija od 21,76 % u odnosu na baznu 2010. godinu, što je za 18,24 % manje od 40% smanjenja predviđenog u cilju postavljenom za 2030. godinu. U narednoj fazi proračuna izvršena je procjena mogućeg smanjenja emisija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do 2030. godine, za scenario nastavka dosadašnjih trendova u razmatranim sektorima, bez intenzivnijeg učešća Općine Doboj Istok i bez realizacije dodatnih mjera energetske efikasnosti. Rezultati ovog proračuna su pokazali da bi u tom slučaju ukupno smanjenje emisija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u 2030. godini iznosilo 31,68%, što je također ispod postavljenog cilja od najmanje 40% smanjenja.</w:t>
      </w:r>
      <w:r>
        <w:rPr>
          <w:rFonts w:ascii="Calibri" w:hAnsi="Calibri" w:cs="Calibri" w:eastAsia="Calibri"/>
          <w:color w:val="auto"/>
          <w:spacing w:val="0"/>
          <w:position w:val="0"/>
          <w:sz w:val="20"/>
          <w:shd w:fill="FFFF00" w:val="clear"/>
        </w:rPr>
        <w:t xml:space="preserve"> </w:t>
      </w:r>
    </w:p>
    <w:p>
      <w:pPr>
        <w:numPr>
          <w:ilvl w:val="0"/>
          <w:numId w:val="230"/>
        </w:numPr>
        <w:spacing w:before="120" w:after="0" w:line="240"/>
        <w:ind w:right="0" w:left="714" w:hanging="357"/>
        <w:jc w:val="left"/>
        <w:rPr>
          <w:rFonts w:ascii="Calibri" w:hAnsi="Calibri" w:cs="Calibri" w:eastAsia="Calibri"/>
          <w:color w:val="auto"/>
          <w:spacing w:val="0"/>
          <w:position w:val="0"/>
          <w:sz w:val="20"/>
          <w:shd w:fill="auto" w:val="clear"/>
        </w:rPr>
      </w:pPr>
      <w:r>
        <w:rPr>
          <w:rFonts w:ascii="Calibri" w:hAnsi="Calibri" w:cs="Calibri" w:eastAsia="Calibri"/>
          <w:b/>
          <w:i/>
          <w:color w:val="auto"/>
          <w:spacing w:val="0"/>
          <w:position w:val="0"/>
          <w:sz w:val="22"/>
          <w:shd w:fill="auto" w:val="clear"/>
        </w:rPr>
        <w:t xml:space="preserve">Izrada plana mjera za postizanje ciljeva postavljenih u oblasti ublažavanja klimatskih promjena odnosno smanjenja emisija stakleni</w:t>
      </w:r>
      <w:r>
        <w:rPr>
          <w:rFonts w:ascii="Calibri" w:hAnsi="Calibri" w:cs="Calibri" w:eastAsia="Calibri"/>
          <w:b/>
          <w:i/>
          <w:color w:val="auto"/>
          <w:spacing w:val="0"/>
          <w:position w:val="0"/>
          <w:sz w:val="22"/>
          <w:shd w:fill="auto" w:val="clear"/>
        </w:rPr>
        <w:t xml:space="preserve">čkih gasova</w:t>
      </w:r>
    </w:p>
    <w:p>
      <w:pPr>
        <w:spacing w:before="60" w:after="12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U skladu sa rezultatima navedenih prora</w:t>
      </w:r>
      <w:r>
        <w:rPr>
          <w:rFonts w:ascii="Calibri" w:hAnsi="Calibri" w:cs="Calibri" w:eastAsia="Calibri"/>
          <w:color w:val="auto"/>
          <w:spacing w:val="0"/>
          <w:position w:val="0"/>
          <w:sz w:val="20"/>
          <w:shd w:fill="auto" w:val="clear"/>
        </w:rPr>
        <w:t xml:space="preserve">čuna, identificirane su mjere energetske efikasnosti u svim razmatranim sektorima, čijom realizacijopm će se emisije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na području općine Doboj Istok smanjiti za više od 40% u odnosu na emisije u 2010. godini. Pošto daleko najveći udio u emisijama CO</w:t>
      </w:r>
      <w:r>
        <w:rPr>
          <w:rFonts w:ascii="Calibri" w:hAnsi="Calibri" w:cs="Calibri" w:eastAsia="Calibri"/>
          <w:color w:val="auto"/>
          <w:spacing w:val="0"/>
          <w:position w:val="0"/>
          <w:sz w:val="20"/>
          <w:shd w:fill="auto" w:val="clear"/>
          <w:vertAlign w:val="subscript"/>
        </w:rPr>
        <w:t xml:space="preserve">2 </w:t>
      </w:r>
      <w:r>
        <w:rPr>
          <w:rFonts w:ascii="Calibri" w:hAnsi="Calibri" w:cs="Calibri" w:eastAsia="Calibri"/>
          <w:color w:val="auto"/>
          <w:spacing w:val="0"/>
          <w:position w:val="0"/>
          <w:sz w:val="20"/>
          <w:shd w:fill="auto" w:val="clear"/>
        </w:rPr>
        <w:t xml:space="preserve">još uvijek ima podsektor stambenih zgrada, pri izradi plana je najveća pažnja posvećena upravo ovom podsektoru. Lista svih planiranih mjera prikazana je u narednoj tabeli. </w:t>
      </w:r>
    </w:p>
    <w:tbl>
      <w:tblPr/>
      <w:tblGrid>
        <w:gridCol w:w="844"/>
        <w:gridCol w:w="8762"/>
      </w:tblGrid>
      <w:tr>
        <w:trPr>
          <w:trHeight w:val="1" w:hRule="atLeast"/>
          <w:jc w:val="left"/>
        </w:trPr>
        <w:tc>
          <w:tcPr>
            <w:tcW w:w="9606"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i/>
                <w:color w:val="auto"/>
                <w:spacing w:val="0"/>
                <w:position w:val="0"/>
                <w:sz w:val="18"/>
                <w:shd w:fill="auto" w:val="clear"/>
              </w:rPr>
              <w:t xml:space="preserve">Me</w:t>
            </w:r>
            <w:r>
              <w:rPr>
                <w:rFonts w:ascii="Calibri" w:hAnsi="Calibri" w:cs="Calibri" w:eastAsia="Calibri"/>
                <w:i/>
                <w:color w:val="auto"/>
                <w:spacing w:val="0"/>
                <w:position w:val="0"/>
                <w:sz w:val="18"/>
                <w:shd w:fill="auto" w:val="clear"/>
              </w:rPr>
              <w:t xml:space="preserve">đusektorske mjere</w:t>
            </w:r>
          </w:p>
        </w:tc>
      </w:tr>
      <w:tr>
        <w:trPr>
          <w:trHeight w:val="1" w:hRule="atLeast"/>
          <w:jc w:val="left"/>
        </w:trPr>
        <w:tc>
          <w:tcPr>
            <w:tcW w:w="84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MS-1 </w:t>
            </w:r>
          </w:p>
        </w:tc>
        <w:tc>
          <w:tcPr>
            <w:tcW w:w="87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Kontinuirana edukacija relevantnih uposlenika Op</w:t>
            </w:r>
            <w:r>
              <w:rPr>
                <w:rFonts w:ascii="Calibri" w:hAnsi="Calibri" w:cs="Calibri" w:eastAsia="Calibri"/>
                <w:color w:val="auto"/>
                <w:spacing w:val="0"/>
                <w:position w:val="0"/>
                <w:sz w:val="18"/>
                <w:shd w:fill="auto" w:val="clear"/>
              </w:rPr>
              <w:t xml:space="preserve">ćine i pripadajućih javnih preduzeća o zakonskim obavezama u oblasti sistemskog upravljanja energijom</w:t>
            </w:r>
          </w:p>
        </w:tc>
      </w:tr>
      <w:tr>
        <w:trPr>
          <w:trHeight w:val="1" w:hRule="atLeast"/>
          <w:jc w:val="left"/>
        </w:trPr>
        <w:tc>
          <w:tcPr>
            <w:tcW w:w="9606"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i/>
                <w:color w:val="auto"/>
                <w:spacing w:val="0"/>
                <w:position w:val="0"/>
                <w:sz w:val="18"/>
                <w:shd w:fill="auto" w:val="clear"/>
              </w:rPr>
              <w:t xml:space="preserve">Mjere u sektoru zgradarstva – podsektor stambenih zgrada</w:t>
            </w:r>
          </w:p>
        </w:tc>
      </w:tr>
      <w:tr>
        <w:trPr>
          <w:trHeight w:val="1" w:hRule="atLeast"/>
          <w:jc w:val="left"/>
        </w:trPr>
        <w:tc>
          <w:tcPr>
            <w:tcW w:w="84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SZ-1</w:t>
            </w:r>
          </w:p>
        </w:tc>
        <w:tc>
          <w:tcPr>
            <w:tcW w:w="87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Informiranje javnosti o neophodnosti ublažavanja klimatskih promjena i kontinuirana edukacija gra</w:t>
            </w:r>
            <w:r>
              <w:rPr>
                <w:rFonts w:ascii="Calibri" w:hAnsi="Calibri" w:cs="Calibri" w:eastAsia="Calibri"/>
                <w:color w:val="auto"/>
                <w:spacing w:val="0"/>
                <w:position w:val="0"/>
                <w:sz w:val="18"/>
                <w:shd w:fill="auto" w:val="clear"/>
              </w:rPr>
              <w:t xml:space="preserve">đana o praktičnim aspektima energetske efikasnosti</w:t>
            </w:r>
          </w:p>
        </w:tc>
      </w:tr>
      <w:tr>
        <w:trPr>
          <w:trHeight w:val="1" w:hRule="atLeast"/>
          <w:jc w:val="left"/>
        </w:trPr>
        <w:tc>
          <w:tcPr>
            <w:tcW w:w="84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SZ-2</w:t>
            </w:r>
          </w:p>
        </w:tc>
        <w:tc>
          <w:tcPr>
            <w:tcW w:w="87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Energetska obnova vanjske ovojnice stambenih zgrada individualnog stanovanja</w:t>
            </w:r>
          </w:p>
        </w:tc>
      </w:tr>
      <w:tr>
        <w:trPr>
          <w:trHeight w:val="1" w:hRule="atLeast"/>
          <w:jc w:val="left"/>
        </w:trPr>
        <w:tc>
          <w:tcPr>
            <w:tcW w:w="84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SZ-3</w:t>
            </w:r>
          </w:p>
        </w:tc>
        <w:tc>
          <w:tcPr>
            <w:tcW w:w="87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Poboljšanje energetskih karakteristika postoje</w:t>
            </w:r>
            <w:r>
              <w:rPr>
                <w:rFonts w:ascii="Calibri" w:hAnsi="Calibri" w:cs="Calibri" w:eastAsia="Calibri"/>
                <w:color w:val="auto"/>
                <w:spacing w:val="0"/>
                <w:position w:val="0"/>
                <w:sz w:val="18"/>
                <w:shd w:fill="auto" w:val="clear"/>
              </w:rPr>
              <w:t xml:space="preserve">ćih i ugradnja novih energetski efikasnih sistema grijanja u stambenim zgradama individualnog stanovanja</w:t>
            </w:r>
          </w:p>
        </w:tc>
      </w:tr>
      <w:tr>
        <w:trPr>
          <w:trHeight w:val="1" w:hRule="atLeast"/>
          <w:jc w:val="left"/>
        </w:trPr>
        <w:tc>
          <w:tcPr>
            <w:tcW w:w="9606"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i/>
                <w:color w:val="auto"/>
                <w:spacing w:val="0"/>
                <w:position w:val="0"/>
                <w:sz w:val="18"/>
                <w:shd w:fill="auto" w:val="clear"/>
              </w:rPr>
              <w:t xml:space="preserve">Mjere u sektoru zgradarstva – podsektor javnih zgrada u vlasništvu Op</w:t>
            </w:r>
            <w:r>
              <w:rPr>
                <w:rFonts w:ascii="Calibri" w:hAnsi="Calibri" w:cs="Calibri" w:eastAsia="Calibri"/>
                <w:i/>
                <w:color w:val="auto"/>
                <w:spacing w:val="0"/>
                <w:position w:val="0"/>
                <w:sz w:val="18"/>
                <w:shd w:fill="auto" w:val="clear"/>
              </w:rPr>
              <w:t xml:space="preserve">ćine Doboj Istok</w:t>
            </w:r>
          </w:p>
        </w:tc>
      </w:tr>
      <w:tr>
        <w:trPr>
          <w:trHeight w:val="1" w:hRule="atLeast"/>
          <w:jc w:val="left"/>
        </w:trPr>
        <w:tc>
          <w:tcPr>
            <w:tcW w:w="84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JZO-1</w:t>
            </w:r>
          </w:p>
        </w:tc>
        <w:tc>
          <w:tcPr>
            <w:tcW w:w="87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Integralna energetska obnova javnih zgrada u vlasništvu </w:t>
            </w:r>
            <w:r>
              <w:rPr>
                <w:rFonts w:ascii="Calibri" w:hAnsi="Calibri" w:cs="Calibri" w:eastAsia="Calibri"/>
                <w:i/>
                <w:color w:val="auto"/>
                <w:spacing w:val="0"/>
                <w:position w:val="0"/>
                <w:sz w:val="18"/>
                <w:shd w:fill="auto" w:val="clear"/>
              </w:rPr>
              <w:t xml:space="preserve">Op</w:t>
            </w:r>
            <w:r>
              <w:rPr>
                <w:rFonts w:ascii="Calibri" w:hAnsi="Calibri" w:cs="Calibri" w:eastAsia="Calibri"/>
                <w:i/>
                <w:color w:val="auto"/>
                <w:spacing w:val="0"/>
                <w:position w:val="0"/>
                <w:sz w:val="18"/>
                <w:shd w:fill="auto" w:val="clear"/>
              </w:rPr>
              <w:t xml:space="preserve">ćine Doboj Istok</w:t>
            </w:r>
            <w:r>
              <w:rPr>
                <w:rFonts w:ascii="Calibri" w:hAnsi="Calibri" w:cs="Calibri" w:eastAsia="Calibri"/>
                <w:color w:val="auto"/>
                <w:spacing w:val="0"/>
                <w:position w:val="0"/>
                <w:sz w:val="18"/>
                <w:shd w:fill="auto" w:val="clear"/>
              </w:rPr>
              <w:t xml:space="preserve"> u kojima se kao energent za grijanje koriste fosilna goriva i električna energija</w:t>
            </w:r>
          </w:p>
        </w:tc>
      </w:tr>
      <w:tr>
        <w:trPr>
          <w:trHeight w:val="1" w:hRule="atLeast"/>
          <w:jc w:val="left"/>
        </w:trPr>
        <w:tc>
          <w:tcPr>
            <w:tcW w:w="9606"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i/>
                <w:color w:val="auto"/>
                <w:spacing w:val="0"/>
                <w:position w:val="0"/>
                <w:sz w:val="18"/>
                <w:shd w:fill="auto" w:val="clear"/>
              </w:rPr>
              <w:t xml:space="preserve">Mjere u sektoru zgradarstva – podsektor javnih zgrada koje nisu u vlasništvu Op</w:t>
            </w:r>
            <w:r>
              <w:rPr>
                <w:rFonts w:ascii="Calibri" w:hAnsi="Calibri" w:cs="Calibri" w:eastAsia="Calibri"/>
                <w:i/>
                <w:color w:val="auto"/>
                <w:spacing w:val="0"/>
                <w:position w:val="0"/>
                <w:sz w:val="18"/>
                <w:shd w:fill="auto" w:val="clear"/>
              </w:rPr>
              <w:t xml:space="preserve">ćine Doboj Istok</w:t>
            </w:r>
          </w:p>
        </w:tc>
      </w:tr>
      <w:tr>
        <w:trPr>
          <w:trHeight w:val="1" w:hRule="atLeast"/>
          <w:jc w:val="left"/>
        </w:trPr>
        <w:tc>
          <w:tcPr>
            <w:tcW w:w="84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JZD-1</w:t>
            </w:r>
          </w:p>
        </w:tc>
        <w:tc>
          <w:tcPr>
            <w:tcW w:w="87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U</w:t>
            </w:r>
            <w:r>
              <w:rPr>
                <w:rFonts w:ascii="Calibri" w:hAnsi="Calibri" w:cs="Calibri" w:eastAsia="Calibri"/>
                <w:color w:val="auto"/>
                <w:spacing w:val="0"/>
                <w:position w:val="0"/>
                <w:sz w:val="18"/>
                <w:shd w:fill="auto" w:val="clear"/>
              </w:rPr>
              <w:t xml:space="preserve">češće u integralnoj energetskoj obnovi javnih zgrada koje nisu u vlasništvu Općine u kojima se kao energent za grijanje koriste fosilna goriva</w:t>
            </w:r>
          </w:p>
        </w:tc>
      </w:tr>
      <w:tr>
        <w:trPr>
          <w:trHeight w:val="1" w:hRule="atLeast"/>
          <w:jc w:val="left"/>
        </w:trPr>
        <w:tc>
          <w:tcPr>
            <w:tcW w:w="9606"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i/>
                <w:color w:val="auto"/>
                <w:spacing w:val="0"/>
                <w:position w:val="0"/>
                <w:sz w:val="18"/>
                <w:shd w:fill="auto" w:val="clear"/>
              </w:rPr>
              <w:t xml:space="preserve">Mjere u sektoru saobra</w:t>
            </w:r>
            <w:r>
              <w:rPr>
                <w:rFonts w:ascii="Calibri" w:hAnsi="Calibri" w:cs="Calibri" w:eastAsia="Calibri"/>
                <w:i/>
                <w:color w:val="auto"/>
                <w:spacing w:val="0"/>
                <w:position w:val="0"/>
                <w:sz w:val="18"/>
                <w:shd w:fill="auto" w:val="clear"/>
              </w:rPr>
              <w:t xml:space="preserve">ćaja – podsektor vozila u vlasništvu Općine Doboj Istok</w:t>
            </w:r>
          </w:p>
        </w:tc>
      </w:tr>
      <w:tr>
        <w:trPr>
          <w:trHeight w:val="1" w:hRule="atLeast"/>
          <w:jc w:val="left"/>
        </w:trPr>
        <w:tc>
          <w:tcPr>
            <w:tcW w:w="84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SG-1</w:t>
            </w:r>
          </w:p>
        </w:tc>
        <w:tc>
          <w:tcPr>
            <w:tcW w:w="87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Nabavka elektri</w:t>
            </w:r>
            <w:r>
              <w:rPr>
                <w:rFonts w:ascii="Calibri" w:hAnsi="Calibri" w:cs="Calibri" w:eastAsia="Calibri"/>
                <w:color w:val="auto"/>
                <w:spacing w:val="0"/>
                <w:position w:val="0"/>
                <w:sz w:val="18"/>
                <w:shd w:fill="auto" w:val="clear"/>
              </w:rPr>
              <w:t xml:space="preserve">čnih vozila u vlasništvu Općine Doboj Istok sa smanjenom emisijom CO</w:t>
            </w:r>
            <w:r>
              <w:rPr>
                <w:rFonts w:ascii="Calibri" w:hAnsi="Calibri" w:cs="Calibri" w:eastAsia="Calibri"/>
                <w:color w:val="auto"/>
                <w:spacing w:val="0"/>
                <w:position w:val="0"/>
                <w:sz w:val="18"/>
                <w:shd w:fill="auto" w:val="clear"/>
                <w:vertAlign w:val="subscript"/>
              </w:rPr>
              <w:t xml:space="preserve">2</w:t>
            </w:r>
          </w:p>
        </w:tc>
      </w:tr>
      <w:tr>
        <w:trPr>
          <w:trHeight w:val="1" w:hRule="atLeast"/>
          <w:jc w:val="left"/>
        </w:trPr>
        <w:tc>
          <w:tcPr>
            <w:tcW w:w="9606"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i/>
                <w:color w:val="auto"/>
                <w:spacing w:val="0"/>
                <w:position w:val="0"/>
                <w:sz w:val="18"/>
                <w:shd w:fill="auto" w:val="clear"/>
              </w:rPr>
              <w:t xml:space="preserve">Mjere u sektoru javne rasvjete</w:t>
            </w:r>
          </w:p>
        </w:tc>
      </w:tr>
      <w:tr>
        <w:trPr>
          <w:trHeight w:val="1" w:hRule="atLeast"/>
          <w:jc w:val="left"/>
        </w:trPr>
        <w:tc>
          <w:tcPr>
            <w:tcW w:w="84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JR-1</w:t>
            </w:r>
          </w:p>
        </w:tc>
        <w:tc>
          <w:tcPr>
            <w:tcW w:w="87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Zamjena energetski neefikasnih rasvjetnih tijela visokoefikasnim i okolišno prihvatljivijim rasvjetnim tijelima</w:t>
            </w:r>
          </w:p>
        </w:tc>
      </w:tr>
      <w:tr>
        <w:trPr>
          <w:trHeight w:val="1" w:hRule="atLeast"/>
          <w:jc w:val="left"/>
        </w:trPr>
        <w:tc>
          <w:tcPr>
            <w:tcW w:w="9606"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i/>
                <w:color w:val="auto"/>
                <w:spacing w:val="0"/>
                <w:position w:val="0"/>
                <w:sz w:val="18"/>
                <w:shd w:fill="auto" w:val="clear"/>
              </w:rPr>
              <w:t xml:space="preserve">Mjere u sektoru vodosnabdijevanja</w:t>
            </w:r>
          </w:p>
        </w:tc>
      </w:tr>
      <w:tr>
        <w:trPr>
          <w:trHeight w:val="1" w:hRule="atLeast"/>
          <w:jc w:val="left"/>
        </w:trPr>
        <w:tc>
          <w:tcPr>
            <w:tcW w:w="84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SV-1</w:t>
            </w:r>
          </w:p>
        </w:tc>
        <w:tc>
          <w:tcPr>
            <w:tcW w:w="87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Pove</w:t>
            </w:r>
            <w:r>
              <w:rPr>
                <w:rFonts w:ascii="Calibri" w:hAnsi="Calibri" w:cs="Calibri" w:eastAsia="Calibri"/>
                <w:color w:val="auto"/>
                <w:spacing w:val="0"/>
                <w:position w:val="0"/>
                <w:sz w:val="18"/>
                <w:shd w:fill="auto" w:val="clear"/>
              </w:rPr>
              <w:t xml:space="preserve">ćanje energetske efikasnosti sistema vodosnabdijevanja uvođenjem frekventne regulacije rada trenutno nereguliranih pumpi</w:t>
            </w:r>
          </w:p>
        </w:tc>
      </w:tr>
    </w:tbl>
    <w:p>
      <w:pPr>
        <w:spacing w:before="60" w:after="200" w:line="240"/>
        <w:ind w:right="0" w:left="0" w:firstLine="0"/>
        <w:jc w:val="center"/>
        <w:rPr>
          <w:rFonts w:ascii="Calibri" w:hAnsi="Calibri" w:cs="Calibri" w:eastAsia="Calibri"/>
          <w:i/>
          <w:color w:val="auto"/>
          <w:spacing w:val="0"/>
          <w:position w:val="0"/>
          <w:sz w:val="18"/>
          <w:shd w:fill="auto" w:val="clear"/>
        </w:rPr>
      </w:pPr>
      <w:r>
        <w:rPr>
          <w:rFonts w:ascii="Calibri" w:hAnsi="Calibri" w:cs="Calibri" w:eastAsia="Calibri"/>
          <w:i/>
          <w:color w:val="auto"/>
          <w:spacing w:val="0"/>
          <w:position w:val="0"/>
          <w:sz w:val="18"/>
          <w:shd w:fill="auto" w:val="clear"/>
        </w:rPr>
        <w:t xml:space="preserve">Tabela 23: Mjere energetske efikasnosti Op</w:t>
      </w:r>
      <w:r>
        <w:rPr>
          <w:rFonts w:ascii="Calibri" w:hAnsi="Calibri" w:cs="Calibri" w:eastAsia="Calibri"/>
          <w:i/>
          <w:color w:val="auto"/>
          <w:spacing w:val="0"/>
          <w:position w:val="0"/>
          <w:sz w:val="18"/>
          <w:shd w:fill="auto" w:val="clear"/>
        </w:rPr>
        <w:t xml:space="preserve">ćine Doboj Istok za postizanje postavljenog cilja smanjenja emisija CO</w:t>
      </w:r>
      <w:r>
        <w:rPr>
          <w:rFonts w:ascii="Calibri" w:hAnsi="Calibri" w:cs="Calibri" w:eastAsia="Calibri"/>
          <w:i/>
          <w:color w:val="auto"/>
          <w:spacing w:val="0"/>
          <w:position w:val="0"/>
          <w:sz w:val="18"/>
          <w:shd w:fill="auto" w:val="clear"/>
          <w:vertAlign w:val="subscript"/>
        </w:rPr>
        <w:t xml:space="preserve">2</w:t>
      </w:r>
      <w:r>
        <w:rPr>
          <w:rFonts w:ascii="Calibri" w:hAnsi="Calibri" w:cs="Calibri" w:eastAsia="Calibri"/>
          <w:i/>
          <w:color w:val="auto"/>
          <w:spacing w:val="0"/>
          <w:position w:val="0"/>
          <w:sz w:val="18"/>
          <w:shd w:fill="auto" w:val="clear"/>
        </w:rPr>
        <w:t xml:space="preserve"> do 2030. godine</w:t>
      </w:r>
    </w:p>
    <w:p>
      <w:pPr>
        <w:numPr>
          <w:ilvl w:val="0"/>
          <w:numId w:val="279"/>
        </w:numPr>
        <w:spacing w:before="40" w:after="0" w:line="240"/>
        <w:ind w:right="0" w:left="720" w:hanging="360"/>
        <w:jc w:val="left"/>
        <w:rPr>
          <w:rFonts w:ascii="Calibri" w:hAnsi="Calibri" w:cs="Calibri" w:eastAsia="Calibri"/>
          <w:b/>
          <w:i/>
          <w:color w:val="auto"/>
          <w:spacing w:val="0"/>
          <w:position w:val="0"/>
          <w:sz w:val="22"/>
          <w:shd w:fill="auto" w:val="clear"/>
        </w:rPr>
      </w:pPr>
      <w:r>
        <w:rPr>
          <w:rFonts w:ascii="Calibri" w:hAnsi="Calibri" w:cs="Calibri" w:eastAsia="Calibri"/>
          <w:b/>
          <w:i/>
          <w:color w:val="auto"/>
          <w:spacing w:val="0"/>
          <w:position w:val="0"/>
          <w:sz w:val="22"/>
          <w:shd w:fill="auto" w:val="clear"/>
        </w:rPr>
        <w:t xml:space="preserve">Ocjena opasnosti, izloženosti i kapaciteta grada Tuzle za prilago</w:t>
      </w:r>
      <w:r>
        <w:rPr>
          <w:rFonts w:ascii="Calibri" w:hAnsi="Calibri" w:cs="Calibri" w:eastAsia="Calibri"/>
          <w:b/>
          <w:i/>
          <w:color w:val="auto"/>
          <w:spacing w:val="0"/>
          <w:position w:val="0"/>
          <w:sz w:val="22"/>
          <w:shd w:fill="auto" w:val="clear"/>
        </w:rPr>
        <w:t xml:space="preserve">đavanje klimatskim promjenama</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U narednoj fazi rada izvršena je ocjena opasnosti, izloženosti i kapaciteta op</w:t>
      </w:r>
      <w:r>
        <w:rPr>
          <w:rFonts w:ascii="Calibri" w:hAnsi="Calibri" w:cs="Calibri" w:eastAsia="Calibri"/>
          <w:color w:val="auto"/>
          <w:spacing w:val="0"/>
          <w:position w:val="0"/>
          <w:sz w:val="20"/>
          <w:shd w:fill="auto" w:val="clear"/>
        </w:rPr>
        <w:t xml:space="preserve">ćine Doboj Istok za prilagođavanje postojećim i budućim klimatskim promjenama, koja je uključila slijedeće korake:</w:t>
      </w:r>
    </w:p>
    <w:p>
      <w:pPr>
        <w:numPr>
          <w:ilvl w:val="0"/>
          <w:numId w:val="281"/>
        </w:numPr>
        <w:spacing w:before="60" w:after="0" w:line="240"/>
        <w:ind w:right="0" w:left="720" w:hanging="36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Odre</w:t>
      </w:r>
      <w:r>
        <w:rPr>
          <w:rFonts w:ascii="Calibri" w:hAnsi="Calibri" w:cs="Calibri" w:eastAsia="Calibri"/>
          <w:color w:val="auto"/>
          <w:spacing w:val="0"/>
          <w:position w:val="0"/>
          <w:sz w:val="20"/>
          <w:shd w:fill="auto" w:val="clear"/>
        </w:rPr>
        <w:t xml:space="preserve">đivanje opasnosti od posljedica klimatskih promjena, koje su relevantne za općinu Doboj Istok;</w:t>
      </w:r>
    </w:p>
    <w:p>
      <w:pPr>
        <w:numPr>
          <w:ilvl w:val="0"/>
          <w:numId w:val="281"/>
        </w:numPr>
        <w:spacing w:before="60" w:after="0" w:line="240"/>
        <w:ind w:right="0" w:left="720" w:hanging="36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Odre</w:t>
      </w:r>
      <w:r>
        <w:rPr>
          <w:rFonts w:ascii="Calibri" w:hAnsi="Calibri" w:cs="Calibri" w:eastAsia="Calibri"/>
          <w:color w:val="auto"/>
          <w:spacing w:val="0"/>
          <w:position w:val="0"/>
          <w:sz w:val="20"/>
          <w:shd w:fill="auto" w:val="clear"/>
        </w:rPr>
        <w:t xml:space="preserve">đivanje glavnih sadašnjih i budućih karakteristika svake identificirane opasnosti (vjerovatnoća pojavljivanja, očekivana promjena intenziteta, vremenski period djelovanja); </w:t>
      </w:r>
    </w:p>
    <w:p>
      <w:pPr>
        <w:numPr>
          <w:ilvl w:val="0"/>
          <w:numId w:val="281"/>
        </w:numPr>
        <w:spacing w:before="60" w:after="0" w:line="240"/>
        <w:ind w:right="0" w:left="720" w:hanging="36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Odre</w:t>
      </w:r>
      <w:r>
        <w:rPr>
          <w:rFonts w:ascii="Calibri" w:hAnsi="Calibri" w:cs="Calibri" w:eastAsia="Calibri"/>
          <w:color w:val="auto"/>
          <w:spacing w:val="0"/>
          <w:position w:val="0"/>
          <w:sz w:val="20"/>
          <w:shd w:fill="auto" w:val="clear"/>
        </w:rPr>
        <w:t xml:space="preserve">đivanje  socio-ekonomskih i prirodnih sektora koji su najizloženiji identificiranim opasnostima (zgrade, saobraćaj, energija, vodosnabdijevanje, upravljanje otpadom, planovi korištenja zemljišta, poljoprivreda i šumarstvo, okoliš i biodiverzitet, zdravlje, civilna zaštita i hitne službe, turizam, obrazovanje, informaciono-komunikacijske tehnologije), i nivoa njihove ugroženosti (visok, umjeren, nizak);</w:t>
      </w:r>
    </w:p>
    <w:p>
      <w:pPr>
        <w:numPr>
          <w:ilvl w:val="0"/>
          <w:numId w:val="281"/>
        </w:numPr>
        <w:spacing w:before="60" w:after="0" w:line="240"/>
        <w:ind w:right="0" w:left="720" w:hanging="36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Odre</w:t>
      </w:r>
      <w:r>
        <w:rPr>
          <w:rFonts w:ascii="Calibri" w:hAnsi="Calibri" w:cs="Calibri" w:eastAsia="Calibri"/>
          <w:color w:val="auto"/>
          <w:spacing w:val="0"/>
          <w:position w:val="0"/>
          <w:sz w:val="20"/>
          <w:shd w:fill="auto" w:val="clear"/>
        </w:rPr>
        <w:t xml:space="preserve">đivanje najugroženijih ciljnih grupa u okviru svake identificirane opasnosti; i</w:t>
      </w:r>
    </w:p>
    <w:p>
      <w:pPr>
        <w:numPr>
          <w:ilvl w:val="0"/>
          <w:numId w:val="281"/>
        </w:numPr>
        <w:spacing w:before="60" w:after="0" w:line="240"/>
        <w:ind w:right="0" w:left="720" w:hanging="36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Odre</w:t>
      </w:r>
      <w:r>
        <w:rPr>
          <w:rFonts w:ascii="Calibri" w:hAnsi="Calibri" w:cs="Calibri" w:eastAsia="Calibri"/>
          <w:color w:val="auto"/>
          <w:spacing w:val="0"/>
          <w:position w:val="0"/>
          <w:sz w:val="20"/>
          <w:shd w:fill="auto" w:val="clear"/>
        </w:rPr>
        <w:t xml:space="preserve">đivanje kapaciteta općine Doboj Istok za prilagođavanje na identificirane opasnosti, što podrazumijeva određivanje glavnih kategorija ovih kapaciteta (postojanje odgovarajućih javnih službi; raspoloživost socio-ekonomskih aktera; postojanje, usklađenost i implementacija zakonske regulative; postojanje fizičkih resursa; te postojanje znanja, metodologija, studija, sistema ranog upozoravanja, i slično).  </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Na podru</w:t>
      </w:r>
      <w:r>
        <w:rPr>
          <w:rFonts w:ascii="Calibri" w:hAnsi="Calibri" w:cs="Calibri" w:eastAsia="Calibri"/>
          <w:color w:val="auto"/>
          <w:spacing w:val="0"/>
          <w:position w:val="0"/>
          <w:sz w:val="20"/>
          <w:shd w:fill="auto" w:val="clear"/>
        </w:rPr>
        <w:t xml:space="preserve">čju općine Doboj Istok identificirane su brojne opasnosti koje klimatske promjene donose, i to: ekstremno visoke temperature, poplave, suše i nestašice vode, te klizišta. Na osnovu konsultacija sa članovima savjetodavne grupe za izradu ovog plana, uzimajući u obzir provedene analize i studije o procjeni uticaja opasnosti, te imajući u vidu opasnosti koje su se na području općine Doboj Istok pojavile u prethodnom periodu, evidentno je da su vodeće opasnosti na području općine Doboj Istok poplave i klizišta.</w:t>
      </w:r>
    </w:p>
    <w:p>
      <w:pPr>
        <w:numPr>
          <w:ilvl w:val="0"/>
          <w:numId w:val="283"/>
        </w:numPr>
        <w:spacing w:before="120" w:after="0" w:line="240"/>
        <w:ind w:right="0" w:left="714" w:hanging="357"/>
        <w:jc w:val="left"/>
        <w:rPr>
          <w:rFonts w:ascii="Calibri" w:hAnsi="Calibri" w:cs="Calibri" w:eastAsia="Calibri"/>
          <w:b/>
          <w:i/>
          <w:color w:val="auto"/>
          <w:spacing w:val="0"/>
          <w:position w:val="0"/>
          <w:sz w:val="22"/>
          <w:shd w:fill="auto" w:val="clear"/>
        </w:rPr>
      </w:pPr>
      <w:r>
        <w:rPr>
          <w:rFonts w:ascii="Calibri" w:hAnsi="Calibri" w:cs="Calibri" w:eastAsia="Calibri"/>
          <w:b/>
          <w:i/>
          <w:color w:val="auto"/>
          <w:spacing w:val="0"/>
          <w:position w:val="0"/>
          <w:sz w:val="22"/>
          <w:shd w:fill="auto" w:val="clear"/>
        </w:rPr>
        <w:t xml:space="preserve">Izrada plana mjera za postizanje ciljeva postavljenih u oblasti ublažavanja klimatskih promjena odnosno smanjenja emisija stakleni</w:t>
      </w:r>
      <w:r>
        <w:rPr>
          <w:rFonts w:ascii="Calibri" w:hAnsi="Calibri" w:cs="Calibri" w:eastAsia="Calibri"/>
          <w:b/>
          <w:i/>
          <w:color w:val="auto"/>
          <w:spacing w:val="0"/>
          <w:position w:val="0"/>
          <w:sz w:val="22"/>
          <w:shd w:fill="auto" w:val="clear"/>
        </w:rPr>
        <w:t xml:space="preserve">čkih gasova, i u oblasti prilagođavanja klimatskim promjenama</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Kao odgovor na rezultate ove procjene, identificirano je 17 mjera prilago</w:t>
      </w:r>
      <w:r>
        <w:rPr>
          <w:rFonts w:ascii="Calibri" w:hAnsi="Calibri" w:cs="Calibri" w:eastAsia="Calibri"/>
          <w:color w:val="auto"/>
          <w:spacing w:val="0"/>
          <w:position w:val="0"/>
          <w:sz w:val="20"/>
          <w:shd w:fill="auto" w:val="clear"/>
        </w:rPr>
        <w:t xml:space="preserve">đavanja na klimatske promjene, i to: </w:t>
      </w:r>
    </w:p>
    <w:p>
      <w:pPr>
        <w:numPr>
          <w:ilvl w:val="0"/>
          <w:numId w:val="285"/>
        </w:numPr>
        <w:spacing w:before="60" w:after="0" w:line="240"/>
        <w:ind w:right="0" w:left="644" w:hanging="36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Mjere za prilago</w:t>
      </w:r>
      <w:r>
        <w:rPr>
          <w:rFonts w:ascii="Calibri" w:hAnsi="Calibri" w:cs="Calibri" w:eastAsia="Calibri"/>
          <w:color w:val="auto"/>
          <w:spacing w:val="0"/>
          <w:position w:val="0"/>
          <w:sz w:val="20"/>
          <w:shd w:fill="auto" w:val="clear"/>
        </w:rPr>
        <w:t xml:space="preserve">đavanje na opasnosti od poplava (3 mjere);</w:t>
      </w:r>
    </w:p>
    <w:p>
      <w:pPr>
        <w:numPr>
          <w:ilvl w:val="0"/>
          <w:numId w:val="285"/>
        </w:numPr>
        <w:spacing w:before="60" w:after="0" w:line="240"/>
        <w:ind w:right="0" w:left="644" w:hanging="36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Mjere za prilago</w:t>
      </w:r>
      <w:r>
        <w:rPr>
          <w:rFonts w:ascii="Calibri" w:hAnsi="Calibri" w:cs="Calibri" w:eastAsia="Calibri"/>
          <w:color w:val="auto"/>
          <w:spacing w:val="0"/>
          <w:position w:val="0"/>
          <w:sz w:val="20"/>
          <w:shd w:fill="auto" w:val="clear"/>
        </w:rPr>
        <w:t xml:space="preserve">đavanje na opasnosti od klizišta (2 mjere);</w:t>
      </w:r>
    </w:p>
    <w:p>
      <w:pPr>
        <w:numPr>
          <w:ilvl w:val="0"/>
          <w:numId w:val="285"/>
        </w:numPr>
        <w:spacing w:before="60" w:after="0" w:line="240"/>
        <w:ind w:right="0" w:left="644" w:hanging="36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Mjere za prilago</w:t>
      </w:r>
      <w:r>
        <w:rPr>
          <w:rFonts w:ascii="Calibri" w:hAnsi="Calibri" w:cs="Calibri" w:eastAsia="Calibri"/>
          <w:color w:val="auto"/>
          <w:spacing w:val="0"/>
          <w:position w:val="0"/>
          <w:sz w:val="20"/>
          <w:shd w:fill="auto" w:val="clear"/>
        </w:rPr>
        <w:t xml:space="preserve">đavanje na opasnosti od suše i nestašice vode (4 mjere);</w:t>
      </w:r>
    </w:p>
    <w:p>
      <w:pPr>
        <w:numPr>
          <w:ilvl w:val="0"/>
          <w:numId w:val="285"/>
        </w:numPr>
        <w:spacing w:before="60" w:after="0" w:line="240"/>
        <w:ind w:right="0" w:left="644" w:hanging="36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Mjere za prilago</w:t>
      </w:r>
      <w:r>
        <w:rPr>
          <w:rFonts w:ascii="Calibri" w:hAnsi="Calibri" w:cs="Calibri" w:eastAsia="Calibri"/>
          <w:color w:val="auto"/>
          <w:spacing w:val="0"/>
          <w:position w:val="0"/>
          <w:sz w:val="20"/>
          <w:shd w:fill="auto" w:val="clear"/>
        </w:rPr>
        <w:t xml:space="preserve">đavanje na opasnosti od ekstremno visokih temperatura (4 mjere); i</w:t>
      </w:r>
    </w:p>
    <w:p>
      <w:pPr>
        <w:numPr>
          <w:ilvl w:val="0"/>
          <w:numId w:val="285"/>
        </w:numPr>
        <w:spacing w:before="60" w:after="0" w:line="240"/>
        <w:ind w:right="0" w:left="644" w:hanging="36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Ostale mjere za prilago</w:t>
      </w:r>
      <w:r>
        <w:rPr>
          <w:rFonts w:ascii="Calibri" w:hAnsi="Calibri" w:cs="Calibri" w:eastAsia="Calibri"/>
          <w:color w:val="auto"/>
          <w:spacing w:val="0"/>
          <w:position w:val="0"/>
          <w:sz w:val="20"/>
          <w:shd w:fill="auto" w:val="clear"/>
        </w:rPr>
        <w:t xml:space="preserve">đavanje na opasnosti od klimatskih promjena (3 mjere).</w:t>
      </w:r>
    </w:p>
    <w:p>
      <w:pPr>
        <w:numPr>
          <w:ilvl w:val="0"/>
          <w:numId w:val="285"/>
        </w:numPr>
        <w:spacing w:before="120" w:after="0" w:line="240"/>
        <w:ind w:right="0" w:left="714" w:hanging="357"/>
        <w:jc w:val="left"/>
        <w:rPr>
          <w:rFonts w:ascii="Calibri" w:hAnsi="Calibri" w:cs="Calibri" w:eastAsia="Calibri"/>
          <w:b/>
          <w:i/>
          <w:color w:val="auto"/>
          <w:spacing w:val="0"/>
          <w:position w:val="0"/>
          <w:sz w:val="22"/>
          <w:shd w:fill="auto" w:val="clear"/>
        </w:rPr>
      </w:pPr>
      <w:r>
        <w:rPr>
          <w:rFonts w:ascii="Calibri" w:hAnsi="Calibri" w:cs="Calibri" w:eastAsia="Calibri"/>
          <w:b/>
          <w:i/>
          <w:color w:val="auto"/>
          <w:spacing w:val="0"/>
          <w:position w:val="0"/>
          <w:sz w:val="22"/>
          <w:shd w:fill="auto" w:val="clear"/>
        </w:rPr>
        <w:t xml:space="preserve">Izrada financijskog i dinami</w:t>
      </w:r>
      <w:r>
        <w:rPr>
          <w:rFonts w:ascii="Calibri" w:hAnsi="Calibri" w:cs="Calibri" w:eastAsia="Calibri"/>
          <w:b/>
          <w:i/>
          <w:color w:val="auto"/>
          <w:spacing w:val="0"/>
          <w:position w:val="0"/>
          <w:sz w:val="22"/>
          <w:shd w:fill="auto" w:val="clear"/>
        </w:rPr>
        <w:t xml:space="preserve">čkog plana te mehanizama realizacije i financiranja Akcionog plana</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b/>
          <w:color w:val="auto"/>
          <w:spacing w:val="0"/>
          <w:position w:val="0"/>
          <w:sz w:val="20"/>
          <w:shd w:fill="auto" w:val="clear"/>
        </w:rPr>
        <w:t xml:space="preserve">Pore</w:t>
      </w:r>
      <w:r>
        <w:rPr>
          <w:rFonts w:ascii="Calibri" w:hAnsi="Calibri" w:cs="Calibri" w:eastAsia="Calibri"/>
          <w:b/>
          <w:color w:val="auto"/>
          <w:spacing w:val="0"/>
          <w:position w:val="0"/>
          <w:sz w:val="20"/>
          <w:shd w:fill="auto" w:val="clear"/>
        </w:rPr>
        <w:t xml:space="preserve">đenje emisija CO</w:t>
      </w:r>
      <w:r>
        <w:rPr>
          <w:rFonts w:ascii="Calibri" w:hAnsi="Calibri" w:cs="Calibri" w:eastAsia="Calibri"/>
          <w:b/>
          <w:color w:val="auto"/>
          <w:spacing w:val="0"/>
          <w:position w:val="0"/>
          <w:sz w:val="20"/>
          <w:shd w:fill="auto" w:val="clear"/>
          <w:vertAlign w:val="subscript"/>
        </w:rPr>
        <w:t xml:space="preserve">2</w:t>
      </w:r>
      <w:r>
        <w:rPr>
          <w:rFonts w:ascii="Calibri" w:hAnsi="Calibri" w:cs="Calibri" w:eastAsia="Calibri"/>
          <w:b/>
          <w:color w:val="auto"/>
          <w:spacing w:val="0"/>
          <w:position w:val="0"/>
          <w:sz w:val="20"/>
          <w:shd w:fill="auto" w:val="clear"/>
        </w:rPr>
        <w:t xml:space="preserve"> iz baznog i kontrolnog inventara jasno pokazuje da su u periodu od bazne 2010. do kontrolne 2020. godine na području općine Doboj Istok uloženi značajni napori na smanjenju potrošnje energije u svim razmatranim sektorima, a time i na smanjenju emisija CO</w:t>
      </w:r>
      <w:r>
        <w:rPr>
          <w:rFonts w:ascii="Calibri" w:hAnsi="Calibri" w:cs="Calibri" w:eastAsia="Calibri"/>
          <w:b/>
          <w:color w:val="auto"/>
          <w:spacing w:val="0"/>
          <w:position w:val="0"/>
          <w:sz w:val="20"/>
          <w:shd w:fill="auto" w:val="clear"/>
          <w:vertAlign w:val="subscript"/>
        </w:rPr>
        <w:t xml:space="preserve">2</w:t>
      </w:r>
      <w:r>
        <w:rPr>
          <w:rFonts w:ascii="Calibri" w:hAnsi="Calibri" w:cs="Calibri" w:eastAsia="Calibri"/>
          <w:b/>
          <w:color w:val="auto"/>
          <w:spacing w:val="0"/>
          <w:position w:val="0"/>
          <w:sz w:val="20"/>
          <w:shd w:fill="auto" w:val="clear"/>
        </w:rPr>
        <w:t xml:space="preserve">. Provedeni proračuni i analize takođe pokazuju da su postavljeni ciljevi realni, te da ih Općina Doboj Istok može bez problema dostići realizacijom planiranih mjera.</w:t>
      </w:r>
      <w:r>
        <w:rPr>
          <w:rFonts w:ascii="Calibri" w:hAnsi="Calibri" w:cs="Calibri" w:eastAsia="Calibri"/>
          <w:color w:val="auto"/>
          <w:spacing w:val="0"/>
          <w:position w:val="0"/>
          <w:sz w:val="20"/>
          <w:shd w:fill="auto" w:val="clear"/>
        </w:rPr>
        <w:t xml:space="preserve"> Za dostizanje prvog cilja, Akcionim planom je predviđena realizacija 9 mjera usmjerenih na smanjenje potrošnje energije te smanjenje pripadajućih emisija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iz svih razmatranih sektora finalne energetske potrošnje. Za dostizanje drugog cilja, Akcionim planom je predviđena realizacija 17 mjera koje su usmjerene na jačanje kapaciteta općine za prilagođavanje postojećim i budućim posljedicama klimatskih promjena. </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Uspostava odgovaraju</w:t>
      </w:r>
      <w:r>
        <w:rPr>
          <w:rFonts w:ascii="Calibri" w:hAnsi="Calibri" w:cs="Calibri" w:eastAsia="Calibri"/>
          <w:color w:val="auto"/>
          <w:spacing w:val="0"/>
          <w:position w:val="0"/>
          <w:sz w:val="20"/>
          <w:shd w:fill="auto" w:val="clear"/>
        </w:rPr>
        <w:t xml:space="preserve">ćeg institucionalnog mehanizma za provođenje, praćenje i kontrolu realizacije planiranih mjera i izvještavanje o postignutim rezultatima i ciljevima, te korištenje financijskih mehanizama koji su na raspolaganju jedinicama lokalne samouprave predstavljaju dodatnu garanciju za dostizanje postavljenih ciljeva i ubrzano približavanje postavljenoj viziji. Općina Doboj Istok će ovaj Akcioni plan koristiti kao ključni dokument u procesu planiranja operativnih programa za iduće financijsko razdoblje u oblasti energetske efikasnosti i prilagođavanja klimatskim promjenma.   </w:t>
      </w:r>
    </w:p>
    <w:p>
      <w:pPr>
        <w:spacing w:before="60" w:after="0" w:line="240"/>
        <w:ind w:right="0" w:left="0" w:firstLine="0"/>
        <w:jc w:val="left"/>
        <w:rPr>
          <w:rFonts w:ascii="Calibri" w:hAnsi="Calibri" w:cs="Calibri" w:eastAsia="Calibri"/>
          <w:b/>
          <w:color w:val="auto"/>
          <w:spacing w:val="0"/>
          <w:position w:val="0"/>
          <w:sz w:val="20"/>
          <w:shd w:fill="FFFF00" w:val="clear"/>
        </w:rPr>
      </w:pPr>
    </w:p>
    <w:p>
      <w:pPr>
        <w:spacing w:before="60" w:after="0" w:line="240"/>
        <w:ind w:right="0" w:left="0" w:firstLine="0"/>
        <w:jc w:val="left"/>
        <w:rPr>
          <w:rFonts w:ascii="Calibri" w:hAnsi="Calibri" w:cs="Calibri" w:eastAsia="Calibri"/>
          <w:color w:val="auto"/>
          <w:spacing w:val="0"/>
          <w:position w:val="0"/>
          <w:sz w:val="20"/>
          <w:shd w:fill="FFFF00" w:val="clear"/>
        </w:rPr>
      </w:pPr>
      <w:r>
        <w:rPr>
          <w:rFonts w:ascii="Calibri" w:hAnsi="Calibri" w:cs="Calibri" w:eastAsia="Calibri"/>
          <w:color w:val="auto"/>
          <w:spacing w:val="0"/>
          <w:position w:val="0"/>
          <w:sz w:val="20"/>
          <w:shd w:fill="FFFF00" w:val="clear"/>
        </w:rPr>
        <w:t xml:space="preserve"> </w:t>
      </w:r>
    </w:p>
    <w:p>
      <w:pPr>
        <w:spacing w:before="0" w:after="0" w:line="240"/>
        <w:ind w:right="0" w:left="0" w:firstLine="0"/>
        <w:jc w:val="left"/>
        <w:rPr>
          <w:rFonts w:ascii="Calibri" w:hAnsi="Calibri" w:cs="Calibri" w:eastAsia="Calibri"/>
          <w:color w:val="auto"/>
          <w:spacing w:val="0"/>
          <w:position w:val="0"/>
          <w:sz w:val="20"/>
          <w:shd w:fill="FFFF00" w:val="clear"/>
        </w:rPr>
      </w:pPr>
    </w:p>
    <w:p>
      <w:pPr>
        <w:keepNext w:val="true"/>
        <w:keepLines w:val="true"/>
        <w:numPr>
          <w:ilvl w:val="0"/>
          <w:numId w:val="290"/>
        </w:numPr>
        <w:spacing w:before="360" w:after="0" w:line="240"/>
        <w:ind w:right="0" w:left="431" w:hanging="431"/>
        <w:jc w:val="both"/>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METODOLOGIJA IZRADE AKCIONOG PLANA </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Metodologija primijenjena kod izrade </w:t>
      </w:r>
      <w:r>
        <w:rPr>
          <w:rFonts w:ascii="Calibri" w:hAnsi="Calibri" w:cs="Calibri" w:eastAsia="Calibri"/>
          <w:i/>
          <w:color w:val="auto"/>
          <w:spacing w:val="0"/>
          <w:position w:val="0"/>
          <w:sz w:val="20"/>
          <w:shd w:fill="auto" w:val="clear"/>
        </w:rPr>
        <w:t xml:space="preserve">Akcionog plana održivog upravljanja energijom i prilago</w:t>
      </w:r>
      <w:r>
        <w:rPr>
          <w:rFonts w:ascii="Calibri" w:hAnsi="Calibri" w:cs="Calibri" w:eastAsia="Calibri"/>
          <w:i/>
          <w:color w:val="auto"/>
          <w:spacing w:val="0"/>
          <w:position w:val="0"/>
          <w:sz w:val="20"/>
          <w:shd w:fill="auto" w:val="clear"/>
        </w:rPr>
        <w:t xml:space="preserve">đavanja klimatskim promjenama  Općine Doboj Istok za period do 2030. godine (SECAP Doboj Istok)</w:t>
      </w:r>
      <w:r>
        <w:rPr>
          <w:rFonts w:ascii="Calibri" w:hAnsi="Calibri" w:cs="Calibri" w:eastAsia="Calibri"/>
          <w:color w:val="auto"/>
          <w:spacing w:val="0"/>
          <w:position w:val="0"/>
          <w:sz w:val="20"/>
          <w:shd w:fill="auto" w:val="clear"/>
        </w:rPr>
        <w:t xml:space="preserve"> se zasniva na slijedećim ključnim principima:</w:t>
      </w:r>
    </w:p>
    <w:p>
      <w:pPr>
        <w:numPr>
          <w:ilvl w:val="0"/>
          <w:numId w:val="292"/>
        </w:numPr>
        <w:spacing w:before="60" w:after="0" w:line="240"/>
        <w:ind w:right="0" w:left="720" w:hanging="36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Pra</w:t>
      </w:r>
      <w:r>
        <w:rPr>
          <w:rFonts w:ascii="Calibri" w:hAnsi="Calibri" w:cs="Calibri" w:eastAsia="Calibri"/>
          <w:color w:val="auto"/>
          <w:spacing w:val="0"/>
          <w:position w:val="0"/>
          <w:sz w:val="20"/>
          <w:shd w:fill="auto" w:val="clear"/>
        </w:rPr>
        <w:t xml:space="preserve">ćenje smjernica i preporuka koje su date u priručnicima za izradu ovog dokumenta, kreiranim od strane Sporazuma gradonačelnika u saradnji sa </w:t>
      </w:r>
      <w:r>
        <w:rPr>
          <w:rFonts w:ascii="Calibri" w:hAnsi="Calibri" w:cs="Calibri" w:eastAsia="Calibri"/>
          <w:i/>
          <w:color w:val="auto"/>
          <w:spacing w:val="0"/>
          <w:position w:val="0"/>
          <w:sz w:val="20"/>
          <w:shd w:fill="auto" w:val="clear"/>
        </w:rPr>
        <w:t xml:space="preserve">Zajedničkim istraživačkim centrom Evropske komisije</w:t>
      </w:r>
      <w:r>
        <w:rPr>
          <w:rFonts w:ascii="Calibri" w:hAnsi="Calibri" w:cs="Calibri" w:eastAsia="Calibri"/>
          <w:color w:val="auto"/>
          <w:spacing w:val="0"/>
          <w:position w:val="0"/>
          <w:sz w:val="20"/>
          <w:shd w:fill="auto" w:val="clear"/>
        </w:rPr>
        <w:t xml:space="preserve">;</w:t>
      </w:r>
    </w:p>
    <w:p>
      <w:pPr>
        <w:numPr>
          <w:ilvl w:val="0"/>
          <w:numId w:val="292"/>
        </w:numPr>
        <w:spacing w:before="0" w:after="0" w:line="240"/>
        <w:ind w:right="0" w:left="714" w:hanging="357"/>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Korištenje ulaznih podataka iz zvani</w:t>
      </w:r>
      <w:r>
        <w:rPr>
          <w:rFonts w:ascii="Calibri" w:hAnsi="Calibri" w:cs="Calibri" w:eastAsia="Calibri"/>
          <w:color w:val="auto"/>
          <w:spacing w:val="0"/>
          <w:position w:val="0"/>
          <w:sz w:val="20"/>
          <w:shd w:fill="auto" w:val="clear"/>
        </w:rPr>
        <w:t xml:space="preserve">čnih javno dostupnih izvora, u kombinaciji sa podacima prikupljenim u procesu izrade SECAP-a od strane općinskog tima i savjetodavne grupe za izradu SECAP-a Doboj Istok, te građana;</w:t>
      </w:r>
    </w:p>
    <w:p>
      <w:pPr>
        <w:numPr>
          <w:ilvl w:val="0"/>
          <w:numId w:val="292"/>
        </w:numPr>
        <w:spacing w:before="0" w:after="0" w:line="240"/>
        <w:ind w:right="0" w:left="714" w:hanging="357"/>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Primjena institucionalnih i individualnih znanja, iskustava i dobrih praksi, koje su </w:t>
      </w:r>
      <w:r>
        <w:rPr>
          <w:rFonts w:ascii="Calibri" w:hAnsi="Calibri" w:cs="Calibri" w:eastAsia="Calibri"/>
          <w:color w:val="auto"/>
          <w:spacing w:val="0"/>
          <w:position w:val="0"/>
          <w:sz w:val="20"/>
          <w:shd w:fill="auto" w:val="clear"/>
        </w:rPr>
        <w:t xml:space="preserve">članovi radnog tima i savjetodavne grupe za izradu ovog dokumenta stekli u provođenju ostalih aktivnosti u oblasti održive energije i klime; i</w:t>
      </w:r>
    </w:p>
    <w:p>
      <w:pPr>
        <w:numPr>
          <w:ilvl w:val="0"/>
          <w:numId w:val="292"/>
        </w:numPr>
        <w:spacing w:before="0" w:after="0" w:line="240"/>
        <w:ind w:right="0" w:left="714" w:hanging="357"/>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Ekspertsku tehni</w:t>
      </w:r>
      <w:r>
        <w:rPr>
          <w:rFonts w:ascii="Calibri" w:hAnsi="Calibri" w:cs="Calibri" w:eastAsia="Calibri"/>
          <w:color w:val="auto"/>
          <w:spacing w:val="0"/>
          <w:position w:val="0"/>
          <w:sz w:val="20"/>
          <w:shd w:fill="auto" w:val="clear"/>
        </w:rPr>
        <w:t xml:space="preserve">čku podršku pri izradi ovog dokumenta obezbijedio je UNDP BiH kroz konsultantske usluge </w:t>
      </w:r>
      <w:r>
        <w:rPr>
          <w:rFonts w:ascii="Calibri" w:hAnsi="Calibri" w:cs="Calibri" w:eastAsia="Calibri"/>
          <w:i/>
          <w:color w:val="auto"/>
          <w:spacing w:val="0"/>
          <w:position w:val="0"/>
          <w:sz w:val="20"/>
          <w:shd w:fill="auto" w:val="clear"/>
        </w:rPr>
        <w:t xml:space="preserve">Centra za razvoj i podršku (CRP)</w:t>
      </w:r>
      <w:r>
        <w:rPr>
          <w:rFonts w:ascii="Calibri" w:hAnsi="Calibri" w:cs="Calibri" w:eastAsia="Calibri"/>
          <w:color w:val="auto"/>
          <w:spacing w:val="0"/>
          <w:position w:val="0"/>
          <w:sz w:val="20"/>
          <w:shd w:fill="auto" w:val="clear"/>
        </w:rPr>
        <w:t xml:space="preserve"> iz Tuzle. </w:t>
      </w:r>
    </w:p>
    <w:p>
      <w:pPr>
        <w:keepNext w:val="true"/>
        <w:keepLines w:val="true"/>
        <w:numPr>
          <w:ilvl w:val="0"/>
          <w:numId w:val="292"/>
        </w:numPr>
        <w:spacing w:before="240" w:after="0" w:line="240"/>
        <w:ind w:right="0" w:left="578" w:hanging="578"/>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Metodologija provo</w:t>
      </w:r>
      <w:r>
        <w:rPr>
          <w:rFonts w:ascii="Calibri" w:hAnsi="Calibri" w:cs="Calibri" w:eastAsia="Calibri"/>
          <w:b/>
          <w:color w:val="auto"/>
          <w:spacing w:val="0"/>
          <w:position w:val="0"/>
          <w:sz w:val="24"/>
          <w:shd w:fill="auto" w:val="clear"/>
        </w:rPr>
        <w:t xml:space="preserve">đenja procesa izrade SECAP-a Doboj Istok za period do 2030. godine</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Cjelokupan proces izrade SECAP-a Doboj Istok obuhvatio je slijede</w:t>
      </w:r>
      <w:r>
        <w:rPr>
          <w:rFonts w:ascii="Calibri" w:hAnsi="Calibri" w:cs="Calibri" w:eastAsia="Calibri"/>
          <w:color w:val="auto"/>
          <w:spacing w:val="0"/>
          <w:position w:val="0"/>
          <w:sz w:val="20"/>
          <w:shd w:fill="auto" w:val="clear"/>
        </w:rPr>
        <w:t xml:space="preserve">će glavne faze:</w:t>
      </w:r>
    </w:p>
    <w:p>
      <w:pPr>
        <w:numPr>
          <w:ilvl w:val="0"/>
          <w:numId w:val="296"/>
        </w:numPr>
        <w:spacing w:before="60" w:after="0" w:line="240"/>
        <w:ind w:right="0" w:left="720" w:hanging="36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Pripremne aktivnosti usmjerene na pokretanje procesa izrade SECAP-a Doboj Istok, i</w:t>
      </w:r>
    </w:p>
    <w:p>
      <w:pPr>
        <w:numPr>
          <w:ilvl w:val="0"/>
          <w:numId w:val="296"/>
        </w:numPr>
        <w:spacing w:before="60" w:after="0" w:line="240"/>
        <w:ind w:right="0" w:left="714" w:hanging="357"/>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Izrada dokumenta SECAP Doboj Istok u zahtijevanom formatu.</w:t>
      </w:r>
    </w:p>
    <w:p>
      <w:pPr>
        <w:spacing w:before="60" w:after="160" w:line="240"/>
        <w:ind w:right="0" w:left="0" w:firstLine="0"/>
        <w:jc w:val="left"/>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Prikaz glavnih aktivnosti realiziranih u procesu izrade SECAP-a Doboj Istok dat je u narednoj tabeli:</w:t>
      </w:r>
    </w:p>
    <w:tbl>
      <w:tblPr/>
      <w:tblGrid>
        <w:gridCol w:w="1886"/>
        <w:gridCol w:w="7632"/>
      </w:tblGrid>
      <w:tr>
        <w:trPr>
          <w:trHeight w:val="20" w:hRule="auto"/>
          <w:jc w:val="left"/>
        </w:trPr>
        <w:tc>
          <w:tcPr>
            <w:tcW w:w="1886" w:type="dxa"/>
            <w:tcBorders>
              <w:top w:val="single" w:color="000000" w:sz="4"/>
              <w:left w:val="single" w:color="000000" w:sz="4"/>
              <w:bottom w:val="single" w:color="000000" w:sz="4"/>
              <w:right w:val="single" w:color="000000" w:sz="4"/>
            </w:tcBorders>
            <w:shd w:color="auto" w:fill="bdd6ee" w:val="clear"/>
            <w:tcMar>
              <w:left w:w="56" w:type="dxa"/>
              <w:right w:w="56" w:type="dxa"/>
            </w:tcMar>
            <w:vAlign w:val="top"/>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Faza</w:t>
            </w:r>
          </w:p>
        </w:tc>
        <w:tc>
          <w:tcPr>
            <w:tcW w:w="7632" w:type="dxa"/>
            <w:tcBorders>
              <w:top w:val="single" w:color="000000" w:sz="4"/>
              <w:left w:val="single" w:color="000000" w:sz="4"/>
              <w:bottom w:val="single" w:color="000000" w:sz="4"/>
              <w:right w:val="single" w:color="000000" w:sz="4"/>
            </w:tcBorders>
            <w:shd w:color="auto" w:fill="bdd6ee" w:val="clear"/>
            <w:tcMar>
              <w:left w:w="56" w:type="dxa"/>
              <w:right w:w="56" w:type="dxa"/>
            </w:tcMar>
            <w:vAlign w:val="top"/>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Aktivnosti</w:t>
            </w:r>
          </w:p>
        </w:tc>
      </w:tr>
      <w:tr>
        <w:trPr>
          <w:trHeight w:val="20" w:hRule="auto"/>
          <w:jc w:val="left"/>
        </w:trPr>
        <w:tc>
          <w:tcPr>
            <w:tcW w:w="1886" w:type="dxa"/>
            <w:tcBorders>
              <w:top w:val="single" w:color="000000" w:sz="4"/>
              <w:left w:val="single" w:color="000000" w:sz="4"/>
              <w:bottom w:val="single" w:color="000000" w:sz="4"/>
              <w:right w:val="single" w:color="000000" w:sz="4"/>
            </w:tcBorders>
            <w:shd w:color="auto" w:fill="bdd6ee" w:val="clear"/>
            <w:tcMar>
              <w:left w:w="56" w:type="dxa"/>
              <w:right w:w="56" w:type="dxa"/>
            </w:tcMar>
            <w:vAlign w:val="center"/>
          </w:tcPr>
          <w:p>
            <w:pPr>
              <w:spacing w:before="120" w:after="0" w:line="240"/>
              <w:ind w:right="0" w:left="0" w:firstLine="0"/>
              <w:jc w:val="left"/>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Pripremne aktivnosti</w:t>
            </w:r>
          </w:p>
        </w:tc>
        <w:tc>
          <w:tcPr>
            <w:tcW w:w="7632" w:type="dxa"/>
            <w:tcBorders>
              <w:top w:val="single" w:color="000000" w:sz="4"/>
              <w:left w:val="single" w:color="000000" w:sz="4"/>
              <w:bottom w:val="single" w:color="000000" w:sz="4"/>
              <w:right w:val="single" w:color="000000" w:sz="4"/>
            </w:tcBorders>
            <w:shd w:color="000000" w:fill="ffffff" w:val="clear"/>
            <w:tcMar>
              <w:left w:w="56" w:type="dxa"/>
              <w:right w:w="56" w:type="dxa"/>
            </w:tcMar>
            <w:vAlign w:val="top"/>
          </w:tcPr>
          <w:p>
            <w:pPr>
              <w:numPr>
                <w:ilvl w:val="0"/>
                <w:numId w:val="304"/>
              </w:numPr>
              <w:spacing w:before="40" w:after="0" w:line="240"/>
              <w:ind w:right="0" w:left="357"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Postizanje politi</w:t>
            </w:r>
            <w:r>
              <w:rPr>
                <w:rFonts w:ascii="Calibri" w:hAnsi="Calibri" w:cs="Calibri" w:eastAsia="Calibri"/>
                <w:color w:val="auto"/>
                <w:spacing w:val="0"/>
                <w:position w:val="0"/>
                <w:sz w:val="18"/>
                <w:shd w:fill="auto" w:val="clear"/>
              </w:rPr>
              <w:t xml:space="preserve">čke saglasnosti za izradu i realizaciju SECAP-a Doboj Istok;</w:t>
            </w:r>
          </w:p>
          <w:p>
            <w:pPr>
              <w:numPr>
                <w:ilvl w:val="0"/>
                <w:numId w:val="304"/>
              </w:numPr>
              <w:spacing w:before="120" w:after="0" w:line="240"/>
              <w:ind w:right="0" w:left="360" w:hanging="360"/>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Uklju</w:t>
            </w:r>
            <w:r>
              <w:rPr>
                <w:rFonts w:ascii="Calibri" w:hAnsi="Calibri" w:cs="Calibri" w:eastAsia="Calibri"/>
                <w:color w:val="auto"/>
                <w:spacing w:val="0"/>
                <w:position w:val="0"/>
                <w:sz w:val="18"/>
                <w:shd w:fill="auto" w:val="clear"/>
              </w:rPr>
              <w:t xml:space="preserve">čenje svih relevantnih službi Općine u izradu SECAP-a;</w:t>
            </w:r>
          </w:p>
          <w:p>
            <w:pPr>
              <w:numPr>
                <w:ilvl w:val="0"/>
                <w:numId w:val="304"/>
              </w:numPr>
              <w:spacing w:before="0" w:after="40" w:line="240"/>
              <w:ind w:right="0" w:left="357" w:hanging="357"/>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Obezbje</w:t>
            </w:r>
            <w:r>
              <w:rPr>
                <w:rFonts w:ascii="Calibri" w:hAnsi="Calibri" w:cs="Calibri" w:eastAsia="Calibri"/>
                <w:color w:val="auto"/>
                <w:spacing w:val="0"/>
                <w:position w:val="0"/>
                <w:sz w:val="18"/>
                <w:shd w:fill="auto" w:val="clear"/>
              </w:rPr>
              <w:t xml:space="preserve">đivanje podrške interesnih strana i javnosti za izradu i realizaciju SECAP-a</w:t>
            </w:r>
          </w:p>
        </w:tc>
      </w:tr>
      <w:tr>
        <w:trPr>
          <w:trHeight w:val="20" w:hRule="auto"/>
          <w:jc w:val="left"/>
        </w:trPr>
        <w:tc>
          <w:tcPr>
            <w:tcW w:w="1886" w:type="dxa"/>
            <w:tcBorders>
              <w:top w:val="single" w:color="000000" w:sz="4"/>
              <w:left w:val="single" w:color="000000" w:sz="4"/>
              <w:bottom w:val="single" w:color="000000" w:sz="4"/>
              <w:right w:val="single" w:color="000000" w:sz="4"/>
            </w:tcBorders>
            <w:shd w:color="auto" w:fill="bdd6ee" w:val="clear"/>
            <w:tcMar>
              <w:left w:w="56" w:type="dxa"/>
              <w:right w:w="56" w:type="dxa"/>
            </w:tcMar>
            <w:vAlign w:val="center"/>
          </w:tcPr>
          <w:p>
            <w:pPr>
              <w:spacing w:before="120" w:after="0" w:line="240"/>
              <w:ind w:right="0" w:left="0" w:firstLine="0"/>
              <w:jc w:val="left"/>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Proces izrade dokumenta</w:t>
            </w:r>
          </w:p>
        </w:tc>
        <w:tc>
          <w:tcPr>
            <w:tcW w:w="7632" w:type="dxa"/>
            <w:tcBorders>
              <w:top w:val="single" w:color="000000" w:sz="4"/>
              <w:left w:val="single" w:color="000000" w:sz="4"/>
              <w:bottom w:val="single" w:color="000000" w:sz="4"/>
              <w:right w:val="single" w:color="000000" w:sz="4"/>
            </w:tcBorders>
            <w:shd w:color="000000" w:fill="ffffff" w:val="clear"/>
            <w:tcMar>
              <w:left w:w="56" w:type="dxa"/>
              <w:right w:w="56" w:type="dxa"/>
            </w:tcMar>
            <w:vAlign w:val="top"/>
          </w:tcPr>
          <w:p>
            <w:pPr>
              <w:numPr>
                <w:ilvl w:val="0"/>
                <w:numId w:val="309"/>
              </w:numPr>
              <w:spacing w:before="40" w:after="0" w:line="240"/>
              <w:ind w:right="0" w:left="357" w:hanging="357"/>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Odre</w:t>
            </w:r>
            <w:r>
              <w:rPr>
                <w:rFonts w:ascii="Calibri" w:hAnsi="Calibri" w:cs="Calibri" w:eastAsia="Calibri"/>
                <w:color w:val="auto"/>
                <w:spacing w:val="0"/>
                <w:position w:val="0"/>
                <w:sz w:val="18"/>
                <w:shd w:fill="auto" w:val="clear"/>
              </w:rPr>
              <w:t xml:space="preserve">đivanje ključnih elemenata SECAP-a Doboj Istok i metodologije za vršenje analiza i proračuna;</w:t>
            </w:r>
          </w:p>
          <w:p>
            <w:pPr>
              <w:numPr>
                <w:ilvl w:val="0"/>
                <w:numId w:val="309"/>
              </w:numPr>
              <w:spacing w:before="0" w:after="0" w:line="240"/>
              <w:ind w:right="0" w:left="360" w:hanging="36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Analiza postoje</w:t>
            </w:r>
            <w:r>
              <w:rPr>
                <w:rFonts w:ascii="Calibri" w:hAnsi="Calibri" w:cs="Calibri" w:eastAsia="Calibri"/>
                <w:color w:val="auto"/>
                <w:spacing w:val="0"/>
                <w:position w:val="0"/>
                <w:sz w:val="18"/>
                <w:shd w:fill="auto" w:val="clear"/>
              </w:rPr>
              <w:t xml:space="preserve">ćeg stanja na području općine Doboj Istok:</w:t>
            </w:r>
          </w:p>
          <w:p>
            <w:pPr>
              <w:numPr>
                <w:ilvl w:val="0"/>
                <w:numId w:val="309"/>
              </w:numPr>
              <w:spacing w:before="0" w:after="0" w:line="240"/>
              <w:ind w:right="0" w:left="1077" w:hanging="357"/>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Analiza pravnog okvira koji usmjerava djelovanje Op</w:t>
            </w:r>
            <w:r>
              <w:rPr>
                <w:rFonts w:ascii="Calibri" w:hAnsi="Calibri" w:cs="Calibri" w:eastAsia="Calibri"/>
                <w:color w:val="auto"/>
                <w:spacing w:val="0"/>
                <w:position w:val="0"/>
                <w:sz w:val="18"/>
                <w:shd w:fill="auto" w:val="clear"/>
              </w:rPr>
              <w:t xml:space="preserve">ćine u oblasti energije i klimatskih promjena;</w:t>
            </w:r>
          </w:p>
          <w:p>
            <w:pPr>
              <w:numPr>
                <w:ilvl w:val="0"/>
                <w:numId w:val="309"/>
              </w:numPr>
              <w:spacing w:before="0" w:after="0" w:line="240"/>
              <w:ind w:right="0" w:left="1077" w:hanging="357"/>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Izrada baznog i kontrolnog inventara emisija stakleni</w:t>
            </w:r>
            <w:r>
              <w:rPr>
                <w:rFonts w:ascii="Calibri" w:hAnsi="Calibri" w:cs="Calibri" w:eastAsia="Calibri"/>
                <w:color w:val="auto"/>
                <w:spacing w:val="0"/>
                <w:position w:val="0"/>
                <w:sz w:val="18"/>
                <w:shd w:fill="auto" w:val="clear"/>
              </w:rPr>
              <w:t xml:space="preserve">čkih gasova;</w:t>
            </w:r>
          </w:p>
          <w:p>
            <w:pPr>
              <w:numPr>
                <w:ilvl w:val="0"/>
                <w:numId w:val="309"/>
              </w:numPr>
              <w:spacing w:before="0" w:after="0" w:line="240"/>
              <w:ind w:right="0" w:left="1077" w:hanging="357"/>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Procjena rizika i izloženosti op</w:t>
            </w:r>
            <w:r>
              <w:rPr>
                <w:rFonts w:ascii="Calibri" w:hAnsi="Calibri" w:cs="Calibri" w:eastAsia="Calibri"/>
                <w:color w:val="auto"/>
                <w:spacing w:val="0"/>
                <w:position w:val="0"/>
                <w:sz w:val="18"/>
                <w:shd w:fill="auto" w:val="clear"/>
              </w:rPr>
              <w:t xml:space="preserve">ćine Doboj Istok klimatskim promjenama;</w:t>
            </w:r>
          </w:p>
          <w:p>
            <w:pPr>
              <w:numPr>
                <w:ilvl w:val="0"/>
                <w:numId w:val="309"/>
              </w:numPr>
              <w:spacing w:before="0" w:after="0" w:line="240"/>
              <w:ind w:right="0" w:left="360" w:hanging="36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Odre</w:t>
            </w:r>
            <w:r>
              <w:rPr>
                <w:rFonts w:ascii="Calibri" w:hAnsi="Calibri" w:cs="Calibri" w:eastAsia="Calibri"/>
                <w:color w:val="auto"/>
                <w:spacing w:val="0"/>
                <w:position w:val="0"/>
                <w:sz w:val="18"/>
                <w:shd w:fill="auto" w:val="clear"/>
              </w:rPr>
              <w:t xml:space="preserve">đivanje dugoročne vizije općine Doboj Istok i postavljanje ciljeva u oblasti (a) ublažavanja klimatskih promjena, i (b) prilagođavanja na klimatske promjene;</w:t>
            </w:r>
          </w:p>
          <w:p>
            <w:pPr>
              <w:numPr>
                <w:ilvl w:val="0"/>
                <w:numId w:val="309"/>
              </w:numPr>
              <w:spacing w:before="0" w:after="0" w:line="240"/>
              <w:ind w:right="0" w:left="360" w:hanging="360"/>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Izrada plana mjera za postizanje cilja postavljenog u oblasti ublažavanja klimatskih promjena odnosno smanjenja emisija stakleni</w:t>
            </w:r>
            <w:r>
              <w:rPr>
                <w:rFonts w:ascii="Calibri" w:hAnsi="Calibri" w:cs="Calibri" w:eastAsia="Calibri"/>
                <w:color w:val="auto"/>
                <w:spacing w:val="0"/>
                <w:position w:val="0"/>
                <w:sz w:val="18"/>
                <w:shd w:fill="auto" w:val="clear"/>
              </w:rPr>
              <w:t xml:space="preserve">čkih gasova; </w:t>
            </w:r>
          </w:p>
          <w:p>
            <w:pPr>
              <w:numPr>
                <w:ilvl w:val="0"/>
                <w:numId w:val="309"/>
              </w:numPr>
              <w:spacing w:before="0" w:after="0" w:line="240"/>
              <w:ind w:right="0" w:left="360" w:hanging="360"/>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Izrada plana mjera za postizanje cilja u oblasti prilago</w:t>
            </w:r>
            <w:r>
              <w:rPr>
                <w:rFonts w:ascii="Calibri" w:hAnsi="Calibri" w:cs="Calibri" w:eastAsia="Calibri"/>
                <w:color w:val="auto"/>
                <w:spacing w:val="0"/>
                <w:position w:val="0"/>
                <w:sz w:val="18"/>
                <w:shd w:fill="auto" w:val="clear"/>
              </w:rPr>
              <w:t xml:space="preserve">đavanja na klimatske promjene; </w:t>
            </w:r>
          </w:p>
          <w:p>
            <w:pPr>
              <w:numPr>
                <w:ilvl w:val="0"/>
                <w:numId w:val="309"/>
              </w:numPr>
              <w:spacing w:before="0" w:after="40" w:line="240"/>
              <w:ind w:right="0" w:left="357" w:hanging="357"/>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Izrada finalnog dokumenta </w:t>
            </w:r>
            <w:r>
              <w:rPr>
                <w:rFonts w:ascii="Calibri" w:hAnsi="Calibri" w:cs="Calibri" w:eastAsia="Calibri"/>
                <w:i/>
                <w:color w:val="auto"/>
                <w:spacing w:val="0"/>
                <w:position w:val="0"/>
                <w:sz w:val="18"/>
                <w:shd w:fill="auto" w:val="clear"/>
              </w:rPr>
              <w:t xml:space="preserve">SECAP Doboj Istok za period do 2030.godine</w:t>
            </w:r>
          </w:p>
        </w:tc>
      </w:tr>
    </w:tbl>
    <w:p>
      <w:pPr>
        <w:spacing w:before="60" w:after="160" w:line="240"/>
        <w:ind w:right="0" w:left="0" w:firstLine="0"/>
        <w:jc w:val="center"/>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Tabela 31: Prikaz klju</w:t>
      </w:r>
      <w:r>
        <w:rPr>
          <w:rFonts w:ascii="Calibri" w:hAnsi="Calibri" w:cs="Calibri" w:eastAsia="Calibri"/>
          <w:color w:val="auto"/>
          <w:spacing w:val="0"/>
          <w:position w:val="0"/>
          <w:sz w:val="18"/>
          <w:shd w:fill="auto" w:val="clear"/>
        </w:rPr>
        <w:t xml:space="preserve">čnih faza i aktivnosti u procesu izrade SECAP-a Doboj Istok</w:t>
      </w:r>
    </w:p>
    <w:p>
      <w:pPr>
        <w:keepNext w:val="true"/>
        <w:keepLines w:val="true"/>
        <w:numPr>
          <w:ilvl w:val="0"/>
          <w:numId w:val="317"/>
        </w:numPr>
        <w:spacing w:before="120" w:after="0" w:line="240"/>
        <w:ind w:right="0" w:left="720" w:hanging="72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Pripremne aktivnosti za pokretanje procesa izrade SECAP-a Doboj Istok</w:t>
      </w:r>
    </w:p>
    <w:p>
      <w:pPr>
        <w:spacing w:before="120" w:after="0" w:line="240"/>
        <w:ind w:right="0" w:left="0" w:firstLine="0"/>
        <w:jc w:val="both"/>
        <w:rPr>
          <w:rFonts w:ascii="Calibri" w:hAnsi="Calibri" w:cs="Calibri" w:eastAsia="Calibri"/>
          <w:i/>
          <w:color w:val="auto"/>
          <w:spacing w:val="0"/>
          <w:position w:val="0"/>
          <w:sz w:val="20"/>
          <w:u w:val="single"/>
          <w:shd w:fill="auto" w:val="clear"/>
        </w:rPr>
      </w:pPr>
      <w:r>
        <w:rPr>
          <w:rFonts w:ascii="Calibri" w:hAnsi="Calibri" w:cs="Calibri" w:eastAsia="Calibri"/>
          <w:i/>
          <w:color w:val="auto"/>
          <w:spacing w:val="0"/>
          <w:position w:val="0"/>
          <w:sz w:val="20"/>
          <w:u w:val="single"/>
          <w:shd w:fill="auto" w:val="clear"/>
        </w:rPr>
        <w:t xml:space="preserve">Postizanje politi</w:t>
      </w:r>
      <w:r>
        <w:rPr>
          <w:rFonts w:ascii="Calibri" w:hAnsi="Calibri" w:cs="Calibri" w:eastAsia="Calibri"/>
          <w:i/>
          <w:color w:val="auto"/>
          <w:spacing w:val="0"/>
          <w:position w:val="0"/>
          <w:sz w:val="20"/>
          <w:u w:val="single"/>
          <w:shd w:fill="auto" w:val="clear"/>
        </w:rPr>
        <w:t xml:space="preserve">čke saglasnosti za izradu i realizaciju SECAP-a Doboj Istok</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Klju</w:t>
      </w:r>
      <w:r>
        <w:rPr>
          <w:rFonts w:ascii="Calibri" w:hAnsi="Calibri" w:cs="Calibri" w:eastAsia="Calibri"/>
          <w:color w:val="auto"/>
          <w:spacing w:val="0"/>
          <w:position w:val="0"/>
          <w:sz w:val="20"/>
          <w:shd w:fill="auto" w:val="clear"/>
        </w:rPr>
        <w:t xml:space="preserve">čni preduslov za izradu kvalitetnog SECAP-a Doboj Istok i za njegovu uspješnu realizaciju je jasno iskazana podrška cjelokupnom procesu od strane općinskog načelnika i Općinskog vijeća. Ova podrška je formalizirana </w:t>
      </w:r>
      <w:r>
        <w:rPr>
          <w:rFonts w:ascii="Calibri" w:hAnsi="Calibri" w:cs="Calibri" w:eastAsia="Calibri"/>
          <w:i/>
          <w:color w:val="auto"/>
          <w:spacing w:val="0"/>
          <w:position w:val="0"/>
          <w:sz w:val="20"/>
          <w:shd w:fill="auto" w:val="clear"/>
        </w:rPr>
        <w:t xml:space="preserve">Odlukom o pristupanju Sporazumu gradonačelnika za klimu i energiju i izradi Akcionog plana održivog upravljanja energijom i prilagođavanja klimatskim promjenama</w:t>
      </w:r>
      <w:r>
        <w:rPr>
          <w:rFonts w:ascii="Calibri" w:hAnsi="Calibri" w:cs="Calibri" w:eastAsia="Calibri"/>
          <w:color w:val="auto"/>
          <w:spacing w:val="0"/>
          <w:position w:val="0"/>
          <w:sz w:val="20"/>
          <w:shd w:fill="auto" w:val="clear"/>
        </w:rPr>
        <w:t xml:space="preserve"> koju je 28. oktobra 2019. godine donijelo Općinsko vijeće. Dana 5. novembra 2019. godine općinski načelnik je potpisao </w:t>
      </w:r>
      <w:r>
        <w:rPr>
          <w:rFonts w:ascii="Calibri" w:hAnsi="Calibri" w:cs="Calibri" w:eastAsia="Calibri"/>
          <w:i/>
          <w:color w:val="auto"/>
          <w:spacing w:val="0"/>
          <w:position w:val="0"/>
          <w:sz w:val="20"/>
          <w:shd w:fill="auto" w:val="clear"/>
        </w:rPr>
        <w:t xml:space="preserve">pristupni obrazac Sporazumu gradonačelnika za klimu i energiju</w:t>
      </w:r>
      <w:r>
        <w:rPr>
          <w:rFonts w:ascii="Calibri" w:hAnsi="Calibri" w:cs="Calibri" w:eastAsia="Calibri"/>
          <w:color w:val="auto"/>
          <w:spacing w:val="0"/>
          <w:position w:val="0"/>
          <w:sz w:val="20"/>
          <w:shd w:fill="auto" w:val="clear"/>
        </w:rPr>
        <w:t xml:space="preserve">. Na taj način je Općina Doboj Istok pristupila Sporazumu gradonačelnika za klimu i energiju.</w:t>
      </w:r>
    </w:p>
    <w:p>
      <w:pPr>
        <w:spacing w:before="120" w:after="0" w:line="240"/>
        <w:ind w:right="0" w:left="0" w:firstLine="0"/>
        <w:jc w:val="both"/>
        <w:rPr>
          <w:rFonts w:ascii="Calibri" w:hAnsi="Calibri" w:cs="Calibri" w:eastAsia="Calibri"/>
          <w:i/>
          <w:color w:val="auto"/>
          <w:spacing w:val="0"/>
          <w:position w:val="0"/>
          <w:sz w:val="20"/>
          <w:u w:val="single"/>
          <w:shd w:fill="auto" w:val="clear"/>
        </w:rPr>
      </w:pPr>
      <w:r>
        <w:rPr>
          <w:rFonts w:ascii="Calibri" w:hAnsi="Calibri" w:cs="Calibri" w:eastAsia="Calibri"/>
          <w:i/>
          <w:color w:val="auto"/>
          <w:spacing w:val="0"/>
          <w:position w:val="0"/>
          <w:sz w:val="20"/>
          <w:u w:val="single"/>
          <w:shd w:fill="auto" w:val="clear"/>
        </w:rPr>
        <w:t xml:space="preserve">Uklju</w:t>
      </w:r>
      <w:r>
        <w:rPr>
          <w:rFonts w:ascii="Calibri" w:hAnsi="Calibri" w:cs="Calibri" w:eastAsia="Calibri"/>
          <w:i/>
          <w:color w:val="auto"/>
          <w:spacing w:val="0"/>
          <w:position w:val="0"/>
          <w:sz w:val="20"/>
          <w:u w:val="single"/>
          <w:shd w:fill="auto" w:val="clear"/>
        </w:rPr>
        <w:t xml:space="preserve">čenje svih relevantnih službi i zavoda Grada u izradu SECAP-a Doboj Istok</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Rješenjem Na</w:t>
      </w:r>
      <w:r>
        <w:rPr>
          <w:rFonts w:ascii="Calibri" w:hAnsi="Calibri" w:cs="Calibri" w:eastAsia="Calibri"/>
          <w:color w:val="auto"/>
          <w:spacing w:val="0"/>
          <w:position w:val="0"/>
          <w:sz w:val="20"/>
          <w:shd w:fill="auto" w:val="clear"/>
        </w:rPr>
        <w:t xml:space="preserve">čelnika od 29. oktobra 2019. godine formiran je </w:t>
      </w:r>
      <w:r>
        <w:rPr>
          <w:rFonts w:ascii="Calibri" w:hAnsi="Calibri" w:cs="Calibri" w:eastAsia="Calibri"/>
          <w:i/>
          <w:color w:val="auto"/>
          <w:spacing w:val="0"/>
          <w:position w:val="0"/>
          <w:sz w:val="20"/>
          <w:shd w:fill="auto" w:val="clear"/>
        </w:rPr>
        <w:t xml:space="preserve">Tim za izradu Akcionog plana za održivu energiju i borbu protiv klimatskih promjena</w:t>
      </w:r>
      <w:r>
        <w:rPr>
          <w:rFonts w:ascii="Calibri" w:hAnsi="Calibri" w:cs="Calibri" w:eastAsia="Calibri"/>
          <w:color w:val="auto"/>
          <w:spacing w:val="0"/>
          <w:position w:val="0"/>
          <w:sz w:val="20"/>
          <w:shd w:fill="auto" w:val="clear"/>
        </w:rPr>
        <w:t xml:space="preserve">. Ovaj tim bio je sastavljen od 5 članova, uposlenika svih relevantih službi Općinske uprave i relevantnih javnih preduzeća (predstavnici službe za poduzetništvo i finansije, službe za prosotrno uređenje, civilne zaštite i JKP „Čisto“). Zadaci Tima za izradu Akcionog plana bili su:</w:t>
      </w:r>
    </w:p>
    <w:p>
      <w:pPr>
        <w:numPr>
          <w:ilvl w:val="0"/>
          <w:numId w:val="322"/>
        </w:numPr>
        <w:spacing w:before="60" w:after="0" w:line="240"/>
        <w:ind w:right="0" w:left="786" w:hanging="36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prikupljanje i analiza podataka neophodnih za izradu baznog i kontrolnog inventara emisija, procjena klimatskih rizika i ranjivosti, te osiguranje odgovaraju</w:t>
      </w:r>
      <w:r>
        <w:rPr>
          <w:rFonts w:ascii="Calibri" w:hAnsi="Calibri" w:cs="Calibri" w:eastAsia="Calibri"/>
          <w:color w:val="auto"/>
          <w:spacing w:val="0"/>
          <w:position w:val="0"/>
          <w:sz w:val="20"/>
          <w:shd w:fill="auto" w:val="clear"/>
        </w:rPr>
        <w:t xml:space="preserve">će uključenosti glavnih aktera; </w:t>
      </w:r>
    </w:p>
    <w:p>
      <w:pPr>
        <w:numPr>
          <w:ilvl w:val="0"/>
          <w:numId w:val="322"/>
        </w:numPr>
        <w:spacing w:before="0" w:after="0" w:line="240"/>
        <w:ind w:right="0" w:left="782" w:hanging="357"/>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utvr</w:t>
      </w:r>
      <w:r>
        <w:rPr>
          <w:rFonts w:ascii="Calibri" w:hAnsi="Calibri" w:cs="Calibri" w:eastAsia="Calibri"/>
          <w:color w:val="auto"/>
          <w:spacing w:val="0"/>
          <w:position w:val="0"/>
          <w:sz w:val="20"/>
          <w:shd w:fill="auto" w:val="clear"/>
        </w:rPr>
        <w:t xml:space="preserve">đivanje dugoročne vizije i ciljeva koji podržavaju viziju, njihovo predstavljanje glavnim akterima, te osiguranje njihovog odobravanja od strane političkih struktura vlasti;</w:t>
      </w:r>
    </w:p>
    <w:p>
      <w:pPr>
        <w:numPr>
          <w:ilvl w:val="0"/>
          <w:numId w:val="322"/>
        </w:numPr>
        <w:spacing w:before="0" w:after="0" w:line="240"/>
        <w:ind w:right="0" w:left="782" w:hanging="357"/>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u</w:t>
      </w:r>
      <w:r>
        <w:rPr>
          <w:rFonts w:ascii="Calibri" w:hAnsi="Calibri" w:cs="Calibri" w:eastAsia="Calibri"/>
          <w:color w:val="auto"/>
          <w:spacing w:val="0"/>
          <w:position w:val="0"/>
          <w:sz w:val="20"/>
          <w:shd w:fill="auto" w:val="clear"/>
        </w:rPr>
        <w:t xml:space="preserve">češće u izradi plana: definiranje politike i mjera u skladu sa vizijom i ciljevima, utvrđivanje budžeta, izvora i mehanizama financiranja mjera, vremenskih rokova, indikatora i odgovornosti;</w:t>
      </w:r>
    </w:p>
    <w:p>
      <w:pPr>
        <w:numPr>
          <w:ilvl w:val="0"/>
          <w:numId w:val="322"/>
        </w:numPr>
        <w:spacing w:before="0" w:after="0" w:line="240"/>
        <w:ind w:right="0" w:left="782" w:hanging="357"/>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pribavljanje saglasnosti na predloženi plan od strane politi</w:t>
      </w:r>
      <w:r>
        <w:rPr>
          <w:rFonts w:ascii="Calibri" w:hAnsi="Calibri" w:cs="Calibri" w:eastAsia="Calibri"/>
          <w:color w:val="auto"/>
          <w:spacing w:val="0"/>
          <w:position w:val="0"/>
          <w:sz w:val="20"/>
          <w:shd w:fill="auto" w:val="clear"/>
        </w:rPr>
        <w:t xml:space="preserve">čkih struktura vlasti; </w:t>
      </w:r>
    </w:p>
    <w:p>
      <w:pPr>
        <w:numPr>
          <w:ilvl w:val="0"/>
          <w:numId w:val="322"/>
        </w:numPr>
        <w:spacing w:before="0" w:after="0" w:line="240"/>
        <w:ind w:right="0" w:left="782" w:hanging="357"/>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uspostavljanje partnerstva sa klju</w:t>
      </w:r>
      <w:r>
        <w:rPr>
          <w:rFonts w:ascii="Calibri" w:hAnsi="Calibri" w:cs="Calibri" w:eastAsia="Calibri"/>
          <w:color w:val="auto"/>
          <w:spacing w:val="0"/>
          <w:position w:val="0"/>
          <w:sz w:val="20"/>
          <w:shd w:fill="auto" w:val="clear"/>
        </w:rPr>
        <w:t xml:space="preserve">čnim akterima releavantnim za izradu i implementaciju plana; i</w:t>
      </w:r>
    </w:p>
    <w:p>
      <w:pPr>
        <w:numPr>
          <w:ilvl w:val="0"/>
          <w:numId w:val="322"/>
        </w:numPr>
        <w:spacing w:before="0" w:after="0" w:line="240"/>
        <w:ind w:right="0" w:left="782" w:hanging="357"/>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dostava Akcionog plana putem web stranice Sporazuma gradona</w:t>
      </w:r>
      <w:r>
        <w:rPr>
          <w:rFonts w:ascii="Calibri" w:hAnsi="Calibri" w:cs="Calibri" w:eastAsia="Calibri"/>
          <w:color w:val="auto"/>
          <w:spacing w:val="0"/>
          <w:position w:val="0"/>
          <w:sz w:val="20"/>
          <w:shd w:fill="auto" w:val="clear"/>
        </w:rPr>
        <w:t xml:space="preserve">čelnika, te predstavljanje Plana javnosti.</w:t>
      </w:r>
    </w:p>
    <w:p>
      <w:pPr>
        <w:spacing w:before="120" w:after="0" w:line="240"/>
        <w:ind w:right="0" w:left="0" w:firstLine="0"/>
        <w:jc w:val="both"/>
        <w:rPr>
          <w:rFonts w:ascii="Calibri" w:hAnsi="Calibri" w:cs="Calibri" w:eastAsia="Calibri"/>
          <w:i/>
          <w:color w:val="auto"/>
          <w:spacing w:val="0"/>
          <w:position w:val="0"/>
          <w:sz w:val="20"/>
          <w:u w:val="single"/>
          <w:shd w:fill="auto" w:val="clear"/>
        </w:rPr>
      </w:pPr>
      <w:r>
        <w:rPr>
          <w:rFonts w:ascii="Calibri" w:hAnsi="Calibri" w:cs="Calibri" w:eastAsia="Calibri"/>
          <w:i/>
          <w:color w:val="auto"/>
          <w:spacing w:val="0"/>
          <w:position w:val="0"/>
          <w:sz w:val="20"/>
          <w:u w:val="single"/>
          <w:shd w:fill="auto" w:val="clear"/>
        </w:rPr>
        <w:t xml:space="preserve">Obezbje</w:t>
      </w:r>
      <w:r>
        <w:rPr>
          <w:rFonts w:ascii="Calibri" w:hAnsi="Calibri" w:cs="Calibri" w:eastAsia="Calibri"/>
          <w:i/>
          <w:color w:val="auto"/>
          <w:spacing w:val="0"/>
          <w:position w:val="0"/>
          <w:sz w:val="20"/>
          <w:u w:val="single"/>
          <w:shd w:fill="auto" w:val="clear"/>
        </w:rPr>
        <w:t xml:space="preserve">đivanje podrške interesnih strana i šire javnosti za izradu i realizaciju SECAP-a</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U</w:t>
      </w:r>
      <w:r>
        <w:rPr>
          <w:rFonts w:ascii="Calibri" w:hAnsi="Calibri" w:cs="Calibri" w:eastAsia="Calibri"/>
          <w:color w:val="auto"/>
          <w:spacing w:val="0"/>
          <w:position w:val="0"/>
          <w:sz w:val="20"/>
          <w:shd w:fill="auto" w:val="clear"/>
        </w:rPr>
        <w:t xml:space="preserve">češće što većeg broja interesnih strana i šire javnosti je bitan preduslov i za izradu kvalitetnog SECAP-a i za njegovu uspješnu realizaciju. Zbog toga je odlukom općinskog načelnika od 29. oktobra 2019. godine formirana i </w:t>
      </w:r>
      <w:r>
        <w:rPr>
          <w:rFonts w:ascii="Calibri" w:hAnsi="Calibri" w:cs="Calibri" w:eastAsia="Calibri"/>
          <w:i/>
          <w:color w:val="auto"/>
          <w:spacing w:val="0"/>
          <w:position w:val="0"/>
          <w:sz w:val="20"/>
          <w:shd w:fill="auto" w:val="clear"/>
        </w:rPr>
        <w:t xml:space="preserve">Savjetodavna grupa za</w:t>
      </w:r>
      <w:r>
        <w:rPr>
          <w:rFonts w:ascii="Calibri" w:hAnsi="Calibri" w:cs="Calibri" w:eastAsia="Calibri"/>
          <w:color w:val="auto"/>
          <w:spacing w:val="0"/>
          <w:position w:val="0"/>
          <w:sz w:val="20"/>
          <w:shd w:fill="auto" w:val="clear"/>
        </w:rPr>
        <w:t xml:space="preserve"> </w:t>
      </w:r>
      <w:r>
        <w:rPr>
          <w:rFonts w:ascii="Calibri" w:hAnsi="Calibri" w:cs="Calibri" w:eastAsia="Calibri"/>
          <w:i/>
          <w:color w:val="auto"/>
          <w:spacing w:val="0"/>
          <w:position w:val="0"/>
          <w:sz w:val="20"/>
          <w:shd w:fill="auto" w:val="clear"/>
        </w:rPr>
        <w:t xml:space="preserve">izradu Akcionog plana za održivu energiju i borbu protiv klimatskih promjena. </w:t>
      </w:r>
      <w:r>
        <w:rPr>
          <w:rFonts w:ascii="Calibri" w:hAnsi="Calibri" w:cs="Calibri" w:eastAsia="Calibri"/>
          <w:color w:val="auto"/>
          <w:spacing w:val="0"/>
          <w:position w:val="0"/>
          <w:sz w:val="20"/>
          <w:shd w:fill="auto" w:val="clear"/>
        </w:rPr>
        <w:t xml:space="preserve">Ova grupa je bila sastavljena od 7 predstavnika institucija, organizacija i preduzeća iz relevantnih oblasti (zakonodavna vlast, obrazovanje, zdravstvo, civilno društvo, socijalni rad, itd). Zadaci savjetodavne grupe bili su:</w:t>
      </w:r>
    </w:p>
    <w:p>
      <w:pPr>
        <w:numPr>
          <w:ilvl w:val="0"/>
          <w:numId w:val="326"/>
        </w:numPr>
        <w:spacing w:before="60" w:after="0" w:line="240"/>
        <w:ind w:right="0" w:left="720" w:hanging="36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prikupljanje relevantnih ulaznih informacija i podjela svog znanja sa timom za izradu Akcionog plana;</w:t>
      </w:r>
    </w:p>
    <w:p>
      <w:pPr>
        <w:numPr>
          <w:ilvl w:val="0"/>
          <w:numId w:val="326"/>
        </w:numPr>
        <w:spacing w:before="0" w:after="0" w:line="240"/>
        <w:ind w:right="0" w:left="714" w:hanging="357"/>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u</w:t>
      </w:r>
      <w:r>
        <w:rPr>
          <w:rFonts w:ascii="Calibri" w:hAnsi="Calibri" w:cs="Calibri" w:eastAsia="Calibri"/>
          <w:color w:val="auto"/>
          <w:spacing w:val="0"/>
          <w:position w:val="0"/>
          <w:sz w:val="20"/>
          <w:shd w:fill="auto" w:val="clear"/>
        </w:rPr>
        <w:t xml:space="preserve">češće u definiranju vizije ugradnjom svojih pogleda na budućnost općine Doboj Istok, i plana mjera;</w:t>
      </w:r>
    </w:p>
    <w:p>
      <w:pPr>
        <w:numPr>
          <w:ilvl w:val="0"/>
          <w:numId w:val="326"/>
        </w:numPr>
        <w:spacing w:before="0" w:after="0" w:line="240"/>
        <w:ind w:right="0" w:left="714" w:hanging="357"/>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u</w:t>
      </w:r>
      <w:r>
        <w:rPr>
          <w:rFonts w:ascii="Calibri" w:hAnsi="Calibri" w:cs="Calibri" w:eastAsia="Calibri"/>
          <w:color w:val="auto"/>
          <w:spacing w:val="0"/>
          <w:position w:val="0"/>
          <w:sz w:val="20"/>
          <w:shd w:fill="auto" w:val="clear"/>
        </w:rPr>
        <w:t xml:space="preserve">češće u izradi Akcionog plana (prikupljanje ulaznih podataka i dostavljanje povratnih informacija).</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Članovi savjetodavne grupe su aktivno učestvovali u izradi SECAP-a Doboj Istok, naročito kroz niz sektorski orijentiranih radionica  na kojima su svojim znanjem i iskustvom značajno doprinijeli kvalitetu Akcionog plana. Učestvovali su i u kreiranju mjera za pojedine sektore obuhvaćene ovim Akcionim planom.</w:t>
      </w:r>
    </w:p>
    <w:p>
      <w:pPr>
        <w:spacing w:before="60" w:after="12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Vremenski tok realizacije pripremne faze za pokretanje procesa izrade SECAP-a Doboj Istok predstavljen je u narednom dijagramu:  </w:t>
      </w:r>
    </w:p>
    <w:p>
      <w:pPr>
        <w:spacing w:before="0" w:after="0" w:line="276"/>
        <w:ind w:right="0" w:left="0" w:firstLine="0"/>
        <w:jc w:val="both"/>
        <w:rPr>
          <w:rFonts w:ascii="Calibri" w:hAnsi="Calibri" w:cs="Calibri" w:eastAsia="Calibri"/>
          <w:color w:val="auto"/>
          <w:spacing w:val="0"/>
          <w:position w:val="0"/>
          <w:sz w:val="22"/>
          <w:shd w:fill="auto" w:val="clear"/>
        </w:rPr>
      </w:pPr>
    </w:p>
    <w:p>
      <w:pPr>
        <w:spacing w:before="0" w:after="200" w:line="240"/>
        <w:ind w:right="0" w:left="0" w:firstLine="0"/>
        <w:jc w:val="center"/>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Dijagram 31: Vremenski  tok realizacije pripremnih radnji za pokretanje procesa izrade SECAP-a Doboj Istok</w:t>
      </w:r>
    </w:p>
    <w:p>
      <w:pPr>
        <w:keepNext w:val="true"/>
        <w:keepLines w:val="true"/>
        <w:numPr>
          <w:ilvl w:val="0"/>
          <w:numId w:val="332"/>
        </w:numPr>
        <w:spacing w:before="120" w:after="0" w:line="240"/>
        <w:ind w:right="0" w:left="720" w:hanging="72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Izrada dokumenta SECAP Doboj Istok u zahtijevanom formatu</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Proces izrade </w:t>
      </w:r>
      <w:r>
        <w:rPr>
          <w:rFonts w:ascii="Calibri" w:hAnsi="Calibri" w:cs="Calibri" w:eastAsia="Calibri"/>
          <w:i/>
          <w:color w:val="auto"/>
          <w:spacing w:val="0"/>
          <w:position w:val="0"/>
          <w:sz w:val="20"/>
          <w:shd w:fill="auto" w:val="clear"/>
        </w:rPr>
        <w:t xml:space="preserve">SECAP-a Doboj Istok za period do 2030. godine</w:t>
      </w:r>
      <w:r>
        <w:rPr>
          <w:rFonts w:ascii="Calibri" w:hAnsi="Calibri" w:cs="Calibri" w:eastAsia="Calibri"/>
          <w:color w:val="auto"/>
          <w:spacing w:val="0"/>
          <w:position w:val="0"/>
          <w:sz w:val="20"/>
          <w:shd w:fill="auto" w:val="clear"/>
        </w:rPr>
        <w:t xml:space="preserve"> trajao je od decembra 2019. godine do juna 2020. godine, i obuhvatao je slijede</w:t>
      </w:r>
      <w:r>
        <w:rPr>
          <w:rFonts w:ascii="Calibri" w:hAnsi="Calibri" w:cs="Calibri" w:eastAsia="Calibri"/>
          <w:color w:val="auto"/>
          <w:spacing w:val="0"/>
          <w:position w:val="0"/>
          <w:sz w:val="20"/>
          <w:shd w:fill="auto" w:val="clear"/>
        </w:rPr>
        <w:t xml:space="preserve">će ključne aktivnosti: </w:t>
      </w:r>
    </w:p>
    <w:p>
      <w:pPr>
        <w:numPr>
          <w:ilvl w:val="0"/>
          <w:numId w:val="334"/>
        </w:numPr>
        <w:spacing w:before="40" w:after="0" w:line="240"/>
        <w:ind w:right="0" w:left="714" w:hanging="357"/>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Odre</w:t>
      </w:r>
      <w:r>
        <w:rPr>
          <w:rFonts w:ascii="Calibri" w:hAnsi="Calibri" w:cs="Calibri" w:eastAsia="Calibri"/>
          <w:color w:val="auto"/>
          <w:spacing w:val="0"/>
          <w:position w:val="0"/>
          <w:sz w:val="20"/>
          <w:shd w:fill="auto" w:val="clear"/>
        </w:rPr>
        <w:t xml:space="preserve">đivanje ključnih elemenata SECAP-a (bazna godina, vremenski period, relevantni sektori, tipovi mjera, itd) i metodologije za vršenje zahtijevanih analiza i proračuna;</w:t>
      </w:r>
    </w:p>
    <w:p>
      <w:pPr>
        <w:numPr>
          <w:ilvl w:val="0"/>
          <w:numId w:val="334"/>
        </w:numPr>
        <w:spacing w:before="40" w:after="0" w:line="240"/>
        <w:ind w:right="0" w:left="714" w:hanging="357"/>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Analiza sadašnjeg stanja na podru</w:t>
      </w:r>
      <w:r>
        <w:rPr>
          <w:rFonts w:ascii="Calibri" w:hAnsi="Calibri" w:cs="Calibri" w:eastAsia="Calibri"/>
          <w:color w:val="auto"/>
          <w:spacing w:val="0"/>
          <w:position w:val="0"/>
          <w:sz w:val="20"/>
          <w:shd w:fill="auto" w:val="clear"/>
        </w:rPr>
        <w:t xml:space="preserve">čju općine Doboj Istok:</w:t>
      </w:r>
    </w:p>
    <w:p>
      <w:pPr>
        <w:numPr>
          <w:ilvl w:val="0"/>
          <w:numId w:val="334"/>
        </w:numPr>
        <w:spacing w:before="0" w:after="0" w:line="240"/>
        <w:ind w:right="0" w:left="1077" w:hanging="357"/>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Izrada baznog i kontrolnog inventara emisija stakleni</w:t>
      </w:r>
      <w:r>
        <w:rPr>
          <w:rFonts w:ascii="Calibri" w:hAnsi="Calibri" w:cs="Calibri" w:eastAsia="Calibri"/>
          <w:color w:val="auto"/>
          <w:spacing w:val="0"/>
          <w:position w:val="0"/>
          <w:sz w:val="20"/>
          <w:shd w:fill="auto" w:val="clear"/>
        </w:rPr>
        <w:t xml:space="preserve">čkih gasova;</w:t>
      </w:r>
    </w:p>
    <w:p>
      <w:pPr>
        <w:numPr>
          <w:ilvl w:val="0"/>
          <w:numId w:val="334"/>
        </w:numPr>
        <w:spacing w:before="0" w:after="0" w:line="240"/>
        <w:ind w:right="0" w:left="1077" w:hanging="357"/>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Procjena rizika i izloženosti op</w:t>
      </w:r>
      <w:r>
        <w:rPr>
          <w:rFonts w:ascii="Calibri" w:hAnsi="Calibri" w:cs="Calibri" w:eastAsia="Calibri"/>
          <w:color w:val="auto"/>
          <w:spacing w:val="0"/>
          <w:position w:val="0"/>
          <w:sz w:val="20"/>
          <w:shd w:fill="auto" w:val="clear"/>
        </w:rPr>
        <w:t xml:space="preserve">ćine Doboj Istok klimatskim promjenama;</w:t>
      </w:r>
    </w:p>
    <w:p>
      <w:pPr>
        <w:numPr>
          <w:ilvl w:val="0"/>
          <w:numId w:val="334"/>
        </w:numPr>
        <w:spacing w:before="0" w:after="0" w:line="240"/>
        <w:ind w:right="0" w:left="1077" w:hanging="357"/>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Analiza pravnog okvira koji usmjerava djelovanje u oblasti energije i klimatskih promjena;</w:t>
      </w:r>
    </w:p>
    <w:p>
      <w:pPr>
        <w:numPr>
          <w:ilvl w:val="0"/>
          <w:numId w:val="334"/>
        </w:numPr>
        <w:spacing w:before="40" w:after="0" w:line="240"/>
        <w:ind w:right="0" w:left="720" w:hanging="36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Odre</w:t>
      </w:r>
      <w:r>
        <w:rPr>
          <w:rFonts w:ascii="Calibri" w:hAnsi="Calibri" w:cs="Calibri" w:eastAsia="Calibri"/>
          <w:color w:val="auto"/>
          <w:spacing w:val="0"/>
          <w:position w:val="0"/>
          <w:sz w:val="20"/>
          <w:shd w:fill="auto" w:val="clear"/>
        </w:rPr>
        <w:t xml:space="preserve">đivanje dugoročne vizije općine Doboj Istok i postavljanje ciljeva u oblasti (a) ublažavanja klimatskih promjena, i (b) prilagođavanja klimatskim promjenama;</w:t>
      </w:r>
    </w:p>
    <w:p>
      <w:pPr>
        <w:numPr>
          <w:ilvl w:val="0"/>
          <w:numId w:val="334"/>
        </w:numPr>
        <w:spacing w:before="40" w:after="0" w:line="240"/>
        <w:ind w:right="0" w:left="720" w:hanging="36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Izrada plana mjera za postizanje cilja postavljenog u oblasti ublažavanja klimatskih promjena, odnosno smanjenja emisija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w:t>
      </w:r>
    </w:p>
    <w:p>
      <w:pPr>
        <w:numPr>
          <w:ilvl w:val="0"/>
          <w:numId w:val="334"/>
        </w:numPr>
        <w:spacing w:before="40" w:after="0" w:line="240"/>
        <w:ind w:right="0" w:left="720" w:hanging="36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Izrada plana mjera za postizanje cilja postavljenog u oblasti adaptacije na klimatske promjene; </w:t>
      </w:r>
    </w:p>
    <w:p>
      <w:pPr>
        <w:numPr>
          <w:ilvl w:val="0"/>
          <w:numId w:val="334"/>
        </w:numPr>
        <w:spacing w:before="40" w:after="0" w:line="240"/>
        <w:ind w:right="0" w:left="720" w:hanging="36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Izrada finalnog dokumenta </w:t>
      </w:r>
      <w:r>
        <w:rPr>
          <w:rFonts w:ascii="Calibri" w:hAnsi="Calibri" w:cs="Calibri" w:eastAsia="Calibri"/>
          <w:i/>
          <w:color w:val="auto"/>
          <w:spacing w:val="0"/>
          <w:position w:val="0"/>
          <w:sz w:val="20"/>
          <w:shd w:fill="auto" w:val="clear"/>
        </w:rPr>
        <w:t xml:space="preserve">SECAP Doboj Istok za period do 2030.godine.</w:t>
      </w:r>
    </w:p>
    <w:p>
      <w:pPr>
        <w:spacing w:before="60" w:after="12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Vremenski tok realizacije navedenih aktivnosti izrade Akcionog plana predstavljen je u narednom dijagramu: </w:t>
      </w:r>
    </w:p>
    <w:p>
      <w:pPr>
        <w:spacing w:before="60" w:after="120" w:line="240"/>
        <w:ind w:right="0" w:left="0" w:firstLine="0"/>
        <w:jc w:val="both"/>
        <w:rPr>
          <w:rFonts w:ascii="Calibri" w:hAnsi="Calibri" w:cs="Calibri" w:eastAsia="Calibri"/>
          <w:color w:val="auto"/>
          <w:spacing w:val="0"/>
          <w:position w:val="0"/>
          <w:sz w:val="20"/>
          <w:shd w:fill="auto" w:val="clear"/>
        </w:rPr>
      </w:pPr>
    </w:p>
    <w:p>
      <w:pPr>
        <w:spacing w:before="60" w:after="120" w:line="240"/>
        <w:ind w:right="0" w:left="0" w:firstLine="0"/>
        <w:jc w:val="both"/>
        <w:rPr>
          <w:rFonts w:ascii="Calibri" w:hAnsi="Calibri" w:cs="Calibri" w:eastAsia="Calibri"/>
          <w:color w:val="auto"/>
          <w:spacing w:val="0"/>
          <w:position w:val="0"/>
          <w:sz w:val="20"/>
          <w:shd w:fill="auto" w:val="clear"/>
        </w:rPr>
      </w:pPr>
    </w:p>
    <w:p>
      <w:pPr>
        <w:spacing w:before="0" w:after="200" w:line="276"/>
        <w:ind w:right="0" w:left="0" w:firstLine="0"/>
        <w:jc w:val="both"/>
        <w:rPr>
          <w:rFonts w:ascii="Calibri" w:hAnsi="Calibri" w:cs="Calibri" w:eastAsia="Calibri"/>
          <w:color w:val="auto"/>
          <w:spacing w:val="0"/>
          <w:position w:val="0"/>
          <w:sz w:val="22"/>
          <w:shd w:fill="auto" w:val="clear"/>
        </w:rPr>
      </w:pPr>
    </w:p>
    <w:p>
      <w:pPr>
        <w:spacing w:before="0" w:after="120" w:line="240"/>
        <w:ind w:right="0" w:left="0" w:firstLine="0"/>
        <w:jc w:val="center"/>
        <w:rPr>
          <w:rFonts w:ascii="Calibri" w:hAnsi="Calibri" w:cs="Calibri" w:eastAsia="Calibri"/>
          <w:color w:val="auto"/>
          <w:spacing w:val="0"/>
          <w:position w:val="0"/>
          <w:sz w:val="18"/>
          <w:shd w:fill="auto" w:val="clear"/>
        </w:rPr>
      </w:pPr>
    </w:p>
    <w:p>
      <w:pPr>
        <w:spacing w:before="0" w:after="120" w:line="240"/>
        <w:ind w:right="0" w:left="0" w:firstLine="0"/>
        <w:jc w:val="center"/>
        <w:rPr>
          <w:rFonts w:ascii="Calibri" w:hAnsi="Calibri" w:cs="Calibri" w:eastAsia="Calibri"/>
          <w:color w:val="auto"/>
          <w:spacing w:val="0"/>
          <w:position w:val="0"/>
          <w:sz w:val="18"/>
          <w:shd w:fill="auto" w:val="clear"/>
        </w:rPr>
      </w:pPr>
    </w:p>
    <w:p>
      <w:pPr>
        <w:spacing w:before="0" w:after="120" w:line="240"/>
        <w:ind w:right="0" w:left="0" w:firstLine="0"/>
        <w:jc w:val="center"/>
        <w:rPr>
          <w:rFonts w:ascii="Calibri" w:hAnsi="Calibri" w:cs="Calibri" w:eastAsia="Calibri"/>
          <w:color w:val="auto"/>
          <w:spacing w:val="0"/>
          <w:position w:val="0"/>
          <w:sz w:val="18"/>
          <w:shd w:fill="auto" w:val="clear"/>
        </w:rPr>
      </w:pPr>
    </w:p>
    <w:p>
      <w:pPr>
        <w:spacing w:before="0" w:after="120" w:line="240"/>
        <w:ind w:right="0" w:left="0" w:firstLine="0"/>
        <w:jc w:val="center"/>
        <w:rPr>
          <w:rFonts w:ascii="Calibri" w:hAnsi="Calibri" w:cs="Calibri" w:eastAsia="Calibri"/>
          <w:color w:val="auto"/>
          <w:spacing w:val="0"/>
          <w:position w:val="0"/>
          <w:sz w:val="18"/>
          <w:shd w:fill="auto" w:val="clear"/>
        </w:rPr>
      </w:pPr>
    </w:p>
    <w:p>
      <w:pPr>
        <w:spacing w:before="0" w:after="200" w:line="240"/>
        <w:ind w:right="0" w:left="0" w:firstLine="0"/>
        <w:jc w:val="center"/>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Dijagram 32: Vremenski  tok realizacije aktivnosti na izradi dokumenta SECAP Doboj Istok</w:t>
      </w:r>
    </w:p>
    <w:p>
      <w:pPr>
        <w:keepNext w:val="true"/>
        <w:keepLines w:val="true"/>
        <w:numPr>
          <w:ilvl w:val="0"/>
          <w:numId w:val="341"/>
        </w:numPr>
        <w:spacing w:before="240" w:after="0" w:line="240"/>
        <w:ind w:right="0" w:left="578" w:hanging="578"/>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Odre</w:t>
      </w:r>
      <w:r>
        <w:rPr>
          <w:rFonts w:ascii="Calibri" w:hAnsi="Calibri" w:cs="Calibri" w:eastAsia="Calibri"/>
          <w:b/>
          <w:color w:val="auto"/>
          <w:spacing w:val="0"/>
          <w:position w:val="0"/>
          <w:sz w:val="24"/>
          <w:shd w:fill="auto" w:val="clear"/>
        </w:rPr>
        <w:t xml:space="preserve">đivanje ključnih elemenata SECAP-a Doboj Istok i metodologija vršenja proračuna i analiza</w:t>
      </w:r>
    </w:p>
    <w:p>
      <w:pPr>
        <w:keepNext w:val="true"/>
        <w:keepLines w:val="true"/>
        <w:numPr>
          <w:ilvl w:val="0"/>
          <w:numId w:val="341"/>
        </w:numPr>
        <w:spacing w:before="120" w:after="0" w:line="240"/>
        <w:ind w:right="0" w:left="720" w:hanging="72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Klju</w:t>
      </w:r>
      <w:r>
        <w:rPr>
          <w:rFonts w:ascii="Calibri" w:hAnsi="Calibri" w:cs="Calibri" w:eastAsia="Calibri"/>
          <w:b/>
          <w:color w:val="auto"/>
          <w:spacing w:val="0"/>
          <w:position w:val="0"/>
          <w:sz w:val="24"/>
          <w:shd w:fill="auto" w:val="clear"/>
        </w:rPr>
        <w:t xml:space="preserve">čni elementi SECAP-a Doboj Istok</w:t>
      </w:r>
    </w:p>
    <w:p>
      <w:pPr>
        <w:spacing w:before="60" w:after="12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U skladu sa primijenjenom metodologijom, tim za izradu akcionog plana Op</w:t>
      </w:r>
      <w:r>
        <w:rPr>
          <w:rFonts w:ascii="Calibri" w:hAnsi="Calibri" w:cs="Calibri" w:eastAsia="Calibri"/>
          <w:color w:val="auto"/>
          <w:spacing w:val="0"/>
          <w:position w:val="0"/>
          <w:sz w:val="20"/>
          <w:shd w:fill="auto" w:val="clear"/>
        </w:rPr>
        <w:t xml:space="preserve">ćine Doboj Istok je u prvoj fazi rada definirao sve ključne elemente SECAP-a koji direktno određuju metodologiju vršenja svih potrebnih proračuna i analiza. Prikaz ovih elemenata dat je u narednoj tabeli.</w:t>
      </w:r>
    </w:p>
    <w:tbl>
      <w:tblPr/>
      <w:tblGrid>
        <w:gridCol w:w="1832"/>
        <w:gridCol w:w="7788"/>
      </w:tblGrid>
      <w:tr>
        <w:trPr>
          <w:trHeight w:val="1" w:hRule="atLeast"/>
          <w:jc w:val="left"/>
        </w:trPr>
        <w:tc>
          <w:tcPr>
            <w:tcW w:w="1832" w:type="dxa"/>
            <w:tcBorders>
              <w:top w:val="single" w:color="000000" w:sz="4"/>
              <w:left w:val="single" w:color="000000" w:sz="4"/>
              <w:bottom w:val="single" w:color="000000" w:sz="4"/>
              <w:right w:val="single" w:color="000000" w:sz="4"/>
            </w:tcBorders>
            <w:shd w:color="auto" w:fill="dbdbdb" w:val="clear"/>
            <w:tcMar>
              <w:left w:w="108" w:type="dxa"/>
              <w:right w:w="108" w:type="dxa"/>
            </w:tcMar>
            <w:vAlign w:val="top"/>
          </w:tcPr>
          <w:p>
            <w:pPr>
              <w:spacing w:before="40" w:after="40" w:line="240"/>
              <w:ind w:right="0" w:left="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Klju</w:t>
            </w:r>
            <w:r>
              <w:rPr>
                <w:rFonts w:ascii="Calibri" w:hAnsi="Calibri" w:cs="Calibri" w:eastAsia="Calibri"/>
                <w:color w:val="auto"/>
                <w:spacing w:val="0"/>
                <w:position w:val="0"/>
                <w:sz w:val="18"/>
                <w:shd w:fill="auto" w:val="clear"/>
              </w:rPr>
              <w:t xml:space="preserve">čni elementi</w:t>
            </w:r>
          </w:p>
        </w:tc>
        <w:tc>
          <w:tcPr>
            <w:tcW w:w="7788" w:type="dxa"/>
            <w:tcBorders>
              <w:top w:val="single" w:color="000000" w:sz="4"/>
              <w:left w:val="single" w:color="000000" w:sz="4"/>
              <w:bottom w:val="single" w:color="000000" w:sz="4"/>
              <w:right w:val="single" w:color="000000" w:sz="4"/>
            </w:tcBorders>
            <w:shd w:color="auto" w:fill="dbdbdb"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Metodološki pristup odabran za izradu SECAP-a Doboj Istok</w:t>
            </w:r>
          </w:p>
        </w:tc>
      </w:tr>
      <w:tr>
        <w:trPr>
          <w:trHeight w:val="1" w:hRule="atLeast"/>
          <w:jc w:val="left"/>
        </w:trPr>
        <w:tc>
          <w:tcPr>
            <w:tcW w:w="18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Obim SECAP-a (obuhva</w:t>
            </w:r>
            <w:r>
              <w:rPr>
                <w:rFonts w:ascii="Calibri" w:hAnsi="Calibri" w:cs="Calibri" w:eastAsia="Calibri"/>
                <w:color w:val="auto"/>
                <w:spacing w:val="0"/>
                <w:position w:val="0"/>
                <w:sz w:val="18"/>
                <w:shd w:fill="auto" w:val="clear"/>
              </w:rPr>
              <w:t xml:space="preserve">ćeni teritorij i nadležnost)</w:t>
            </w:r>
          </w:p>
        </w:tc>
        <w:tc>
          <w:tcPr>
            <w:tcW w:w="77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SECAP Doboj Istok se odnosi na cjelokupnu geografsku odnosno administrativnu teritoriju op</w:t>
            </w:r>
            <w:r>
              <w:rPr>
                <w:rFonts w:ascii="Calibri" w:hAnsi="Calibri" w:cs="Calibri" w:eastAsia="Calibri"/>
                <w:color w:val="auto"/>
                <w:spacing w:val="0"/>
                <w:position w:val="0"/>
                <w:sz w:val="18"/>
                <w:shd w:fill="auto" w:val="clear"/>
              </w:rPr>
              <w:t xml:space="preserve">ćine Doboj Istok (teritorija općine Doboj Istok) koja je u nadležnosti Općine Doboj Istok kao potpisnika Sporazuma gradonačelnika</w:t>
            </w:r>
          </w:p>
        </w:tc>
      </w:tr>
      <w:tr>
        <w:trPr>
          <w:trHeight w:val="1" w:hRule="atLeast"/>
          <w:jc w:val="left"/>
        </w:trPr>
        <w:tc>
          <w:tcPr>
            <w:tcW w:w="18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Bazna godina</w:t>
            </w:r>
          </w:p>
        </w:tc>
        <w:tc>
          <w:tcPr>
            <w:tcW w:w="77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U skladu sa metodološkim preporukama</w:t>
            </w:r>
            <w:r>
              <w:rPr>
                <w:rFonts w:ascii="Calibri" w:hAnsi="Calibri" w:cs="Calibri" w:eastAsia="Calibri"/>
                <w:i/>
                <w:color w:val="auto"/>
                <w:spacing w:val="0"/>
                <w:position w:val="0"/>
                <w:sz w:val="18"/>
                <w:shd w:fill="auto" w:val="clear"/>
              </w:rPr>
              <w:t xml:space="preserve"> Sporazuma gradona</w:t>
            </w:r>
            <w:r>
              <w:rPr>
                <w:rFonts w:ascii="Calibri" w:hAnsi="Calibri" w:cs="Calibri" w:eastAsia="Calibri"/>
                <w:i/>
                <w:color w:val="auto"/>
                <w:spacing w:val="0"/>
                <w:position w:val="0"/>
                <w:sz w:val="18"/>
                <w:shd w:fill="auto" w:val="clear"/>
              </w:rPr>
              <w:t xml:space="preserve">čelnika za klimu i energiju</w:t>
            </w:r>
            <w:r>
              <w:rPr>
                <w:rFonts w:ascii="Calibri" w:hAnsi="Calibri" w:cs="Calibri" w:eastAsia="Calibri"/>
                <w:color w:val="auto"/>
                <w:spacing w:val="0"/>
                <w:position w:val="0"/>
                <w:sz w:val="18"/>
                <w:shd w:fill="auto" w:val="clear"/>
              </w:rPr>
              <w:t xml:space="preserve">, kao bazna godina izabrana je 2010. godina, pri čemu je glavni kriterij ovog izbora bila raspoloživost ulaznih podataka potrebnih za proračun emisija CO</w:t>
            </w:r>
            <w:r>
              <w:rPr>
                <w:rFonts w:ascii="Calibri" w:hAnsi="Calibri" w:cs="Calibri" w:eastAsia="Calibri"/>
                <w:color w:val="auto"/>
                <w:spacing w:val="0"/>
                <w:position w:val="0"/>
                <w:sz w:val="18"/>
                <w:shd w:fill="auto" w:val="clear"/>
                <w:vertAlign w:val="subscript"/>
              </w:rPr>
              <w:t xml:space="preserve">2</w:t>
            </w:r>
            <w:r>
              <w:rPr>
                <w:rFonts w:ascii="Calibri" w:hAnsi="Calibri" w:cs="Calibri" w:eastAsia="Calibri"/>
                <w:color w:val="auto"/>
                <w:spacing w:val="0"/>
                <w:position w:val="0"/>
                <w:sz w:val="18"/>
                <w:shd w:fill="auto" w:val="clear"/>
              </w:rPr>
              <w:t xml:space="preserve">.</w:t>
            </w:r>
          </w:p>
        </w:tc>
      </w:tr>
      <w:tr>
        <w:trPr>
          <w:trHeight w:val="1" w:hRule="atLeast"/>
          <w:jc w:val="left"/>
        </w:trPr>
        <w:tc>
          <w:tcPr>
            <w:tcW w:w="18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Vremenski period</w:t>
            </w:r>
          </w:p>
        </w:tc>
        <w:tc>
          <w:tcPr>
            <w:tcW w:w="77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SECAP Doboj Istok obuhvata vremenski period do 2030. godine. U okviru SECAP-a Doboj Istok izra</w:t>
            </w:r>
            <w:r>
              <w:rPr>
                <w:rFonts w:ascii="Calibri" w:hAnsi="Calibri" w:cs="Calibri" w:eastAsia="Calibri"/>
                <w:color w:val="auto"/>
                <w:spacing w:val="0"/>
                <w:position w:val="0"/>
                <w:sz w:val="18"/>
                <w:shd w:fill="auto" w:val="clear"/>
              </w:rPr>
              <w:t xml:space="preserve">đen je kontrolni inventar emisija CO</w:t>
            </w:r>
            <w:r>
              <w:rPr>
                <w:rFonts w:ascii="Calibri" w:hAnsi="Calibri" w:cs="Calibri" w:eastAsia="Calibri"/>
                <w:color w:val="auto"/>
                <w:spacing w:val="0"/>
                <w:position w:val="0"/>
                <w:sz w:val="18"/>
                <w:shd w:fill="auto" w:val="clear"/>
                <w:vertAlign w:val="subscript"/>
              </w:rPr>
              <w:t xml:space="preserve">2</w:t>
            </w:r>
            <w:r>
              <w:rPr>
                <w:rFonts w:ascii="Calibri" w:hAnsi="Calibri" w:cs="Calibri" w:eastAsia="Calibri"/>
                <w:color w:val="auto"/>
                <w:spacing w:val="0"/>
                <w:position w:val="0"/>
                <w:sz w:val="18"/>
                <w:shd w:fill="auto" w:val="clear"/>
              </w:rPr>
              <w:t xml:space="preserve"> za 2020. godinu u odnosu na baznu 2010. godinu, u svrhu utvrđivanja do sada postignutog smanjenja emisija u 2020. godini i određivanja preostalih obaveza smanjenja emisija CO</w:t>
            </w:r>
            <w:r>
              <w:rPr>
                <w:rFonts w:ascii="Calibri" w:hAnsi="Calibri" w:cs="Calibri" w:eastAsia="Calibri"/>
                <w:color w:val="auto"/>
                <w:spacing w:val="0"/>
                <w:position w:val="0"/>
                <w:sz w:val="18"/>
                <w:shd w:fill="auto" w:val="clear"/>
                <w:vertAlign w:val="subscript"/>
              </w:rPr>
              <w:t xml:space="preserve">2</w:t>
            </w:r>
            <w:r>
              <w:rPr>
                <w:rFonts w:ascii="Calibri" w:hAnsi="Calibri" w:cs="Calibri" w:eastAsia="Calibri"/>
                <w:color w:val="auto"/>
                <w:spacing w:val="0"/>
                <w:position w:val="0"/>
                <w:sz w:val="18"/>
                <w:shd w:fill="auto" w:val="clear"/>
              </w:rPr>
              <w:t xml:space="preserve"> u odnosu na cilj postavljen u ovom dokumentu za 2030. godinu.</w:t>
            </w:r>
          </w:p>
        </w:tc>
      </w:tr>
      <w:tr>
        <w:trPr>
          <w:trHeight w:val="1" w:hRule="atLeast"/>
          <w:jc w:val="left"/>
        </w:trPr>
        <w:tc>
          <w:tcPr>
            <w:tcW w:w="18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Kategorije razmatranih mjera</w:t>
            </w:r>
          </w:p>
        </w:tc>
        <w:tc>
          <w:tcPr>
            <w:tcW w:w="77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359"/>
              </w:numPr>
              <w:spacing w:before="40" w:after="40" w:line="240"/>
              <w:ind w:right="0" w:left="720" w:hanging="360"/>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Mjere za ublažavanje posljedica klimatskih promjena; i</w:t>
            </w:r>
          </w:p>
          <w:p>
            <w:pPr>
              <w:numPr>
                <w:ilvl w:val="0"/>
                <w:numId w:val="359"/>
              </w:numPr>
              <w:spacing w:before="40" w:after="40" w:line="240"/>
              <w:ind w:right="0" w:left="720" w:hanging="36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Mjere za prilago</w:t>
            </w:r>
            <w:r>
              <w:rPr>
                <w:rFonts w:ascii="Calibri" w:hAnsi="Calibri" w:cs="Calibri" w:eastAsia="Calibri"/>
                <w:color w:val="auto"/>
                <w:spacing w:val="0"/>
                <w:position w:val="0"/>
                <w:sz w:val="18"/>
                <w:shd w:fill="auto" w:val="clear"/>
              </w:rPr>
              <w:t xml:space="preserve">đavanje klimatskim promjenama</w:t>
            </w:r>
          </w:p>
        </w:tc>
      </w:tr>
      <w:tr>
        <w:trPr>
          <w:trHeight w:val="1" w:hRule="atLeast"/>
          <w:jc w:val="left"/>
        </w:trPr>
        <w:tc>
          <w:tcPr>
            <w:tcW w:w="18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Glavni tipovi emisija stakleni</w:t>
            </w:r>
            <w:r>
              <w:rPr>
                <w:rFonts w:ascii="Calibri" w:hAnsi="Calibri" w:cs="Calibri" w:eastAsia="Calibri"/>
                <w:color w:val="auto"/>
                <w:spacing w:val="0"/>
                <w:position w:val="0"/>
                <w:sz w:val="18"/>
                <w:shd w:fill="auto" w:val="clear"/>
              </w:rPr>
              <w:t xml:space="preserve">čkih gasova uključenih u bazni i kontrolni inventar emisija</w:t>
            </w:r>
          </w:p>
        </w:tc>
        <w:tc>
          <w:tcPr>
            <w:tcW w:w="77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362"/>
              </w:numPr>
              <w:spacing w:before="40" w:after="0" w:line="240"/>
              <w:ind w:right="0" w:left="714"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Direktne emisije, koje su rezultat potrošnje energije koja se fizi</w:t>
            </w:r>
            <w:r>
              <w:rPr>
                <w:rFonts w:ascii="Calibri" w:hAnsi="Calibri" w:cs="Calibri" w:eastAsia="Calibri"/>
                <w:color w:val="auto"/>
                <w:spacing w:val="0"/>
                <w:position w:val="0"/>
                <w:sz w:val="18"/>
                <w:shd w:fill="auto" w:val="clear"/>
              </w:rPr>
              <w:t xml:space="preserve">čki odvija na teritoriji općine Doboj Istok;</w:t>
            </w:r>
          </w:p>
          <w:p>
            <w:pPr>
              <w:numPr>
                <w:ilvl w:val="0"/>
                <w:numId w:val="362"/>
              </w:numPr>
              <w:spacing w:before="0" w:after="0" w:line="240"/>
              <w:ind w:right="0" w:left="714"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Indirektne emisije, koje se odnose na potrošnju mrežne energije (elektri</w:t>
            </w:r>
            <w:r>
              <w:rPr>
                <w:rFonts w:ascii="Calibri" w:hAnsi="Calibri" w:cs="Calibri" w:eastAsia="Calibri"/>
                <w:color w:val="auto"/>
                <w:spacing w:val="0"/>
                <w:position w:val="0"/>
                <w:sz w:val="18"/>
                <w:shd w:fill="auto" w:val="clear"/>
              </w:rPr>
              <w:t xml:space="preserve">čna energija), gdje postrojenja za njenu proizvodnju mogu biti locirana izvan teritorije općine Doboj Istok, ali se na teritoriji općine Doboj Istok odvija njena potrošnja; i</w:t>
            </w:r>
          </w:p>
          <w:p>
            <w:pPr>
              <w:numPr>
                <w:ilvl w:val="0"/>
                <w:numId w:val="362"/>
              </w:numPr>
              <w:spacing w:before="0" w:after="40" w:line="240"/>
              <w:ind w:right="0" w:left="714" w:hanging="357"/>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Emisije koje se odnose na neenergetsku potrošnju, i to na sektor vodosnabdijevanja</w:t>
            </w:r>
          </w:p>
        </w:tc>
      </w:tr>
      <w:tr>
        <w:trPr>
          <w:trHeight w:val="1" w:hRule="atLeast"/>
          <w:jc w:val="left"/>
        </w:trPr>
        <w:tc>
          <w:tcPr>
            <w:tcW w:w="18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Vrste razmatranih stakleni</w:t>
            </w:r>
            <w:r>
              <w:rPr>
                <w:rFonts w:ascii="Calibri" w:hAnsi="Calibri" w:cs="Calibri" w:eastAsia="Calibri"/>
                <w:color w:val="auto"/>
                <w:spacing w:val="0"/>
                <w:position w:val="0"/>
                <w:sz w:val="18"/>
                <w:shd w:fill="auto" w:val="clear"/>
              </w:rPr>
              <w:t xml:space="preserve">čkih gasova</w:t>
            </w:r>
          </w:p>
        </w:tc>
        <w:tc>
          <w:tcPr>
            <w:tcW w:w="77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U SECAP-u Doboj Istok razmatrane su samo emisije CO</w:t>
            </w:r>
            <w:r>
              <w:rPr>
                <w:rFonts w:ascii="Calibri" w:hAnsi="Calibri" w:cs="Calibri" w:eastAsia="Calibri"/>
                <w:color w:val="auto"/>
                <w:spacing w:val="0"/>
                <w:position w:val="0"/>
                <w:sz w:val="18"/>
                <w:shd w:fill="auto" w:val="clear"/>
                <w:vertAlign w:val="subscript"/>
              </w:rPr>
              <w:t xml:space="preserve">2</w:t>
            </w:r>
          </w:p>
        </w:tc>
      </w:tr>
      <w:tr>
        <w:trPr>
          <w:trHeight w:val="1" w:hRule="atLeast"/>
          <w:jc w:val="left"/>
        </w:trPr>
        <w:tc>
          <w:tcPr>
            <w:tcW w:w="18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Usvojen pristup za izradu inventara emisija CO</w:t>
            </w:r>
            <w:r>
              <w:rPr>
                <w:rFonts w:ascii="Calibri" w:hAnsi="Calibri" w:cs="Calibri" w:eastAsia="Calibri"/>
                <w:color w:val="auto"/>
                <w:spacing w:val="0"/>
                <w:position w:val="0"/>
                <w:sz w:val="18"/>
                <w:shd w:fill="auto" w:val="clear"/>
                <w:vertAlign w:val="subscript"/>
              </w:rPr>
              <w:t xml:space="preserve">2</w:t>
            </w:r>
          </w:p>
        </w:tc>
        <w:tc>
          <w:tcPr>
            <w:tcW w:w="77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Pri izradi SECAP-a Doboj Istok odabran je metodološki pristup zasnovan na aktivnostima, pri kojem se u inventar emisija uklju</w:t>
            </w:r>
            <w:r>
              <w:rPr>
                <w:rFonts w:ascii="Calibri" w:hAnsi="Calibri" w:cs="Calibri" w:eastAsia="Calibri"/>
                <w:color w:val="auto"/>
                <w:spacing w:val="0"/>
                <w:position w:val="0"/>
                <w:sz w:val="18"/>
                <w:shd w:fill="auto" w:val="clear"/>
              </w:rPr>
              <w:t xml:space="preserve">čuju sve direktne i indirektne emisije CO</w:t>
            </w:r>
            <w:r>
              <w:rPr>
                <w:rFonts w:ascii="Calibri" w:hAnsi="Calibri" w:cs="Calibri" w:eastAsia="Calibri"/>
                <w:color w:val="auto"/>
                <w:spacing w:val="0"/>
                <w:position w:val="0"/>
                <w:sz w:val="18"/>
                <w:shd w:fill="auto" w:val="clear"/>
                <w:vertAlign w:val="subscript"/>
              </w:rPr>
              <w:t xml:space="preserve">2</w:t>
            </w:r>
            <w:r>
              <w:rPr>
                <w:rFonts w:ascii="Calibri" w:hAnsi="Calibri" w:cs="Calibri" w:eastAsia="Calibri"/>
                <w:color w:val="auto"/>
                <w:spacing w:val="0"/>
                <w:position w:val="0"/>
                <w:sz w:val="18"/>
                <w:shd w:fill="auto" w:val="clear"/>
              </w:rPr>
              <w:t xml:space="preserve"> koje su rezultat aktivnosti u okviru kojih dolazi do potrošnje energije na teritoriji općine Doboj Istok.</w:t>
            </w:r>
          </w:p>
        </w:tc>
      </w:tr>
      <w:tr>
        <w:trPr>
          <w:trHeight w:val="1" w:hRule="atLeast"/>
          <w:jc w:val="left"/>
        </w:trPr>
        <w:tc>
          <w:tcPr>
            <w:tcW w:w="18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Razmatrani sektori potrošnje energije</w:t>
            </w:r>
          </w:p>
        </w:tc>
        <w:tc>
          <w:tcPr>
            <w:tcW w:w="77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0" w:line="240"/>
              <w:ind w:right="0" w:left="0" w:firstLine="0"/>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Sektor zgradarstva, sa tri podsektora: </w:t>
            </w:r>
          </w:p>
          <w:p>
            <w:pPr>
              <w:numPr>
                <w:ilvl w:val="0"/>
                <w:numId w:val="374"/>
              </w:numPr>
              <w:spacing w:before="0" w:after="0" w:line="240"/>
              <w:ind w:right="0" w:left="720" w:hanging="360"/>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javne zgrade u vlasništvu Op</w:t>
            </w:r>
            <w:r>
              <w:rPr>
                <w:rFonts w:ascii="Calibri" w:hAnsi="Calibri" w:cs="Calibri" w:eastAsia="Calibri"/>
                <w:color w:val="auto"/>
                <w:spacing w:val="0"/>
                <w:position w:val="0"/>
                <w:sz w:val="18"/>
                <w:shd w:fill="auto" w:val="clear"/>
              </w:rPr>
              <w:t xml:space="preserve">ćine Doboj Istok;</w:t>
            </w:r>
          </w:p>
          <w:p>
            <w:pPr>
              <w:numPr>
                <w:ilvl w:val="0"/>
                <w:numId w:val="374"/>
              </w:numPr>
              <w:spacing w:before="0" w:after="0" w:line="240"/>
              <w:ind w:right="0" w:left="714"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javne zgrade koje nisu u vlasništvu Op</w:t>
            </w:r>
            <w:r>
              <w:rPr>
                <w:rFonts w:ascii="Calibri" w:hAnsi="Calibri" w:cs="Calibri" w:eastAsia="Calibri"/>
                <w:color w:val="auto"/>
                <w:spacing w:val="0"/>
                <w:position w:val="0"/>
                <w:sz w:val="18"/>
                <w:shd w:fill="auto" w:val="clear"/>
              </w:rPr>
              <w:t xml:space="preserve">ćine Doboj Istok, odnosno javne zgrade koje su u vlasništvu viših nivoa vlasti (kantonalnih, entitetskih i državnih) a locirane su na području općine; </w:t>
            </w:r>
            <w:r>
              <w:rPr>
                <w:rFonts w:ascii="Calibri" w:hAnsi="Calibri" w:cs="Calibri" w:eastAsia="Calibri"/>
                <w:i/>
                <w:color w:val="auto"/>
                <w:spacing w:val="0"/>
                <w:position w:val="0"/>
                <w:sz w:val="18"/>
                <w:shd w:fill="auto" w:val="clear"/>
              </w:rPr>
              <w:t xml:space="preserve"> </w:t>
            </w:r>
          </w:p>
          <w:p>
            <w:pPr>
              <w:numPr>
                <w:ilvl w:val="0"/>
                <w:numId w:val="374"/>
              </w:numPr>
              <w:spacing w:before="0" w:after="0" w:line="240"/>
              <w:ind w:right="0" w:left="714"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stambene zgrade;</w:t>
            </w:r>
          </w:p>
          <w:p>
            <w:pPr>
              <w:spacing w:before="40" w:after="0" w:line="240"/>
              <w:ind w:right="0" w:left="0" w:firstLine="0"/>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Sektor saobra</w:t>
            </w:r>
            <w:r>
              <w:rPr>
                <w:rFonts w:ascii="Calibri" w:hAnsi="Calibri" w:cs="Calibri" w:eastAsia="Calibri"/>
                <w:color w:val="auto"/>
                <w:spacing w:val="0"/>
                <w:position w:val="0"/>
                <w:sz w:val="18"/>
                <w:shd w:fill="auto" w:val="clear"/>
              </w:rPr>
              <w:t xml:space="preserve">ćaja, sa tri podsektora: </w:t>
            </w:r>
          </w:p>
          <w:p>
            <w:pPr>
              <w:numPr>
                <w:ilvl w:val="0"/>
                <w:numId w:val="377"/>
              </w:numPr>
              <w:spacing w:before="0" w:after="0" w:line="240"/>
              <w:ind w:right="0" w:left="720" w:hanging="360"/>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vozila u vlasništvu Op</w:t>
            </w:r>
            <w:r>
              <w:rPr>
                <w:rFonts w:ascii="Calibri" w:hAnsi="Calibri" w:cs="Calibri" w:eastAsia="Calibri"/>
                <w:color w:val="auto"/>
                <w:spacing w:val="0"/>
                <w:position w:val="0"/>
                <w:sz w:val="18"/>
                <w:shd w:fill="auto" w:val="clear"/>
              </w:rPr>
              <w:t xml:space="preserve">ćine Doboj Istok;</w:t>
            </w:r>
          </w:p>
          <w:p>
            <w:pPr>
              <w:numPr>
                <w:ilvl w:val="0"/>
                <w:numId w:val="377"/>
              </w:numPr>
              <w:spacing w:before="0" w:after="0" w:line="240"/>
              <w:ind w:right="0" w:left="720" w:hanging="360"/>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javni prijevoz na podru</w:t>
            </w:r>
            <w:r>
              <w:rPr>
                <w:rFonts w:ascii="Calibri" w:hAnsi="Calibri" w:cs="Calibri" w:eastAsia="Calibri"/>
                <w:color w:val="auto"/>
                <w:spacing w:val="0"/>
                <w:position w:val="0"/>
                <w:sz w:val="18"/>
                <w:shd w:fill="auto" w:val="clear"/>
              </w:rPr>
              <w:t xml:space="preserve">čju općine Doboj Istok;</w:t>
            </w:r>
          </w:p>
          <w:p>
            <w:pPr>
              <w:numPr>
                <w:ilvl w:val="0"/>
                <w:numId w:val="377"/>
              </w:numPr>
              <w:spacing w:before="0" w:after="0" w:line="240"/>
              <w:ind w:right="0" w:left="720" w:hanging="360"/>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osobna i komercijalna vozila, registrirana na podru</w:t>
            </w:r>
            <w:r>
              <w:rPr>
                <w:rFonts w:ascii="Calibri" w:hAnsi="Calibri" w:cs="Calibri" w:eastAsia="Calibri"/>
                <w:color w:val="auto"/>
                <w:spacing w:val="0"/>
                <w:position w:val="0"/>
                <w:sz w:val="18"/>
                <w:shd w:fill="auto" w:val="clear"/>
              </w:rPr>
              <w:t xml:space="preserve">čju općine Doboj Istok;</w:t>
            </w:r>
          </w:p>
          <w:p>
            <w:pPr>
              <w:spacing w:before="40" w:after="0" w:line="240"/>
              <w:ind w:right="0" w:left="0" w:firstLine="0"/>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Sektor javne rasvjete, koji obuhvata cjelokupnu mrežu javne rasvjete na podru</w:t>
            </w:r>
            <w:r>
              <w:rPr>
                <w:rFonts w:ascii="Calibri" w:hAnsi="Calibri" w:cs="Calibri" w:eastAsia="Calibri"/>
                <w:color w:val="auto"/>
                <w:spacing w:val="0"/>
                <w:position w:val="0"/>
                <w:sz w:val="18"/>
                <w:shd w:fill="auto" w:val="clear"/>
              </w:rPr>
              <w:t xml:space="preserve">čju općine; i</w:t>
            </w:r>
          </w:p>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Sektor vodosnabdijevanja, koji uklju</w:t>
            </w:r>
            <w:r>
              <w:rPr>
                <w:rFonts w:ascii="Calibri" w:hAnsi="Calibri" w:cs="Calibri" w:eastAsia="Calibri"/>
                <w:color w:val="auto"/>
                <w:spacing w:val="0"/>
                <w:position w:val="0"/>
                <w:sz w:val="18"/>
                <w:shd w:fill="auto" w:val="clear"/>
              </w:rPr>
              <w:t xml:space="preserve">čuje svu infrastrukturu vodosnabdijavanja na području općine.</w:t>
            </w:r>
          </w:p>
        </w:tc>
      </w:tr>
    </w:tbl>
    <w:p>
      <w:pPr>
        <w:keepNext w:val="true"/>
        <w:keepLines w:val="true"/>
        <w:numPr>
          <w:ilvl w:val="0"/>
          <w:numId w:val="381"/>
        </w:numPr>
        <w:spacing w:before="240" w:after="0" w:line="240"/>
        <w:ind w:right="0" w:left="720" w:hanging="72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Izrada baznog i kontrolnog inventara emisija stakleni</w:t>
      </w:r>
      <w:r>
        <w:rPr>
          <w:rFonts w:ascii="Calibri" w:hAnsi="Calibri" w:cs="Calibri" w:eastAsia="Calibri"/>
          <w:b/>
          <w:color w:val="auto"/>
          <w:spacing w:val="0"/>
          <w:position w:val="0"/>
          <w:sz w:val="24"/>
          <w:shd w:fill="auto" w:val="clear"/>
        </w:rPr>
        <w:t xml:space="preserve">čkih gasova</w:t>
      </w:r>
    </w:p>
    <w:p>
      <w:pPr>
        <w:spacing w:before="60" w:after="0" w:line="240"/>
        <w:ind w:right="0" w:left="0" w:firstLine="0"/>
        <w:jc w:val="both"/>
        <w:rPr>
          <w:rFonts w:ascii="Calibri" w:hAnsi="Calibri" w:cs="Calibri" w:eastAsia="Calibri"/>
          <w:b/>
          <w:color w:val="auto"/>
          <w:spacing w:val="0"/>
          <w:position w:val="0"/>
          <w:sz w:val="20"/>
          <w:shd w:fill="auto" w:val="clear"/>
        </w:rPr>
      </w:pPr>
      <w:r>
        <w:rPr>
          <w:rFonts w:ascii="Calibri" w:hAnsi="Calibri" w:cs="Calibri" w:eastAsia="Calibri"/>
          <w:color w:val="auto"/>
          <w:spacing w:val="0"/>
          <w:position w:val="0"/>
          <w:sz w:val="20"/>
          <w:shd w:fill="auto" w:val="clear"/>
        </w:rPr>
        <w:t xml:space="preserve">Prvi korak pri odre</w:t>
      </w:r>
      <w:r>
        <w:rPr>
          <w:rFonts w:ascii="Calibri" w:hAnsi="Calibri" w:cs="Calibri" w:eastAsia="Calibri"/>
          <w:color w:val="auto"/>
          <w:spacing w:val="0"/>
          <w:position w:val="0"/>
          <w:sz w:val="20"/>
          <w:shd w:fill="auto" w:val="clear"/>
        </w:rPr>
        <w:t xml:space="preserve">đivanju ciljeva u oblasti ublažavanja klimatskih promjena je određivanje baznog stanja, odnosno baznog inventara emisija stakleničkih gasova (engl. </w:t>
      </w:r>
      <w:r>
        <w:rPr>
          <w:rFonts w:ascii="Calibri" w:hAnsi="Calibri" w:cs="Calibri" w:eastAsia="Calibri"/>
          <w:i/>
          <w:color w:val="auto"/>
          <w:spacing w:val="0"/>
          <w:position w:val="0"/>
          <w:sz w:val="20"/>
          <w:shd w:fill="auto" w:val="clear"/>
        </w:rPr>
        <w:t xml:space="preserve">Baseline Emission Inventory – BEI</w:t>
      </w:r>
      <w:r>
        <w:rPr>
          <w:rFonts w:ascii="Calibri" w:hAnsi="Calibri" w:cs="Calibri" w:eastAsia="Calibri"/>
          <w:color w:val="auto"/>
          <w:spacing w:val="0"/>
          <w:position w:val="0"/>
          <w:sz w:val="20"/>
          <w:shd w:fill="auto" w:val="clear"/>
        </w:rPr>
        <w:t xml:space="preserve">) u razmatranim sektorima energetske potrošnje. </w:t>
      </w:r>
      <w:r>
        <w:rPr>
          <w:rFonts w:ascii="Calibri" w:hAnsi="Calibri" w:cs="Calibri" w:eastAsia="Calibri"/>
          <w:b/>
          <w:color w:val="auto"/>
          <w:spacing w:val="0"/>
          <w:position w:val="0"/>
          <w:sz w:val="20"/>
          <w:shd w:fill="auto" w:val="clear"/>
        </w:rPr>
        <w:t xml:space="preserve">Bazni inventar emisija CO</w:t>
      </w:r>
      <w:r>
        <w:rPr>
          <w:rFonts w:ascii="Calibri" w:hAnsi="Calibri" w:cs="Calibri" w:eastAsia="Calibri"/>
          <w:b/>
          <w:color w:val="auto"/>
          <w:spacing w:val="0"/>
          <w:position w:val="0"/>
          <w:sz w:val="20"/>
          <w:shd w:fill="auto" w:val="clear"/>
          <w:vertAlign w:val="subscript"/>
        </w:rPr>
        <w:t xml:space="preserve">2</w:t>
      </w:r>
      <w:r>
        <w:rPr>
          <w:rFonts w:ascii="Calibri" w:hAnsi="Calibri" w:cs="Calibri" w:eastAsia="Calibri"/>
          <w:b/>
          <w:color w:val="auto"/>
          <w:spacing w:val="0"/>
          <w:position w:val="0"/>
          <w:sz w:val="20"/>
          <w:shd w:fill="auto" w:val="clear"/>
        </w:rPr>
        <w:t xml:space="preserve">, koji predstavlja nivo godišnjih emisija CO</w:t>
      </w:r>
      <w:r>
        <w:rPr>
          <w:rFonts w:ascii="Calibri" w:hAnsi="Calibri" w:cs="Calibri" w:eastAsia="Calibri"/>
          <w:b/>
          <w:color w:val="auto"/>
          <w:spacing w:val="0"/>
          <w:position w:val="0"/>
          <w:sz w:val="20"/>
          <w:shd w:fill="auto" w:val="clear"/>
          <w:vertAlign w:val="subscript"/>
        </w:rPr>
        <w:t xml:space="preserve">2</w:t>
      </w:r>
      <w:r>
        <w:rPr>
          <w:rFonts w:ascii="Calibri" w:hAnsi="Calibri" w:cs="Calibri" w:eastAsia="Calibri"/>
          <w:b/>
          <w:color w:val="auto"/>
          <w:spacing w:val="0"/>
          <w:position w:val="0"/>
          <w:sz w:val="20"/>
          <w:shd w:fill="auto" w:val="clear"/>
        </w:rPr>
        <w:t xml:space="preserve"> u baznoj 2010. godini, dobiva se kao proizvod podataka o energetskoj potrošnji u baznoj godini u razmatranim sektorima i odgovarajućih emisionih faktora za energente korištene u ovim sektorima u baznoj godini.</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U skladu sa metodološkim smjernicama Sporazuma gradona</w:t>
      </w:r>
      <w:r>
        <w:rPr>
          <w:rFonts w:ascii="Calibri" w:hAnsi="Calibri" w:cs="Calibri" w:eastAsia="Calibri"/>
          <w:color w:val="auto"/>
          <w:spacing w:val="0"/>
          <w:position w:val="0"/>
          <w:sz w:val="20"/>
          <w:shd w:fill="auto" w:val="clear"/>
        </w:rPr>
        <w:t xml:space="preserve">čelnika za energiju i klimu, cilj SECAP-a za 2030. godinu u oblasti ublažavanja klimatskih promjena određuje se kao smanjenje emisija za najmanje 40% u odnosu na iznos emisija u postavljenoj baznoj godini. </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Me</w:t>
      </w:r>
      <w:r>
        <w:rPr>
          <w:rFonts w:ascii="Calibri" w:hAnsi="Calibri" w:cs="Calibri" w:eastAsia="Calibri"/>
          <w:color w:val="auto"/>
          <w:spacing w:val="0"/>
          <w:position w:val="0"/>
          <w:sz w:val="20"/>
          <w:shd w:fill="auto" w:val="clear"/>
        </w:rPr>
        <w:t xml:space="preserve">đutim, bazna godina postavljena u SECAP-u Doboj Istok je 2010., dok je ovaj dokument izrađen u 2020. godini. U svrhu određivanja dosadašnjeg napretka općine Doboj Istok u smanjenju emisija stakleničkih gasova, odnosno obima dosadašnjeg smanjenja emisija u periodu od 2010. do 2020. godine, bilo je neophodno odrediti i takozvani kontrolni inventar emisija (engl. </w:t>
      </w:r>
      <w:r>
        <w:rPr>
          <w:rFonts w:ascii="Calibri" w:hAnsi="Calibri" w:cs="Calibri" w:eastAsia="Calibri"/>
          <w:i/>
          <w:color w:val="auto"/>
          <w:spacing w:val="0"/>
          <w:position w:val="0"/>
          <w:sz w:val="20"/>
          <w:shd w:fill="auto" w:val="clear"/>
        </w:rPr>
        <w:t xml:space="preserve">Monitoring Emission Inventory - MEI</w:t>
      </w:r>
      <w:r>
        <w:rPr>
          <w:rFonts w:ascii="Calibri" w:hAnsi="Calibri" w:cs="Calibri" w:eastAsia="Calibri"/>
          <w:color w:val="auto"/>
          <w:spacing w:val="0"/>
          <w:position w:val="0"/>
          <w:sz w:val="20"/>
          <w:shd w:fill="auto" w:val="clear"/>
        </w:rPr>
        <w:t xml:space="preserve">) za 2020. godinu. </w:t>
      </w:r>
      <w:r>
        <w:rPr>
          <w:rFonts w:ascii="Calibri" w:hAnsi="Calibri" w:cs="Calibri" w:eastAsia="Calibri"/>
          <w:b/>
          <w:color w:val="auto"/>
          <w:spacing w:val="0"/>
          <w:position w:val="0"/>
          <w:sz w:val="20"/>
          <w:shd w:fill="auto" w:val="clear"/>
        </w:rPr>
        <w:t xml:space="preserve">Ovaj kontrolni inventar, koji predstavlja godišnji nivo emisija CO</w:t>
      </w:r>
      <w:r>
        <w:rPr>
          <w:rFonts w:ascii="Calibri" w:hAnsi="Calibri" w:cs="Calibri" w:eastAsia="Calibri"/>
          <w:b/>
          <w:color w:val="auto"/>
          <w:spacing w:val="0"/>
          <w:position w:val="0"/>
          <w:sz w:val="20"/>
          <w:shd w:fill="auto" w:val="clear"/>
          <w:vertAlign w:val="subscript"/>
        </w:rPr>
        <w:t xml:space="preserve">2</w:t>
      </w:r>
      <w:r>
        <w:rPr>
          <w:rFonts w:ascii="Calibri" w:hAnsi="Calibri" w:cs="Calibri" w:eastAsia="Calibri"/>
          <w:b/>
          <w:color w:val="auto"/>
          <w:spacing w:val="0"/>
          <w:position w:val="0"/>
          <w:sz w:val="20"/>
          <w:shd w:fill="auto" w:val="clear"/>
        </w:rPr>
        <w:t xml:space="preserve"> u kontrolnoj 2020. godini, se u principu određuje kao razlika između baznog inventara emisija za 2010. godinu i iznosa smanjenja emisija koji je rezultat mjera energetske efikasnosti realiziranih u periodu od 2010. do 2020. godine</w:t>
      </w:r>
      <w:r>
        <w:rPr>
          <w:rFonts w:ascii="Calibri" w:hAnsi="Calibri" w:cs="Calibri" w:eastAsia="Calibri"/>
          <w:color w:val="auto"/>
          <w:spacing w:val="0"/>
          <w:position w:val="0"/>
          <w:sz w:val="20"/>
          <w:shd w:fill="auto" w:val="clear"/>
        </w:rPr>
        <w:t xml:space="preserve">.  Navedeni iznos smanjenja emisija dobiven je kao proizvod iznosa energetskih ušteda ostvarenih primjenom mjera energetske efikasnosti u periodu od 2010. do 2020. godine u razmatranim sektorima, i odgovarajućih emisionih faktora za korištene energente.</w:t>
      </w:r>
    </w:p>
    <w:p>
      <w:pPr>
        <w:keepNext w:val="true"/>
        <w:keepLines w:val="true"/>
        <w:numPr>
          <w:ilvl w:val="0"/>
          <w:numId w:val="383"/>
        </w:numPr>
        <w:spacing w:before="120" w:after="0" w:line="240"/>
        <w:ind w:right="0" w:left="862" w:hanging="862"/>
        <w:jc w:val="both"/>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Metodologija prikupljanja ulaznih podataka potrebnih za prora</w:t>
      </w:r>
      <w:r>
        <w:rPr>
          <w:rFonts w:ascii="Calibri" w:hAnsi="Calibri" w:cs="Calibri" w:eastAsia="Calibri"/>
          <w:b/>
          <w:color w:val="auto"/>
          <w:spacing w:val="0"/>
          <w:position w:val="0"/>
          <w:sz w:val="22"/>
          <w:shd w:fill="auto" w:val="clear"/>
        </w:rPr>
        <w:t xml:space="preserve">čun potrošnje energije u razmatranim sektorima u baznoj i kontrolnoj godini</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Najzna</w:t>
      </w:r>
      <w:r>
        <w:rPr>
          <w:rFonts w:ascii="Calibri" w:hAnsi="Calibri" w:cs="Calibri" w:eastAsia="Calibri"/>
          <w:color w:val="auto"/>
          <w:spacing w:val="0"/>
          <w:position w:val="0"/>
          <w:sz w:val="20"/>
          <w:shd w:fill="auto" w:val="clear"/>
        </w:rPr>
        <w:t xml:space="preserve">čajniji korak za izradu pouzdanog baznog i kontrolnog inventara emisija bilo je prikupljanje ulaznih podataka za sve razmatrane sektore i podsektore, koji su zatim korišteni za proračun potrošnje energije. Potrebni ulazni podaci su prikupljeni na slijedeća tri načina:</w:t>
      </w:r>
    </w:p>
    <w:p>
      <w:pPr>
        <w:numPr>
          <w:ilvl w:val="0"/>
          <w:numId w:val="385"/>
        </w:numPr>
        <w:spacing w:before="60" w:after="0" w:line="240"/>
        <w:ind w:right="0" w:left="720" w:hanging="36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Prikupljanje podataka iz lokalnih izvora, što je prvenstveno uklju</w:t>
      </w:r>
      <w:r>
        <w:rPr>
          <w:rFonts w:ascii="Calibri" w:hAnsi="Calibri" w:cs="Calibri" w:eastAsia="Calibri"/>
          <w:color w:val="auto"/>
          <w:spacing w:val="0"/>
          <w:position w:val="0"/>
          <w:sz w:val="20"/>
          <w:shd w:fill="auto" w:val="clear"/>
        </w:rPr>
        <w:t xml:space="preserve">čivalo:</w:t>
      </w:r>
    </w:p>
    <w:p>
      <w:pPr>
        <w:numPr>
          <w:ilvl w:val="0"/>
          <w:numId w:val="385"/>
        </w:numPr>
        <w:spacing w:before="60" w:after="0" w:line="240"/>
        <w:ind w:right="0" w:left="1440" w:hanging="36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Prikupljanje podataka putem anketiranja doma</w:t>
      </w:r>
      <w:r>
        <w:rPr>
          <w:rFonts w:ascii="Calibri" w:hAnsi="Calibri" w:cs="Calibri" w:eastAsia="Calibri"/>
          <w:color w:val="auto"/>
          <w:spacing w:val="0"/>
          <w:position w:val="0"/>
          <w:sz w:val="20"/>
          <w:shd w:fill="auto" w:val="clear"/>
        </w:rPr>
        <w:t xml:space="preserve">ćinstava; i</w:t>
      </w:r>
    </w:p>
    <w:p>
      <w:pPr>
        <w:numPr>
          <w:ilvl w:val="0"/>
          <w:numId w:val="385"/>
        </w:numPr>
        <w:spacing w:before="0" w:after="0" w:line="240"/>
        <w:ind w:right="0" w:left="1434" w:hanging="357"/>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Prikupljanje podataka raspoloživih u okviru nadležnih službi Op</w:t>
      </w:r>
      <w:r>
        <w:rPr>
          <w:rFonts w:ascii="Calibri" w:hAnsi="Calibri" w:cs="Calibri" w:eastAsia="Calibri"/>
          <w:color w:val="auto"/>
          <w:spacing w:val="0"/>
          <w:position w:val="0"/>
          <w:sz w:val="20"/>
          <w:shd w:fill="auto" w:val="clear"/>
        </w:rPr>
        <w:t xml:space="preserve">ćine Doboj Istok i relevantnih javnih preduzeća, popunjavanjem odgovarajućih upitnika;</w:t>
      </w:r>
    </w:p>
    <w:p>
      <w:pPr>
        <w:numPr>
          <w:ilvl w:val="0"/>
          <w:numId w:val="385"/>
        </w:numPr>
        <w:spacing w:before="60" w:after="0" w:line="240"/>
        <w:ind w:right="0" w:left="720" w:hanging="36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Korištenje podataka iz razli</w:t>
      </w:r>
      <w:r>
        <w:rPr>
          <w:rFonts w:ascii="Calibri" w:hAnsi="Calibri" w:cs="Calibri" w:eastAsia="Calibri"/>
          <w:color w:val="auto"/>
          <w:spacing w:val="0"/>
          <w:position w:val="0"/>
          <w:sz w:val="20"/>
          <w:shd w:fill="auto" w:val="clear"/>
        </w:rPr>
        <w:t xml:space="preserve">čitih zvaničnih i javno dostupnih izvora, kao npr:</w:t>
      </w:r>
    </w:p>
    <w:p>
      <w:pPr>
        <w:numPr>
          <w:ilvl w:val="0"/>
          <w:numId w:val="385"/>
        </w:numPr>
        <w:spacing w:before="0" w:after="0" w:line="240"/>
        <w:ind w:right="0" w:left="1434" w:hanging="357"/>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Agencija za statistiku Bosne i Hercegovine i Federalni zavod za statistiku;</w:t>
      </w:r>
    </w:p>
    <w:p>
      <w:pPr>
        <w:numPr>
          <w:ilvl w:val="0"/>
          <w:numId w:val="385"/>
        </w:numPr>
        <w:spacing w:before="0" w:after="0" w:line="240"/>
        <w:ind w:right="0" w:left="1434" w:hanging="357"/>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Popis stanovništva, doma</w:t>
      </w:r>
      <w:r>
        <w:rPr>
          <w:rFonts w:ascii="Calibri" w:hAnsi="Calibri" w:cs="Calibri" w:eastAsia="Calibri"/>
          <w:color w:val="auto"/>
          <w:spacing w:val="0"/>
          <w:position w:val="0"/>
          <w:sz w:val="20"/>
          <w:shd w:fill="auto" w:val="clear"/>
        </w:rPr>
        <w:t xml:space="preserve">ćinstava i stanova u Bosni i Hercegovini, proveden 2013. godine;</w:t>
      </w:r>
    </w:p>
    <w:p>
      <w:pPr>
        <w:numPr>
          <w:ilvl w:val="0"/>
          <w:numId w:val="385"/>
        </w:numPr>
        <w:spacing w:before="0" w:after="0" w:line="240"/>
        <w:ind w:right="0" w:left="1434" w:hanging="357"/>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Tipologija javnih zgrada u Bosni i Hercegovini; </w:t>
      </w:r>
    </w:p>
    <w:p>
      <w:pPr>
        <w:numPr>
          <w:ilvl w:val="0"/>
          <w:numId w:val="385"/>
        </w:numPr>
        <w:spacing w:before="0" w:after="0" w:line="240"/>
        <w:ind w:right="0" w:left="1434" w:hanging="357"/>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Tipologija stambenih zgrada Bosne i Hercegovine; </w:t>
      </w:r>
    </w:p>
    <w:p>
      <w:pPr>
        <w:numPr>
          <w:ilvl w:val="0"/>
          <w:numId w:val="385"/>
        </w:numPr>
        <w:spacing w:before="0" w:after="0" w:line="240"/>
        <w:ind w:right="0" w:left="1434" w:hanging="357"/>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Evidencija (mjese</w:t>
      </w:r>
      <w:r>
        <w:rPr>
          <w:rFonts w:ascii="Calibri" w:hAnsi="Calibri" w:cs="Calibri" w:eastAsia="Calibri"/>
          <w:color w:val="auto"/>
          <w:spacing w:val="0"/>
          <w:position w:val="0"/>
          <w:sz w:val="20"/>
          <w:shd w:fill="auto" w:val="clear"/>
        </w:rPr>
        <w:t xml:space="preserve">čni i godišnji pregledi) svih registriranih vozila u Bosni i Hercegovini.</w:t>
      </w:r>
    </w:p>
    <w:p>
      <w:pPr>
        <w:spacing w:before="120" w:after="0" w:line="240"/>
        <w:ind w:right="0" w:left="0" w:firstLine="0"/>
        <w:jc w:val="both"/>
        <w:rPr>
          <w:rFonts w:ascii="Calibri" w:hAnsi="Calibri" w:cs="Calibri" w:eastAsia="Calibri"/>
          <w:b/>
          <w:color w:val="auto"/>
          <w:spacing w:val="0"/>
          <w:position w:val="0"/>
          <w:sz w:val="20"/>
          <w:u w:val="single"/>
          <w:shd w:fill="auto" w:val="clear"/>
        </w:rPr>
      </w:pPr>
      <w:r>
        <w:rPr>
          <w:rFonts w:ascii="Calibri" w:hAnsi="Calibri" w:cs="Calibri" w:eastAsia="Calibri"/>
          <w:b/>
          <w:color w:val="auto"/>
          <w:spacing w:val="0"/>
          <w:position w:val="0"/>
          <w:sz w:val="20"/>
          <w:u w:val="single"/>
          <w:shd w:fill="auto" w:val="clear"/>
        </w:rPr>
        <w:t xml:space="preserve">Sektor zgradarstva:</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Ulazni podaci za podsektore javnih zgrada u vlasništvu Op</w:t>
      </w:r>
      <w:r>
        <w:rPr>
          <w:rFonts w:ascii="Calibri" w:hAnsi="Calibri" w:cs="Calibri" w:eastAsia="Calibri"/>
          <w:color w:val="auto"/>
          <w:spacing w:val="0"/>
          <w:position w:val="0"/>
          <w:sz w:val="20"/>
          <w:shd w:fill="auto" w:val="clear"/>
        </w:rPr>
        <w:t xml:space="preserve">ćine Doboj Istok i javnih zgrada koje nisu u vlasništvu Općine Doboj Istok prikupljeni su putem upitnika u kojima su za zgrade izgrađene prije bazne 2010. godine bili traženi slijedeći podaci: </w:t>
      </w:r>
    </w:p>
    <w:p>
      <w:pPr>
        <w:numPr>
          <w:ilvl w:val="0"/>
          <w:numId w:val="392"/>
        </w:numPr>
        <w:spacing w:before="60" w:after="0" w:line="240"/>
        <w:ind w:right="0" w:left="714" w:hanging="357"/>
        <w:jc w:val="both"/>
        <w:rPr>
          <w:rFonts w:ascii="Calibri" w:hAnsi="Calibri" w:cs="Calibri" w:eastAsia="Calibri"/>
          <w:color w:val="auto"/>
          <w:spacing w:val="0"/>
          <w:position w:val="0"/>
          <w:sz w:val="20"/>
          <w:shd w:fill="auto" w:val="clear"/>
        </w:rPr>
      </w:pPr>
      <w:r>
        <w:rPr>
          <w:rFonts w:ascii="Calibri" w:hAnsi="Calibri" w:cs="Calibri" w:eastAsia="Calibri"/>
          <w:i/>
          <w:color w:val="auto"/>
          <w:spacing w:val="0"/>
          <w:position w:val="0"/>
          <w:sz w:val="20"/>
          <w:shd w:fill="auto" w:val="clear"/>
        </w:rPr>
        <w:t xml:space="preserve">opšti podaci o zgradi</w:t>
      </w:r>
      <w:r>
        <w:rPr>
          <w:rFonts w:ascii="Calibri" w:hAnsi="Calibri" w:cs="Calibri" w:eastAsia="Calibri"/>
          <w:color w:val="auto"/>
          <w:spacing w:val="0"/>
          <w:position w:val="0"/>
          <w:sz w:val="20"/>
          <w:shd w:fill="auto" w:val="clear"/>
        </w:rPr>
        <w:t xml:space="preserve"> (naziv institucije koja koristi zgradu, adresa, vlasništvo, godina izgradnje, namjena zgrade);</w:t>
      </w:r>
    </w:p>
    <w:p>
      <w:pPr>
        <w:numPr>
          <w:ilvl w:val="0"/>
          <w:numId w:val="392"/>
        </w:numPr>
        <w:spacing w:before="60" w:after="0" w:line="240"/>
        <w:ind w:right="0" w:left="714" w:hanging="357"/>
        <w:jc w:val="both"/>
        <w:rPr>
          <w:rFonts w:ascii="Calibri" w:hAnsi="Calibri" w:cs="Calibri" w:eastAsia="Calibri"/>
          <w:color w:val="auto"/>
          <w:spacing w:val="0"/>
          <w:position w:val="0"/>
          <w:sz w:val="20"/>
          <w:shd w:fill="auto" w:val="clear"/>
        </w:rPr>
      </w:pPr>
      <w:r>
        <w:rPr>
          <w:rFonts w:ascii="Calibri" w:hAnsi="Calibri" w:cs="Calibri" w:eastAsia="Calibri"/>
          <w:i/>
          <w:color w:val="auto"/>
          <w:spacing w:val="0"/>
          <w:position w:val="0"/>
          <w:sz w:val="20"/>
          <w:shd w:fill="auto" w:val="clear"/>
        </w:rPr>
        <w:t xml:space="preserve">podaci o gra</w:t>
      </w:r>
      <w:r>
        <w:rPr>
          <w:rFonts w:ascii="Calibri" w:hAnsi="Calibri" w:cs="Calibri" w:eastAsia="Calibri"/>
          <w:i/>
          <w:color w:val="auto"/>
          <w:spacing w:val="0"/>
          <w:position w:val="0"/>
          <w:sz w:val="20"/>
          <w:shd w:fill="auto" w:val="clear"/>
        </w:rPr>
        <w:t xml:space="preserve">đevinskim i energetskim karakteristikama zgrade u baznoj 2010. godini</w:t>
      </w:r>
      <w:r>
        <w:rPr>
          <w:rFonts w:ascii="Calibri" w:hAnsi="Calibri" w:cs="Calibri" w:eastAsia="Calibri"/>
          <w:color w:val="auto"/>
          <w:spacing w:val="0"/>
          <w:position w:val="0"/>
          <w:sz w:val="20"/>
          <w:shd w:fill="auto" w:val="clear"/>
        </w:rPr>
        <w:t xml:space="preserve"> (ukupna grijana površina, način grijanja i korišteni energenti);</w:t>
      </w:r>
    </w:p>
    <w:p>
      <w:pPr>
        <w:numPr>
          <w:ilvl w:val="0"/>
          <w:numId w:val="392"/>
        </w:numPr>
        <w:spacing w:before="60" w:after="0" w:line="240"/>
        <w:ind w:right="0" w:left="714" w:hanging="357"/>
        <w:jc w:val="both"/>
        <w:rPr>
          <w:rFonts w:ascii="Calibri" w:hAnsi="Calibri" w:cs="Calibri" w:eastAsia="Calibri"/>
          <w:color w:val="auto"/>
          <w:spacing w:val="0"/>
          <w:position w:val="0"/>
          <w:sz w:val="20"/>
          <w:shd w:fill="auto" w:val="clear"/>
        </w:rPr>
      </w:pPr>
      <w:r>
        <w:rPr>
          <w:rFonts w:ascii="Calibri" w:hAnsi="Calibri" w:cs="Calibri" w:eastAsia="Calibri"/>
          <w:i/>
          <w:color w:val="auto"/>
          <w:spacing w:val="0"/>
          <w:position w:val="0"/>
          <w:sz w:val="20"/>
          <w:shd w:fill="auto" w:val="clear"/>
        </w:rPr>
        <w:t xml:space="preserve">podaci o mjerama energetske efikasnosti koje su realizirane na zgradi u periodu od bazne 2010. do kontrolne 2020. godine</w:t>
      </w:r>
      <w:r>
        <w:rPr>
          <w:rFonts w:ascii="Calibri" w:hAnsi="Calibri" w:cs="Calibri" w:eastAsia="Calibri"/>
          <w:color w:val="auto"/>
          <w:spacing w:val="0"/>
          <w:position w:val="0"/>
          <w:sz w:val="20"/>
          <w:shd w:fill="auto" w:val="clear"/>
        </w:rPr>
        <w:t xml:space="preserve">, koje mogu uklju</w:t>
      </w:r>
      <w:r>
        <w:rPr>
          <w:rFonts w:ascii="Calibri" w:hAnsi="Calibri" w:cs="Calibri" w:eastAsia="Calibri"/>
          <w:color w:val="auto"/>
          <w:spacing w:val="0"/>
          <w:position w:val="0"/>
          <w:sz w:val="20"/>
          <w:shd w:fill="auto" w:val="clear"/>
        </w:rPr>
        <w:t xml:space="preserve">čivati:  </w:t>
      </w:r>
    </w:p>
    <w:p>
      <w:pPr>
        <w:numPr>
          <w:ilvl w:val="0"/>
          <w:numId w:val="392"/>
        </w:numPr>
        <w:spacing w:before="0" w:after="0" w:line="240"/>
        <w:ind w:right="0" w:left="1434" w:hanging="357"/>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utopljavanje ovojnice zgrada (postavljanje termoizolacije na fasadi, krovu i/ili stropu, zamjena vanjske stolarije); i </w:t>
      </w:r>
    </w:p>
    <w:p>
      <w:pPr>
        <w:numPr>
          <w:ilvl w:val="0"/>
          <w:numId w:val="392"/>
        </w:numPr>
        <w:spacing w:before="0" w:after="0" w:line="240"/>
        <w:ind w:right="0" w:left="1434" w:hanging="357"/>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zamjenu postoje</w:t>
      </w:r>
      <w:r>
        <w:rPr>
          <w:rFonts w:ascii="Calibri" w:hAnsi="Calibri" w:cs="Calibri" w:eastAsia="Calibri"/>
          <w:color w:val="auto"/>
          <w:spacing w:val="0"/>
          <w:position w:val="0"/>
          <w:sz w:val="20"/>
          <w:shd w:fill="auto" w:val="clear"/>
        </w:rPr>
        <w:t xml:space="preserve">ćeg sistema grijanja i/ili energenata sa novim okolišno prihvatljivim sistemom grijanja.</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Istovremeno je izra</w:t>
      </w:r>
      <w:r>
        <w:rPr>
          <w:rFonts w:ascii="Calibri" w:hAnsi="Calibri" w:cs="Calibri" w:eastAsia="Calibri"/>
          <w:color w:val="auto"/>
          <w:spacing w:val="0"/>
          <w:position w:val="0"/>
          <w:sz w:val="20"/>
          <w:shd w:fill="auto" w:val="clear"/>
        </w:rPr>
        <w:t xml:space="preserve">đena i lista zgrada javne namjene koje su izgrađene u periodu od 2010. do 2020. godine, koja za svaku zgradu sadrži opšte podatke (naziv institucije koja koristi zgradu, adresa, vlasništvo, godina izgradnje, namjena zgrade), i njeno postojeće stanje (ukupna grijana površina, način grijanja i korišteni energenti).</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Ulazni podaci o potrošnji energije za podsektor </w:t>
      </w:r>
      <w:r>
        <w:rPr>
          <w:rFonts w:ascii="Calibri" w:hAnsi="Calibri" w:cs="Calibri" w:eastAsia="Calibri"/>
          <w:b/>
          <w:color w:val="auto"/>
          <w:spacing w:val="0"/>
          <w:position w:val="0"/>
          <w:sz w:val="20"/>
          <w:shd w:fill="auto" w:val="clear"/>
        </w:rPr>
        <w:t xml:space="preserve">stambenih zgrada</w:t>
      </w:r>
      <w:r>
        <w:rPr>
          <w:rFonts w:ascii="Calibri" w:hAnsi="Calibri" w:cs="Calibri" w:eastAsia="Calibri"/>
          <w:color w:val="auto"/>
          <w:spacing w:val="0"/>
          <w:position w:val="0"/>
          <w:sz w:val="20"/>
          <w:shd w:fill="auto" w:val="clear"/>
        </w:rPr>
        <w:t xml:space="preserve"> prikupljeni su na slijede</w:t>
      </w:r>
      <w:r>
        <w:rPr>
          <w:rFonts w:ascii="Calibri" w:hAnsi="Calibri" w:cs="Calibri" w:eastAsia="Calibri"/>
          <w:color w:val="auto"/>
          <w:spacing w:val="0"/>
          <w:position w:val="0"/>
          <w:sz w:val="20"/>
          <w:shd w:fill="auto" w:val="clear"/>
        </w:rPr>
        <w:t xml:space="preserve">ći način:</w:t>
      </w:r>
    </w:p>
    <w:p>
      <w:pPr>
        <w:numPr>
          <w:ilvl w:val="0"/>
          <w:numId w:val="395"/>
        </w:numPr>
        <w:spacing w:before="60" w:after="0" w:line="240"/>
        <w:ind w:right="0" w:left="714" w:hanging="357"/>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Podaci o ukupnom broju stambenih zgrada na podru</w:t>
      </w:r>
      <w:r>
        <w:rPr>
          <w:rFonts w:ascii="Calibri" w:hAnsi="Calibri" w:cs="Calibri" w:eastAsia="Calibri"/>
          <w:color w:val="auto"/>
          <w:spacing w:val="0"/>
          <w:position w:val="0"/>
          <w:sz w:val="20"/>
          <w:shd w:fill="auto" w:val="clear"/>
        </w:rPr>
        <w:t xml:space="preserve">čju općine Doboj Istok i o njihovoj ukupnoj grijanoj površini, preuzeti su iz </w:t>
      </w:r>
      <w:r>
        <w:rPr>
          <w:rFonts w:ascii="Calibri" w:hAnsi="Calibri" w:cs="Calibri" w:eastAsia="Calibri"/>
          <w:i/>
          <w:color w:val="auto"/>
          <w:spacing w:val="0"/>
          <w:position w:val="0"/>
          <w:sz w:val="20"/>
          <w:shd w:fill="auto" w:val="clear"/>
        </w:rPr>
        <w:t xml:space="preserve">Popisa stanovništva, domaćinstava i stanova u Bosni i Hercegovini</w:t>
      </w:r>
      <w:r>
        <w:rPr>
          <w:rFonts w:ascii="Calibri" w:hAnsi="Calibri" w:cs="Calibri" w:eastAsia="Calibri"/>
          <w:color w:val="auto"/>
          <w:spacing w:val="0"/>
          <w:position w:val="0"/>
          <w:sz w:val="20"/>
          <w:shd w:fill="auto" w:val="clear"/>
        </w:rPr>
        <w:t xml:space="preserve"> izvršenom 2013. godine;</w:t>
      </w:r>
    </w:p>
    <w:p>
      <w:pPr>
        <w:numPr>
          <w:ilvl w:val="0"/>
          <w:numId w:val="395"/>
        </w:numPr>
        <w:spacing w:before="60" w:after="0" w:line="240"/>
        <w:ind w:right="0" w:left="714" w:hanging="357"/>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Podaci potrebni za prora</w:t>
      </w:r>
      <w:r>
        <w:rPr>
          <w:rFonts w:ascii="Calibri" w:hAnsi="Calibri" w:cs="Calibri" w:eastAsia="Calibri"/>
          <w:color w:val="auto"/>
          <w:spacing w:val="0"/>
          <w:position w:val="0"/>
          <w:sz w:val="20"/>
          <w:shd w:fill="auto" w:val="clear"/>
        </w:rPr>
        <w:t xml:space="preserve">čun ušteda energije postignutih u ovom podsektoru realizacijom mjera energetske efikasnosti u periodu od bazne do kontrolne 2020. godine prikupljeni su putem anketiranja domaćinstava. Za potrebe ankete određen je statistički uzorak sa stepenom pouzdanosti 95% i intervalom odstupanja 6,2%, kojim su obuhvaćena 234 domaćinstva u zgradama individualnog i kolektivnog stanovanja. Nakon provođenja početne ankete, provedena je i kontrolna anketa kako bi se potvrdila vjerodostojnost dobivenih podataka. Za svako anketirano domaćinstvo prikupljeni su slijedeći podaci:</w:t>
      </w:r>
    </w:p>
    <w:p>
      <w:pPr>
        <w:numPr>
          <w:ilvl w:val="0"/>
          <w:numId w:val="395"/>
        </w:numPr>
        <w:spacing w:before="60" w:after="0" w:line="240"/>
        <w:ind w:right="0" w:left="1077" w:hanging="357"/>
        <w:jc w:val="both"/>
        <w:rPr>
          <w:rFonts w:ascii="Calibri" w:hAnsi="Calibri" w:cs="Calibri" w:eastAsia="Calibri"/>
          <w:color w:val="auto"/>
          <w:spacing w:val="0"/>
          <w:position w:val="0"/>
          <w:sz w:val="20"/>
          <w:shd w:fill="auto" w:val="clear"/>
        </w:rPr>
      </w:pPr>
      <w:r>
        <w:rPr>
          <w:rFonts w:ascii="Calibri" w:hAnsi="Calibri" w:cs="Calibri" w:eastAsia="Calibri"/>
          <w:i/>
          <w:color w:val="auto"/>
          <w:spacing w:val="0"/>
          <w:position w:val="0"/>
          <w:sz w:val="20"/>
          <w:shd w:fill="auto" w:val="clear"/>
        </w:rPr>
        <w:t xml:space="preserve">opšti podaci o njihovoj stambenoj jedinici </w:t>
      </w:r>
      <w:r>
        <w:rPr>
          <w:rFonts w:ascii="Calibri" w:hAnsi="Calibri" w:cs="Calibri" w:eastAsia="Calibri"/>
          <w:color w:val="auto"/>
          <w:spacing w:val="0"/>
          <w:position w:val="0"/>
          <w:sz w:val="20"/>
          <w:shd w:fill="auto" w:val="clear"/>
        </w:rPr>
        <w:t xml:space="preserve">(tip stambene zgrade u kojoj se stambena jedinica nalazi, godina ili period izgradnje zgrade);</w:t>
      </w:r>
    </w:p>
    <w:p>
      <w:pPr>
        <w:numPr>
          <w:ilvl w:val="0"/>
          <w:numId w:val="395"/>
        </w:numPr>
        <w:spacing w:before="0" w:after="0" w:line="240"/>
        <w:ind w:right="0" w:left="1077" w:hanging="357"/>
        <w:jc w:val="both"/>
        <w:rPr>
          <w:rFonts w:ascii="Calibri" w:hAnsi="Calibri" w:cs="Calibri" w:eastAsia="Calibri"/>
          <w:color w:val="auto"/>
          <w:spacing w:val="0"/>
          <w:position w:val="0"/>
          <w:sz w:val="20"/>
          <w:shd w:fill="auto" w:val="clear"/>
        </w:rPr>
      </w:pPr>
      <w:r>
        <w:rPr>
          <w:rFonts w:ascii="Calibri" w:hAnsi="Calibri" w:cs="Calibri" w:eastAsia="Calibri"/>
          <w:i/>
          <w:color w:val="auto"/>
          <w:spacing w:val="0"/>
          <w:position w:val="0"/>
          <w:sz w:val="20"/>
          <w:shd w:fill="auto" w:val="clear"/>
        </w:rPr>
        <w:t xml:space="preserve">podaci o gra</w:t>
      </w:r>
      <w:r>
        <w:rPr>
          <w:rFonts w:ascii="Calibri" w:hAnsi="Calibri" w:cs="Calibri" w:eastAsia="Calibri"/>
          <w:i/>
          <w:color w:val="auto"/>
          <w:spacing w:val="0"/>
          <w:position w:val="0"/>
          <w:sz w:val="20"/>
          <w:shd w:fill="auto" w:val="clear"/>
        </w:rPr>
        <w:t xml:space="preserve">đevinskim i energetskim karakteristikama</w:t>
      </w:r>
      <w:r>
        <w:rPr>
          <w:rFonts w:ascii="Calibri" w:hAnsi="Calibri" w:cs="Calibri" w:eastAsia="Calibri"/>
          <w:color w:val="auto"/>
          <w:spacing w:val="0"/>
          <w:position w:val="0"/>
          <w:sz w:val="20"/>
          <w:shd w:fill="auto" w:val="clear"/>
        </w:rPr>
        <w:t xml:space="preserve"> stambene jedinice (dimenzije stambene jedinice, način grijanja i korišteni energenti);</w:t>
      </w:r>
    </w:p>
    <w:p>
      <w:pPr>
        <w:numPr>
          <w:ilvl w:val="0"/>
          <w:numId w:val="395"/>
        </w:numPr>
        <w:spacing w:before="0" w:after="0" w:line="240"/>
        <w:ind w:right="0" w:left="1077" w:hanging="357"/>
        <w:jc w:val="both"/>
        <w:rPr>
          <w:rFonts w:ascii="Calibri" w:hAnsi="Calibri" w:cs="Calibri" w:eastAsia="Calibri"/>
          <w:color w:val="auto"/>
          <w:spacing w:val="0"/>
          <w:position w:val="0"/>
          <w:sz w:val="20"/>
          <w:shd w:fill="auto" w:val="clear"/>
        </w:rPr>
      </w:pPr>
      <w:r>
        <w:rPr>
          <w:rFonts w:ascii="Calibri" w:hAnsi="Calibri" w:cs="Calibri" w:eastAsia="Calibri"/>
          <w:i/>
          <w:color w:val="auto"/>
          <w:spacing w:val="0"/>
          <w:position w:val="0"/>
          <w:sz w:val="20"/>
          <w:shd w:fill="auto" w:val="clear"/>
        </w:rPr>
        <w:t xml:space="preserve">podaci o potrošnji elektri</w:t>
      </w:r>
      <w:r>
        <w:rPr>
          <w:rFonts w:ascii="Calibri" w:hAnsi="Calibri" w:cs="Calibri" w:eastAsia="Calibri"/>
          <w:i/>
          <w:color w:val="auto"/>
          <w:spacing w:val="0"/>
          <w:position w:val="0"/>
          <w:sz w:val="20"/>
          <w:shd w:fill="auto" w:val="clear"/>
        </w:rPr>
        <w:t xml:space="preserve">čne energije u domaćinstvu </w:t>
      </w:r>
      <w:r>
        <w:rPr>
          <w:rFonts w:ascii="Calibri" w:hAnsi="Calibri" w:cs="Calibri" w:eastAsia="Calibri"/>
          <w:color w:val="auto"/>
          <w:spacing w:val="0"/>
          <w:position w:val="0"/>
          <w:sz w:val="20"/>
          <w:shd w:fill="auto" w:val="clear"/>
        </w:rPr>
        <w:t xml:space="preserve">(broj, vrsta i starost električnih uređaja, prosječni mjesečni troškovi za električnu energiju;</w:t>
      </w:r>
    </w:p>
    <w:p>
      <w:pPr>
        <w:numPr>
          <w:ilvl w:val="0"/>
          <w:numId w:val="395"/>
        </w:numPr>
        <w:spacing w:before="0" w:after="0" w:line="240"/>
        <w:ind w:right="0" w:left="1077" w:hanging="357"/>
        <w:jc w:val="both"/>
        <w:rPr>
          <w:rFonts w:ascii="Calibri" w:hAnsi="Calibri" w:cs="Calibri" w:eastAsia="Calibri"/>
          <w:color w:val="auto"/>
          <w:spacing w:val="0"/>
          <w:position w:val="0"/>
          <w:sz w:val="20"/>
          <w:shd w:fill="auto" w:val="clear"/>
        </w:rPr>
      </w:pPr>
      <w:r>
        <w:rPr>
          <w:rFonts w:ascii="Calibri" w:hAnsi="Calibri" w:cs="Calibri" w:eastAsia="Calibri"/>
          <w:i/>
          <w:color w:val="auto"/>
          <w:spacing w:val="0"/>
          <w:position w:val="0"/>
          <w:sz w:val="20"/>
          <w:shd w:fill="auto" w:val="clear"/>
        </w:rPr>
        <w:t xml:space="preserve">podaci o mjerama energetske efikasnosti koje su realizirane u periodu od 2010. do 2020. godine, </w:t>
      </w:r>
      <w:r>
        <w:rPr>
          <w:rFonts w:ascii="Calibri" w:hAnsi="Calibri" w:cs="Calibri" w:eastAsia="Calibri"/>
          <w:color w:val="auto"/>
          <w:spacing w:val="0"/>
          <w:position w:val="0"/>
          <w:sz w:val="20"/>
          <w:shd w:fill="auto" w:val="clear"/>
        </w:rPr>
        <w:t xml:space="preserve">koje mogu uklju</w:t>
      </w:r>
      <w:r>
        <w:rPr>
          <w:rFonts w:ascii="Calibri" w:hAnsi="Calibri" w:cs="Calibri" w:eastAsia="Calibri"/>
          <w:color w:val="auto"/>
          <w:spacing w:val="0"/>
          <w:position w:val="0"/>
          <w:sz w:val="20"/>
          <w:shd w:fill="auto" w:val="clear"/>
        </w:rPr>
        <w:t xml:space="preserve">čivati utopljavanje ovojnice zgrade (postavljanje termoizolacije na fasadi, krovu i/ili stropu, zamjena vanjske stolarije); i zamjenu postojećeg sistema grijanja i/ili energenata sa novim okolišno prihvatljivim sistemom grijanja.</w:t>
      </w:r>
    </w:p>
    <w:p>
      <w:pPr>
        <w:spacing w:before="120" w:after="0" w:line="240"/>
        <w:ind w:right="0" w:left="0" w:firstLine="0"/>
        <w:jc w:val="both"/>
        <w:rPr>
          <w:rFonts w:ascii="Calibri" w:hAnsi="Calibri" w:cs="Calibri" w:eastAsia="Calibri"/>
          <w:b/>
          <w:color w:val="auto"/>
          <w:spacing w:val="0"/>
          <w:position w:val="0"/>
          <w:sz w:val="20"/>
          <w:u w:val="single"/>
          <w:shd w:fill="auto" w:val="clear"/>
        </w:rPr>
      </w:pPr>
      <w:r>
        <w:rPr>
          <w:rFonts w:ascii="Calibri" w:hAnsi="Calibri" w:cs="Calibri" w:eastAsia="Calibri"/>
          <w:b/>
          <w:color w:val="auto"/>
          <w:spacing w:val="0"/>
          <w:position w:val="0"/>
          <w:sz w:val="20"/>
          <w:u w:val="single"/>
          <w:shd w:fill="auto" w:val="clear"/>
        </w:rPr>
        <w:t xml:space="preserve">Sektor saobra</w:t>
      </w:r>
      <w:r>
        <w:rPr>
          <w:rFonts w:ascii="Calibri" w:hAnsi="Calibri" w:cs="Calibri" w:eastAsia="Calibri"/>
          <w:b/>
          <w:color w:val="auto"/>
          <w:spacing w:val="0"/>
          <w:position w:val="0"/>
          <w:sz w:val="20"/>
          <w:u w:val="single"/>
          <w:shd w:fill="auto" w:val="clear"/>
        </w:rPr>
        <w:t xml:space="preserve">ćaja</w:t>
      </w:r>
    </w:p>
    <w:p>
      <w:pPr>
        <w:spacing w:before="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Glavni izvor potrebnih ulaznih podataka za ovaj sektor bila je evidencija svih registriranih vozila u Bosni i Hercegovini, koja je u obliku mjese</w:t>
      </w:r>
      <w:r>
        <w:rPr>
          <w:rFonts w:ascii="Calibri" w:hAnsi="Calibri" w:cs="Calibri" w:eastAsia="Calibri"/>
          <w:color w:val="auto"/>
          <w:spacing w:val="0"/>
          <w:position w:val="0"/>
          <w:sz w:val="20"/>
          <w:shd w:fill="auto" w:val="clear"/>
        </w:rPr>
        <w:t xml:space="preserve">čnih i godišnjih biltena dostupna na web-stranici </w:t>
      </w:r>
      <w:r>
        <w:rPr>
          <w:rFonts w:ascii="Calibri" w:hAnsi="Calibri" w:cs="Calibri" w:eastAsia="Calibri"/>
          <w:i/>
          <w:color w:val="auto"/>
          <w:spacing w:val="0"/>
          <w:position w:val="0"/>
          <w:sz w:val="20"/>
          <w:shd w:fill="auto" w:val="clear"/>
        </w:rPr>
        <w:t xml:space="preserve">Agencije za identifikacione dokumente, evidenciju i razmjenu podataka (IDDEEA)</w:t>
      </w:r>
      <w:r>
        <w:rPr>
          <w:rFonts w:ascii="Calibri" w:hAnsi="Calibri" w:cs="Calibri" w:eastAsia="Calibri"/>
          <w:color w:val="auto"/>
          <w:spacing w:val="0"/>
          <w:position w:val="0"/>
          <w:sz w:val="20"/>
          <w:shd w:fill="auto" w:val="clear"/>
        </w:rPr>
        <w:t xml:space="preserve">. Iz ove evidencije preuzeti su relevantni podaci za sva vozila registrirana u Doboj Istoku, što uključuje slijedeće informacije:</w:t>
      </w:r>
    </w:p>
    <w:p>
      <w:pPr>
        <w:numPr>
          <w:ilvl w:val="0"/>
          <w:numId w:val="400"/>
        </w:numPr>
        <w:spacing w:before="60" w:after="0" w:line="240"/>
        <w:ind w:right="0" w:left="714" w:hanging="357"/>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ukupan broj vozila po pojedinim podsektorima;</w:t>
      </w:r>
    </w:p>
    <w:p>
      <w:pPr>
        <w:numPr>
          <w:ilvl w:val="0"/>
          <w:numId w:val="400"/>
        </w:numPr>
        <w:spacing w:before="60" w:after="0" w:line="240"/>
        <w:ind w:right="0" w:left="720" w:hanging="36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za svako vozilo podaci o marki, tipu i vrsti vozila (putni</w:t>
      </w:r>
      <w:r>
        <w:rPr>
          <w:rFonts w:ascii="Calibri" w:hAnsi="Calibri" w:cs="Calibri" w:eastAsia="Calibri"/>
          <w:color w:val="auto"/>
          <w:spacing w:val="0"/>
          <w:position w:val="0"/>
          <w:sz w:val="20"/>
          <w:shd w:fill="auto" w:val="clear"/>
        </w:rPr>
        <w:t xml:space="preserve">čki automobil, autobus, teretno vozilo, itd), godini proizvodnje, obliku karoserije, vrsti goriva i eko-karakteristikama.</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Dodatni podaci o broju vozila u nadležnosti Op</w:t>
      </w:r>
      <w:r>
        <w:rPr>
          <w:rFonts w:ascii="Calibri" w:hAnsi="Calibri" w:cs="Calibri" w:eastAsia="Calibri"/>
          <w:color w:val="auto"/>
          <w:spacing w:val="0"/>
          <w:position w:val="0"/>
          <w:sz w:val="20"/>
          <w:shd w:fill="auto" w:val="clear"/>
        </w:rPr>
        <w:t xml:space="preserve">ćine Doboj Istok dobiveni su od nadležne općinske službe. Podaci o pređenom putu razmatranih vozila u baznoj i kontrolnoj godini, koji za Bosnu i Hercegovinu nisu raspoloživi, dobiveni su procjenom na osnovu podataka </w:t>
      </w:r>
      <w:r>
        <w:rPr>
          <w:rFonts w:ascii="Calibri" w:hAnsi="Calibri" w:cs="Calibri" w:eastAsia="Calibri"/>
          <w:i/>
          <w:color w:val="auto"/>
          <w:spacing w:val="0"/>
          <w:position w:val="0"/>
          <w:sz w:val="20"/>
          <w:shd w:fill="auto" w:val="clear"/>
        </w:rPr>
        <w:t xml:space="preserve">Centra za vozila Hrvatske</w:t>
      </w:r>
      <w:r>
        <w:rPr>
          <w:rFonts w:ascii="Calibri" w:hAnsi="Calibri" w:cs="Calibri" w:eastAsia="Calibri"/>
          <w:color w:val="auto"/>
          <w:spacing w:val="0"/>
          <w:position w:val="0"/>
          <w:sz w:val="20"/>
          <w:shd w:fill="auto" w:val="clear"/>
        </w:rPr>
        <w:t xml:space="preserve">, preuzetih zbog sličnosti njihovog voznog parka, uslova vožnje, putne infrastrukture i navika vozača sa ovim karakteristikama u Bosni i Hercegovini. Klimatski podaci za baznu i kontrolnu godinu, koji utiču na efikasnost rada motora razmatranih vozila, dobiveni su od Federalnog hidrometeorološkog zavoda.</w:t>
      </w:r>
    </w:p>
    <w:p>
      <w:pPr>
        <w:spacing w:before="120" w:after="0" w:line="240"/>
        <w:ind w:right="0" w:left="0" w:firstLine="0"/>
        <w:jc w:val="both"/>
        <w:rPr>
          <w:rFonts w:ascii="Calibri" w:hAnsi="Calibri" w:cs="Calibri" w:eastAsia="Calibri"/>
          <w:b/>
          <w:color w:val="auto"/>
          <w:spacing w:val="0"/>
          <w:position w:val="0"/>
          <w:sz w:val="20"/>
          <w:u w:val="single"/>
          <w:shd w:fill="auto" w:val="clear"/>
        </w:rPr>
      </w:pPr>
      <w:r>
        <w:rPr>
          <w:rFonts w:ascii="Calibri" w:hAnsi="Calibri" w:cs="Calibri" w:eastAsia="Calibri"/>
          <w:b/>
          <w:color w:val="auto"/>
          <w:spacing w:val="0"/>
          <w:position w:val="0"/>
          <w:sz w:val="20"/>
          <w:u w:val="single"/>
          <w:shd w:fill="auto" w:val="clear"/>
        </w:rPr>
        <w:t xml:space="preserve">Sektor javne rasvjete</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Služba za finansije i poduzetništvo bila je osnovni izvor informacija i podataka za ovaj sektor. Mreža javne rasvjete je u vlasništvu Op</w:t>
      </w:r>
      <w:r>
        <w:rPr>
          <w:rFonts w:ascii="Calibri" w:hAnsi="Calibri" w:cs="Calibri" w:eastAsia="Calibri"/>
          <w:color w:val="auto"/>
          <w:spacing w:val="0"/>
          <w:position w:val="0"/>
          <w:sz w:val="20"/>
          <w:shd w:fill="auto" w:val="clear"/>
        </w:rPr>
        <w:t xml:space="preserve">ćine Doboj Istok, a za poslove održavanja, rekonstrukcije i izgradnje mreže, te za vođenje evidencije o njenom stanju i parametrima eksploatacije nadležna je firma „Elektroinst“ d.o.o. Velika Brijesnica</w:t>
      </w:r>
      <w:r>
        <w:rPr>
          <w:rFonts w:ascii="Calibri" w:hAnsi="Calibri" w:cs="Calibri" w:eastAsia="Calibri"/>
          <w:b/>
          <w:color w:val="auto"/>
          <w:spacing w:val="0"/>
          <w:position w:val="0"/>
          <w:sz w:val="20"/>
          <w:shd w:fill="auto" w:val="clear"/>
        </w:rPr>
        <w:t xml:space="preserve"> </w:t>
      </w:r>
      <w:r>
        <w:rPr>
          <w:rFonts w:ascii="Calibri" w:hAnsi="Calibri" w:cs="Calibri" w:eastAsia="Calibri"/>
          <w:color w:val="auto"/>
          <w:spacing w:val="0"/>
          <w:position w:val="0"/>
          <w:sz w:val="20"/>
          <w:shd w:fill="auto" w:val="clear"/>
        </w:rPr>
        <w:t xml:space="preserve">na osnovu ugovora sa Općinom. U okviru izrade ovog dokumenta su za sektor javne rasvjete na području općine Doboj Istok za baznu i kontrolnu godinu, putem upitnika prikupljeni slijedeći ulazni podaci:</w:t>
      </w:r>
    </w:p>
    <w:p>
      <w:pPr>
        <w:numPr>
          <w:ilvl w:val="0"/>
          <w:numId w:val="405"/>
        </w:numPr>
        <w:spacing w:before="60" w:after="0" w:line="240"/>
        <w:ind w:right="0" w:left="714" w:hanging="357"/>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op</w:t>
      </w:r>
      <w:r>
        <w:rPr>
          <w:rFonts w:ascii="Calibri" w:hAnsi="Calibri" w:cs="Calibri" w:eastAsia="Calibri"/>
          <w:color w:val="auto"/>
          <w:spacing w:val="0"/>
          <w:position w:val="0"/>
          <w:sz w:val="20"/>
          <w:shd w:fill="auto" w:val="clear"/>
        </w:rPr>
        <w:t xml:space="preserve">ći podaci o sistemu javne rasvjete,</w:t>
      </w:r>
    </w:p>
    <w:p>
      <w:pPr>
        <w:numPr>
          <w:ilvl w:val="0"/>
          <w:numId w:val="405"/>
        </w:numPr>
        <w:spacing w:before="0" w:after="0" w:line="240"/>
        <w:ind w:right="0" w:left="714" w:hanging="357"/>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struktura elektri</w:t>
      </w:r>
      <w:r>
        <w:rPr>
          <w:rFonts w:ascii="Calibri" w:hAnsi="Calibri" w:cs="Calibri" w:eastAsia="Calibri"/>
          <w:color w:val="auto"/>
          <w:spacing w:val="0"/>
          <w:position w:val="0"/>
          <w:sz w:val="20"/>
          <w:shd w:fill="auto" w:val="clear"/>
        </w:rPr>
        <w:t xml:space="preserve">čne mreže javne rasvjete,  </w:t>
      </w:r>
    </w:p>
    <w:p>
      <w:pPr>
        <w:numPr>
          <w:ilvl w:val="0"/>
          <w:numId w:val="405"/>
        </w:numPr>
        <w:spacing w:before="0" w:after="0" w:line="240"/>
        <w:ind w:right="0" w:left="714" w:hanging="357"/>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prosje</w:t>
      </w:r>
      <w:r>
        <w:rPr>
          <w:rFonts w:ascii="Calibri" w:hAnsi="Calibri" w:cs="Calibri" w:eastAsia="Calibri"/>
          <w:color w:val="auto"/>
          <w:spacing w:val="0"/>
          <w:position w:val="0"/>
          <w:sz w:val="20"/>
          <w:shd w:fill="auto" w:val="clear"/>
        </w:rPr>
        <w:t xml:space="preserve">čno dnevno vrijeme rada (ljeto/zima),</w:t>
      </w:r>
    </w:p>
    <w:p>
      <w:pPr>
        <w:numPr>
          <w:ilvl w:val="0"/>
          <w:numId w:val="405"/>
        </w:numPr>
        <w:spacing w:before="0" w:after="0" w:line="240"/>
        <w:ind w:right="0" w:left="714" w:hanging="357"/>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ukupan broj, vrsta i snaga svjetiljki u sistemu (po</w:t>
      </w:r>
      <w:r>
        <w:rPr>
          <w:rFonts w:ascii="Calibri" w:hAnsi="Calibri" w:cs="Calibri" w:eastAsia="Calibri"/>
          <w:color w:val="auto"/>
          <w:spacing w:val="0"/>
          <w:position w:val="0"/>
          <w:sz w:val="20"/>
          <w:shd w:fill="auto" w:val="clear"/>
        </w:rPr>
        <w:t xml:space="preserve">četak/kraj godine),</w:t>
      </w:r>
    </w:p>
    <w:p>
      <w:pPr>
        <w:numPr>
          <w:ilvl w:val="0"/>
          <w:numId w:val="405"/>
        </w:numPr>
        <w:spacing w:before="0" w:after="0" w:line="240"/>
        <w:ind w:right="0" w:left="714" w:hanging="357"/>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na</w:t>
      </w:r>
      <w:r>
        <w:rPr>
          <w:rFonts w:ascii="Calibri" w:hAnsi="Calibri" w:cs="Calibri" w:eastAsia="Calibri"/>
          <w:color w:val="auto"/>
          <w:spacing w:val="0"/>
          <w:position w:val="0"/>
          <w:sz w:val="20"/>
          <w:shd w:fill="auto" w:val="clear"/>
        </w:rPr>
        <w:t xml:space="preserve">čin upravljanja radom svjetiljki,</w:t>
      </w:r>
    </w:p>
    <w:p>
      <w:pPr>
        <w:numPr>
          <w:ilvl w:val="0"/>
          <w:numId w:val="405"/>
        </w:numPr>
        <w:spacing w:before="0" w:after="0" w:line="240"/>
        <w:ind w:right="0" w:left="714" w:hanging="357"/>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godišnji troškovi održavanja sistema (teku</w:t>
      </w:r>
      <w:r>
        <w:rPr>
          <w:rFonts w:ascii="Calibri" w:hAnsi="Calibri" w:cs="Calibri" w:eastAsia="Calibri"/>
          <w:color w:val="auto"/>
          <w:spacing w:val="0"/>
          <w:position w:val="0"/>
          <w:sz w:val="20"/>
          <w:shd w:fill="auto" w:val="clear"/>
        </w:rPr>
        <w:t xml:space="preserve">će/investiciono),</w:t>
      </w:r>
    </w:p>
    <w:p>
      <w:pPr>
        <w:numPr>
          <w:ilvl w:val="0"/>
          <w:numId w:val="405"/>
        </w:numPr>
        <w:spacing w:before="0" w:after="0" w:line="240"/>
        <w:ind w:right="0" w:left="714" w:hanging="357"/>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godišnja potrošnja i troškovi elektri</w:t>
      </w:r>
      <w:r>
        <w:rPr>
          <w:rFonts w:ascii="Calibri" w:hAnsi="Calibri" w:cs="Calibri" w:eastAsia="Calibri"/>
          <w:color w:val="auto"/>
          <w:spacing w:val="0"/>
          <w:position w:val="0"/>
          <w:sz w:val="20"/>
          <w:shd w:fill="auto" w:val="clear"/>
        </w:rPr>
        <w:t xml:space="preserve">čne energije sistema.</w:t>
      </w:r>
    </w:p>
    <w:p>
      <w:pPr>
        <w:spacing w:before="120" w:after="0" w:line="240"/>
        <w:ind w:right="0" w:left="0" w:firstLine="0"/>
        <w:jc w:val="both"/>
        <w:rPr>
          <w:rFonts w:ascii="Calibri" w:hAnsi="Calibri" w:cs="Calibri" w:eastAsia="Calibri"/>
          <w:b/>
          <w:color w:val="auto"/>
          <w:spacing w:val="0"/>
          <w:position w:val="0"/>
          <w:sz w:val="20"/>
          <w:u w:val="single"/>
          <w:shd w:fill="auto" w:val="clear"/>
        </w:rPr>
      </w:pPr>
      <w:r>
        <w:rPr>
          <w:rFonts w:ascii="Calibri" w:hAnsi="Calibri" w:cs="Calibri" w:eastAsia="Calibri"/>
          <w:b/>
          <w:color w:val="auto"/>
          <w:spacing w:val="0"/>
          <w:position w:val="0"/>
          <w:sz w:val="20"/>
          <w:u w:val="single"/>
          <w:shd w:fill="auto" w:val="clear"/>
        </w:rPr>
        <w:t xml:space="preserve">Sektor vodosnabdijevanja</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Osnovni izvor podataka za ovaj sektor bila je nadležna gradska služba i JKP „</w:t>
      </w:r>
      <w:r>
        <w:rPr>
          <w:rFonts w:ascii="Calibri" w:hAnsi="Calibri" w:cs="Calibri" w:eastAsia="Calibri"/>
          <w:color w:val="auto"/>
          <w:spacing w:val="0"/>
          <w:position w:val="0"/>
          <w:sz w:val="20"/>
          <w:shd w:fill="auto" w:val="clear"/>
        </w:rPr>
        <w:t xml:space="preserve">Čisto“ d.o.o. Doboj Istok. Kompletna infrastruktura sistema vodosnabdijevanja je u vlasništvu Općine Doboj Istok, a poslove sakupljanja, prečišćavanja i distribucije vode, održavanja, rekonstrukcije i izgradnje mreže, te vođenja evidencije o stanju i parametrima eksploatacije vrši JKP “Čisto” d.o.o. Doboj Istok. </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U okviru izrade ovog dokumenta </w:t>
      </w:r>
      <w:r>
        <w:rPr>
          <w:rFonts w:ascii="Calibri" w:hAnsi="Calibri" w:cs="Calibri" w:eastAsia="Calibri"/>
          <w:color w:val="auto"/>
          <w:spacing w:val="0"/>
          <w:position w:val="0"/>
          <w:sz w:val="20"/>
          <w:shd w:fill="auto" w:val="clear"/>
        </w:rPr>
        <w:t xml:space="preserve">članovi tima za izradu Akcionog plana su, putem pripremljenih i unaprijed dostavljenih upitnika, prikupili ulazne podatke za utvrđivanje stanja i karakteristika mreže. U toj fazi su prikupljeni podaci o ukupnoj potrošnji električne energije, količinama zahvaćene, isporučene i tretirane vode, te o broju, snazi i karakteristikama pumpi koje se koriste u distributivnoj mreži, strukturi mreže i slično. </w:t>
      </w:r>
    </w:p>
    <w:p>
      <w:pPr>
        <w:spacing w:before="60" w:after="0" w:line="240"/>
        <w:ind w:right="0" w:left="0" w:firstLine="0"/>
        <w:jc w:val="both"/>
        <w:rPr>
          <w:rFonts w:ascii="Calibri" w:hAnsi="Calibri" w:cs="Calibri" w:eastAsia="Calibri"/>
          <w:b/>
          <w:color w:val="auto"/>
          <w:spacing w:val="0"/>
          <w:position w:val="0"/>
          <w:sz w:val="20"/>
          <w:shd w:fill="FFFF00" w:val="clear"/>
        </w:rPr>
      </w:pPr>
      <w:r>
        <w:rPr>
          <w:rFonts w:ascii="Calibri" w:hAnsi="Calibri" w:cs="Calibri" w:eastAsia="Calibri"/>
          <w:color w:val="auto"/>
          <w:spacing w:val="0"/>
          <w:position w:val="0"/>
          <w:sz w:val="20"/>
          <w:shd w:fill="auto" w:val="clear"/>
        </w:rPr>
        <w:t xml:space="preserve">Svi upitnici, korišteni u procesu prikupljanja ulaznih podataka potrebnih za izradu baznog i kontrolnog inventara emisija u opisanim sektorima, nalaze se u </w:t>
      </w:r>
      <w:r>
        <w:rPr>
          <w:rFonts w:ascii="Calibri" w:hAnsi="Calibri" w:cs="Calibri" w:eastAsia="Calibri"/>
          <w:i/>
          <w:color w:val="auto"/>
          <w:spacing w:val="0"/>
          <w:position w:val="0"/>
          <w:sz w:val="20"/>
          <w:u w:val="single"/>
          <w:shd w:fill="auto" w:val="clear"/>
        </w:rPr>
        <w:t xml:space="preserve">Prilogu 2</w:t>
      </w:r>
      <w:r>
        <w:rPr>
          <w:rFonts w:ascii="Calibri" w:hAnsi="Calibri" w:cs="Calibri" w:eastAsia="Calibri"/>
          <w:i/>
          <w:color w:val="auto"/>
          <w:spacing w:val="0"/>
          <w:position w:val="0"/>
          <w:sz w:val="20"/>
          <w:shd w:fill="auto" w:val="clear"/>
        </w:rPr>
        <w:t xml:space="preserve"> – Upitnici za prikupljanje podataka</w:t>
      </w:r>
      <w:r>
        <w:rPr>
          <w:rFonts w:ascii="Calibri" w:hAnsi="Calibri" w:cs="Calibri" w:eastAsia="Calibri"/>
          <w:b/>
          <w:color w:val="auto"/>
          <w:spacing w:val="0"/>
          <w:position w:val="0"/>
          <w:sz w:val="20"/>
          <w:shd w:fill="auto" w:val="clear"/>
        </w:rPr>
        <w:t xml:space="preserve">.</w:t>
      </w:r>
    </w:p>
    <w:p>
      <w:pPr>
        <w:keepNext w:val="true"/>
        <w:keepLines w:val="true"/>
        <w:numPr>
          <w:ilvl w:val="0"/>
          <w:numId w:val="409"/>
        </w:numPr>
        <w:spacing w:before="120" w:after="0" w:line="240"/>
        <w:ind w:right="0" w:left="862" w:hanging="862"/>
        <w:jc w:val="both"/>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Metodologija odre</w:t>
      </w:r>
      <w:r>
        <w:rPr>
          <w:rFonts w:ascii="Calibri" w:hAnsi="Calibri" w:cs="Calibri" w:eastAsia="Calibri"/>
          <w:b/>
          <w:color w:val="auto"/>
          <w:spacing w:val="0"/>
          <w:position w:val="0"/>
          <w:sz w:val="22"/>
          <w:shd w:fill="auto" w:val="clear"/>
        </w:rPr>
        <w:t xml:space="preserve">đivanja potrošnje energije u razmatranim sektorima u baznoj i kontrolnoj godini</w:t>
      </w:r>
    </w:p>
    <w:p>
      <w:pPr>
        <w:spacing w:before="120" w:after="0" w:line="240"/>
        <w:ind w:right="0" w:left="0" w:firstLine="0"/>
        <w:jc w:val="both"/>
        <w:rPr>
          <w:rFonts w:ascii="Calibri" w:hAnsi="Calibri" w:cs="Calibri" w:eastAsia="Calibri"/>
          <w:b/>
          <w:color w:val="auto"/>
          <w:spacing w:val="0"/>
          <w:position w:val="0"/>
          <w:sz w:val="20"/>
          <w:u w:val="single"/>
          <w:shd w:fill="auto" w:val="clear"/>
        </w:rPr>
      </w:pPr>
      <w:r>
        <w:rPr>
          <w:rFonts w:ascii="Calibri" w:hAnsi="Calibri" w:cs="Calibri" w:eastAsia="Calibri"/>
          <w:b/>
          <w:color w:val="auto"/>
          <w:spacing w:val="0"/>
          <w:position w:val="0"/>
          <w:sz w:val="20"/>
          <w:u w:val="single"/>
          <w:shd w:fill="auto" w:val="clear"/>
        </w:rPr>
        <w:t xml:space="preserve">Sektor zgradarstva</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Potrebna finalna energija za grijanje </w:t>
      </w:r>
      <w:r>
        <w:rPr>
          <w:rFonts w:ascii="Calibri" w:hAnsi="Calibri" w:cs="Calibri" w:eastAsia="Calibri"/>
          <w:b/>
          <w:color w:val="auto"/>
          <w:spacing w:val="0"/>
          <w:position w:val="0"/>
          <w:sz w:val="20"/>
          <w:shd w:fill="auto" w:val="clear"/>
        </w:rPr>
        <w:t xml:space="preserve">u zgradama javne namjene </w:t>
      </w:r>
      <w:r>
        <w:rPr>
          <w:rFonts w:ascii="Calibri" w:hAnsi="Calibri" w:cs="Calibri" w:eastAsia="Calibri"/>
          <w:color w:val="auto"/>
          <w:spacing w:val="0"/>
          <w:position w:val="0"/>
          <w:sz w:val="20"/>
          <w:u w:val="single"/>
          <w:shd w:fill="auto" w:val="clear"/>
        </w:rPr>
        <w:t xml:space="preserve">u baznoj godini</w:t>
      </w:r>
      <w:r>
        <w:rPr>
          <w:rFonts w:ascii="Calibri" w:hAnsi="Calibri" w:cs="Calibri" w:eastAsia="Calibri"/>
          <w:color w:val="auto"/>
          <w:spacing w:val="0"/>
          <w:position w:val="0"/>
          <w:sz w:val="20"/>
          <w:shd w:fill="auto" w:val="clear"/>
        </w:rPr>
        <w:t xml:space="preserve"> dobivena je kao proizvod slijede</w:t>
      </w:r>
      <w:r>
        <w:rPr>
          <w:rFonts w:ascii="Calibri" w:hAnsi="Calibri" w:cs="Calibri" w:eastAsia="Calibri"/>
          <w:color w:val="auto"/>
          <w:spacing w:val="0"/>
          <w:position w:val="0"/>
          <w:sz w:val="20"/>
          <w:shd w:fill="auto" w:val="clear"/>
        </w:rPr>
        <w:t xml:space="preserve">ćih parametara:</w:t>
      </w:r>
    </w:p>
    <w:p>
      <w:pPr>
        <w:numPr>
          <w:ilvl w:val="0"/>
          <w:numId w:val="412"/>
        </w:numPr>
        <w:spacing w:before="60" w:after="0" w:line="240"/>
        <w:ind w:right="0" w:left="714" w:hanging="357"/>
        <w:jc w:val="both"/>
        <w:rPr>
          <w:rFonts w:ascii="Calibri" w:hAnsi="Calibri" w:cs="Calibri" w:eastAsia="Calibri"/>
          <w:color w:val="auto"/>
          <w:spacing w:val="0"/>
          <w:position w:val="0"/>
          <w:sz w:val="20"/>
          <w:shd w:fill="auto" w:val="clear"/>
        </w:rPr>
      </w:pPr>
      <w:r>
        <w:rPr>
          <w:rFonts w:ascii="Calibri" w:hAnsi="Calibri" w:cs="Calibri" w:eastAsia="Calibri"/>
          <w:b/>
          <w:color w:val="auto"/>
          <w:spacing w:val="0"/>
          <w:position w:val="0"/>
          <w:sz w:val="20"/>
          <w:shd w:fill="auto" w:val="clear"/>
        </w:rPr>
        <w:t xml:space="preserve">Ukupna grijana površina razmatranih zgrada (m</w:t>
      </w:r>
      <w:r>
        <w:rPr>
          <w:rFonts w:ascii="Calibri" w:hAnsi="Calibri" w:cs="Calibri" w:eastAsia="Calibri"/>
          <w:b/>
          <w:color w:val="auto"/>
          <w:spacing w:val="0"/>
          <w:position w:val="0"/>
          <w:sz w:val="20"/>
          <w:shd w:fill="auto" w:val="clear"/>
          <w:vertAlign w:val="superscript"/>
        </w:rPr>
        <w:t xml:space="preserve">2</w:t>
      </w:r>
      <w:r>
        <w:rPr>
          <w:rFonts w:ascii="Calibri" w:hAnsi="Calibri" w:cs="Calibri" w:eastAsia="Calibri"/>
          <w:b/>
          <w:color w:val="auto"/>
          <w:spacing w:val="0"/>
          <w:position w:val="0"/>
          <w:sz w:val="20"/>
          <w:shd w:fill="auto" w:val="clear"/>
        </w:rPr>
        <w:t xml:space="preserve">)</w:t>
      </w:r>
      <w:r>
        <w:rPr>
          <w:rFonts w:ascii="Calibri" w:hAnsi="Calibri" w:cs="Calibri" w:eastAsia="Calibri"/>
          <w:color w:val="auto"/>
          <w:spacing w:val="0"/>
          <w:position w:val="0"/>
          <w:sz w:val="20"/>
          <w:shd w:fill="auto" w:val="clear"/>
        </w:rPr>
        <w:t xml:space="preserve"> utvr</w:t>
      </w:r>
      <w:r>
        <w:rPr>
          <w:rFonts w:ascii="Calibri" w:hAnsi="Calibri" w:cs="Calibri" w:eastAsia="Calibri"/>
          <w:color w:val="auto"/>
          <w:spacing w:val="0"/>
          <w:position w:val="0"/>
          <w:sz w:val="20"/>
          <w:shd w:fill="auto" w:val="clear"/>
        </w:rPr>
        <w:t xml:space="preserve">đena za baznu 2010. godinu, dobivena analizom prikupljenih ulaznih podataka. Ova površina je razvrstana po namjenama javnih zgrada i po vrstama energenata korištenih za njihovo grijanje (kogeneracijsko daljinsko grijanje, fosilna goriva – lignit i mrki ugalj, električna energija, i drvna biomasa odnosno ogrijevno drvo).</w:t>
      </w:r>
    </w:p>
    <w:p>
      <w:pPr>
        <w:numPr>
          <w:ilvl w:val="0"/>
          <w:numId w:val="412"/>
        </w:numPr>
        <w:spacing w:before="60" w:after="0" w:line="240"/>
        <w:ind w:right="0" w:left="714" w:hanging="357"/>
        <w:jc w:val="both"/>
        <w:rPr>
          <w:rFonts w:ascii="Calibri" w:hAnsi="Calibri" w:cs="Calibri" w:eastAsia="Calibri"/>
          <w:color w:val="auto"/>
          <w:spacing w:val="0"/>
          <w:position w:val="0"/>
          <w:sz w:val="20"/>
          <w:shd w:fill="auto" w:val="clear"/>
        </w:rPr>
      </w:pPr>
      <w:r>
        <w:rPr>
          <w:rFonts w:ascii="Calibri" w:hAnsi="Calibri" w:cs="Calibri" w:eastAsia="Calibri"/>
          <w:b/>
          <w:color w:val="auto"/>
          <w:spacing w:val="0"/>
          <w:position w:val="0"/>
          <w:sz w:val="20"/>
          <w:shd w:fill="auto" w:val="clear"/>
        </w:rPr>
        <w:t xml:space="preserve">Specifi</w:t>
      </w:r>
      <w:r>
        <w:rPr>
          <w:rFonts w:ascii="Calibri" w:hAnsi="Calibri" w:cs="Calibri" w:eastAsia="Calibri"/>
          <w:b/>
          <w:color w:val="auto"/>
          <w:spacing w:val="0"/>
          <w:position w:val="0"/>
          <w:sz w:val="20"/>
          <w:shd w:fill="auto" w:val="clear"/>
        </w:rPr>
        <w:t xml:space="preserve">čna godišnja energija potrebna za grijanje javnih zgrada – Q</w:t>
      </w:r>
      <w:r>
        <w:rPr>
          <w:rFonts w:ascii="Calibri" w:hAnsi="Calibri" w:cs="Calibri" w:eastAsia="Calibri"/>
          <w:b/>
          <w:color w:val="auto"/>
          <w:spacing w:val="0"/>
          <w:position w:val="0"/>
          <w:sz w:val="20"/>
          <w:shd w:fill="auto" w:val="clear"/>
          <w:vertAlign w:val="subscript"/>
        </w:rPr>
        <w:t xml:space="preserve">hnd </w:t>
      </w:r>
      <w:r>
        <w:rPr>
          <w:rFonts w:ascii="Calibri" w:hAnsi="Calibri" w:cs="Calibri" w:eastAsia="Calibri"/>
          <w:b/>
          <w:color w:val="auto"/>
          <w:spacing w:val="0"/>
          <w:position w:val="0"/>
          <w:sz w:val="20"/>
          <w:shd w:fill="auto" w:val="clear"/>
        </w:rPr>
        <w:t xml:space="preserve">(kWh/m</w:t>
      </w:r>
      <w:r>
        <w:rPr>
          <w:rFonts w:ascii="Calibri" w:hAnsi="Calibri" w:cs="Calibri" w:eastAsia="Calibri"/>
          <w:b/>
          <w:color w:val="auto"/>
          <w:spacing w:val="0"/>
          <w:position w:val="0"/>
          <w:sz w:val="20"/>
          <w:shd w:fill="auto" w:val="clear"/>
          <w:vertAlign w:val="superscript"/>
        </w:rPr>
        <w:t xml:space="preserve">2</w:t>
      </w:r>
      <w:r>
        <w:rPr>
          <w:rFonts w:ascii="Calibri" w:hAnsi="Calibri" w:cs="Calibri" w:eastAsia="Calibri"/>
          <w:b/>
          <w:color w:val="auto"/>
          <w:spacing w:val="0"/>
          <w:position w:val="0"/>
          <w:sz w:val="20"/>
          <w:shd w:fill="auto" w:val="clear"/>
        </w:rPr>
        <w:t xml:space="preserve">/god),</w:t>
      </w:r>
      <w:r>
        <w:rPr>
          <w:rFonts w:ascii="Calibri" w:hAnsi="Calibri" w:cs="Calibri" w:eastAsia="Calibri"/>
          <w:color w:val="auto"/>
          <w:spacing w:val="0"/>
          <w:position w:val="0"/>
          <w:sz w:val="20"/>
          <w:shd w:fill="auto" w:val="clear"/>
        </w:rPr>
        <w:t xml:space="preserve"> koja je u </w:t>
      </w:r>
      <w:r>
        <w:rPr>
          <w:rFonts w:ascii="Calibri" w:hAnsi="Calibri" w:cs="Calibri" w:eastAsia="Calibri"/>
          <w:i/>
          <w:color w:val="auto"/>
          <w:spacing w:val="0"/>
          <w:position w:val="0"/>
          <w:sz w:val="20"/>
          <w:shd w:fill="auto" w:val="clear"/>
        </w:rPr>
        <w:t xml:space="preserve">Tipologiji javnih zgrada u Bosni i Hercegovini</w:t>
      </w:r>
      <w:r>
        <w:rPr>
          <w:rFonts w:ascii="Calibri" w:hAnsi="Calibri" w:cs="Calibri" w:eastAsia="Calibri"/>
          <w:color w:val="auto"/>
          <w:spacing w:val="0"/>
          <w:position w:val="0"/>
          <w:sz w:val="20"/>
          <w:shd w:fill="auto" w:val="clear"/>
        </w:rPr>
        <w:t xml:space="preserve"> određena za sve tipove javnih zgrada.</w:t>
      </w:r>
    </w:p>
    <w:p>
      <w:pPr>
        <w:spacing w:before="12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Potrebna finalna energija za grijanje u razmatranim javnim zgradama </w:t>
      </w:r>
      <w:r>
        <w:rPr>
          <w:rFonts w:ascii="Calibri" w:hAnsi="Calibri" w:cs="Calibri" w:eastAsia="Calibri"/>
          <w:color w:val="auto"/>
          <w:spacing w:val="0"/>
          <w:position w:val="0"/>
          <w:sz w:val="20"/>
          <w:u w:val="single"/>
          <w:shd w:fill="auto" w:val="clear"/>
        </w:rPr>
        <w:t xml:space="preserve">u kontrolnoj 2020. godini</w:t>
      </w:r>
      <w:r>
        <w:rPr>
          <w:rFonts w:ascii="Calibri" w:hAnsi="Calibri" w:cs="Calibri" w:eastAsia="Calibri"/>
          <w:color w:val="auto"/>
          <w:spacing w:val="0"/>
          <w:position w:val="0"/>
          <w:sz w:val="20"/>
          <w:shd w:fill="auto" w:val="clear"/>
        </w:rPr>
        <w:t xml:space="preserve"> dobivena je umanjenjem potrebne finalne energije odre</w:t>
      </w:r>
      <w:r>
        <w:rPr>
          <w:rFonts w:ascii="Calibri" w:hAnsi="Calibri" w:cs="Calibri" w:eastAsia="Calibri"/>
          <w:color w:val="auto"/>
          <w:spacing w:val="0"/>
          <w:position w:val="0"/>
          <w:sz w:val="20"/>
          <w:shd w:fill="auto" w:val="clear"/>
        </w:rPr>
        <w:t xml:space="preserve">đene za baznu 2010. godinu, za iznos ušteda energije postignutih mjerama energetske efikasnosti koje su na ovim zgradama realizirane u periodu od 2010. do 2020. godine. Istovremeno je u obzir uzeta i dodatna potrebna finalna energija grijanja za javne zgrade koje su u istom periodu izgrađene na području općine.  Za proračun navedenih ušteda energije korišteni su slijedeći podaci:</w:t>
      </w:r>
    </w:p>
    <w:p>
      <w:pPr>
        <w:numPr>
          <w:ilvl w:val="0"/>
          <w:numId w:val="414"/>
        </w:numPr>
        <w:spacing w:before="60" w:after="0" w:line="240"/>
        <w:ind w:right="0" w:left="760" w:hanging="357"/>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prikupljeni ulazni podaci o mjerama energetske efikasnosti realiziranim na javnim zgradama u periodu od 2010. do 2020. godine, koji su dati u  </w:t>
      </w:r>
      <w:r>
        <w:rPr>
          <w:rFonts w:ascii="Calibri" w:hAnsi="Calibri" w:cs="Calibri" w:eastAsia="Calibri"/>
          <w:i/>
          <w:color w:val="auto"/>
          <w:spacing w:val="0"/>
          <w:position w:val="0"/>
          <w:sz w:val="20"/>
          <w:shd w:fill="auto" w:val="clear"/>
        </w:rPr>
        <w:t xml:space="preserve">Prilogu 3 – Liste  javnih zgrada na podru</w:t>
      </w:r>
      <w:r>
        <w:rPr>
          <w:rFonts w:ascii="Calibri" w:hAnsi="Calibri" w:cs="Calibri" w:eastAsia="Calibri"/>
          <w:i/>
          <w:color w:val="auto"/>
          <w:spacing w:val="0"/>
          <w:position w:val="0"/>
          <w:sz w:val="20"/>
          <w:shd w:fill="auto" w:val="clear"/>
        </w:rPr>
        <w:t xml:space="preserve">čju općine Doboj Istok; i</w:t>
      </w:r>
    </w:p>
    <w:p>
      <w:pPr>
        <w:numPr>
          <w:ilvl w:val="0"/>
          <w:numId w:val="414"/>
        </w:numPr>
        <w:spacing w:before="120" w:after="0" w:line="240"/>
        <w:ind w:right="0" w:left="765" w:hanging="36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potrebni podaci sadržani u </w:t>
      </w:r>
      <w:r>
        <w:rPr>
          <w:rFonts w:ascii="Calibri" w:hAnsi="Calibri" w:cs="Calibri" w:eastAsia="Calibri"/>
          <w:i/>
          <w:color w:val="auto"/>
          <w:spacing w:val="0"/>
          <w:position w:val="0"/>
          <w:sz w:val="20"/>
          <w:shd w:fill="auto" w:val="clear"/>
        </w:rPr>
        <w:t xml:space="preserve">Tipologiji javnih zgrada u Bosni i Hercegovini.</w:t>
      </w:r>
    </w:p>
    <w:p>
      <w:pPr>
        <w:spacing w:before="12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Uštede finalne energije u sektoru zgradarstva prora</w:t>
      </w:r>
      <w:r>
        <w:rPr>
          <w:rFonts w:ascii="Calibri" w:hAnsi="Calibri" w:cs="Calibri" w:eastAsia="Calibri"/>
          <w:color w:val="auto"/>
          <w:spacing w:val="0"/>
          <w:position w:val="0"/>
          <w:sz w:val="20"/>
          <w:shd w:fill="auto" w:val="clear"/>
        </w:rPr>
        <w:t xml:space="preserve">čunate su korištenjem metodologije propisane u slijedećim pravilnicima iz oblasti energetske efikasnosti u zgradarstvu:</w:t>
      </w:r>
    </w:p>
    <w:p>
      <w:pPr>
        <w:numPr>
          <w:ilvl w:val="0"/>
          <w:numId w:val="417"/>
        </w:numPr>
        <w:spacing w:before="60" w:after="0" w:line="240"/>
        <w:ind w:right="0" w:left="720" w:hanging="36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Pravilnik o informacionom sistemu energijske efikasnosti Federacije BiH /</w:t>
      </w:r>
      <w:r>
        <w:rPr>
          <w:rFonts w:ascii="Calibri" w:hAnsi="Calibri" w:cs="Calibri" w:eastAsia="Calibri"/>
          <w:i/>
          <w:color w:val="auto"/>
          <w:spacing w:val="0"/>
          <w:position w:val="0"/>
          <w:sz w:val="20"/>
          <w:shd w:fill="auto" w:val="clear"/>
        </w:rPr>
        <w:t xml:space="preserve">Prilog 1 – Uštede energije sa Metodologijom za izra</w:t>
      </w:r>
      <w:r>
        <w:rPr>
          <w:rFonts w:ascii="Calibri" w:hAnsi="Calibri" w:cs="Calibri" w:eastAsia="Calibri"/>
          <w:i/>
          <w:color w:val="auto"/>
          <w:spacing w:val="0"/>
          <w:position w:val="0"/>
          <w:sz w:val="20"/>
          <w:shd w:fill="auto" w:val="clear"/>
        </w:rPr>
        <w:t xml:space="preserve">čun ušteda energije u krajnjoj potrošnji primjenom metode „odozdo prema gore“ sa katalogom mjera</w:t>
      </w:r>
      <w:r>
        <w:rPr>
          <w:rFonts w:ascii="Calibri" w:hAnsi="Calibri" w:cs="Calibri" w:eastAsia="Calibri"/>
          <w:color w:val="auto"/>
          <w:spacing w:val="0"/>
          <w:position w:val="0"/>
          <w:sz w:val="20"/>
          <w:shd w:fill="auto" w:val="clear"/>
        </w:rPr>
        <w:t xml:space="preserve">, prema kojoj se uštede energije dobivaju kao rezultat realiziranih mjera energetske efikasnosti. U nastavku teksta će se za ovu metodologiju koristiti pojam „MVP metodologija“.</w:t>
      </w:r>
    </w:p>
    <w:p>
      <w:pPr>
        <w:numPr>
          <w:ilvl w:val="0"/>
          <w:numId w:val="417"/>
        </w:numPr>
        <w:spacing w:before="60" w:after="0" w:line="240"/>
        <w:ind w:right="0" w:left="714" w:hanging="357"/>
        <w:jc w:val="both"/>
        <w:rPr>
          <w:rFonts w:ascii="Calibri" w:hAnsi="Calibri" w:cs="Calibri" w:eastAsia="Calibri"/>
          <w:color w:val="auto"/>
          <w:spacing w:val="0"/>
          <w:position w:val="0"/>
          <w:sz w:val="20"/>
          <w:shd w:fill="auto" w:val="clear"/>
        </w:rPr>
      </w:pPr>
      <w:r>
        <w:rPr>
          <w:rFonts w:ascii="Calibri" w:hAnsi="Calibri" w:cs="Calibri" w:eastAsia="Calibri"/>
          <w:i/>
          <w:color w:val="auto"/>
          <w:spacing w:val="0"/>
          <w:position w:val="0"/>
          <w:sz w:val="20"/>
          <w:shd w:fill="auto" w:val="clear"/>
        </w:rPr>
        <w:t xml:space="preserve">Pravilnik o tehni</w:t>
      </w:r>
      <w:r>
        <w:rPr>
          <w:rFonts w:ascii="Calibri" w:hAnsi="Calibri" w:cs="Calibri" w:eastAsia="Calibri"/>
          <w:i/>
          <w:color w:val="auto"/>
          <w:spacing w:val="0"/>
          <w:position w:val="0"/>
          <w:sz w:val="20"/>
          <w:shd w:fill="auto" w:val="clear"/>
        </w:rPr>
        <w:t xml:space="preserve">čkim zahtjevima za toplotnu zaštitu objekta i racionalnu upotrebu energije</w:t>
      </w:r>
      <w:r>
        <w:rPr>
          <w:rFonts w:ascii="Calibri" w:hAnsi="Calibri" w:cs="Calibri" w:eastAsia="Calibri"/>
          <w:color w:val="auto"/>
          <w:spacing w:val="0"/>
          <w:position w:val="0"/>
          <w:sz w:val="20"/>
          <w:shd w:fill="auto" w:val="clear"/>
        </w:rPr>
        <w:t xml:space="preserve"> ("Službene novine Federacije BiH", br. 49/09).</w:t>
      </w:r>
    </w:p>
    <w:p>
      <w:pPr>
        <w:spacing w:before="12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Potrebna finalna energija za grijanje u podsektoru </w:t>
      </w:r>
      <w:r>
        <w:rPr>
          <w:rFonts w:ascii="Calibri" w:hAnsi="Calibri" w:cs="Calibri" w:eastAsia="Calibri"/>
          <w:b/>
          <w:color w:val="auto"/>
          <w:spacing w:val="0"/>
          <w:position w:val="0"/>
          <w:sz w:val="20"/>
          <w:shd w:fill="auto" w:val="clear"/>
        </w:rPr>
        <w:t xml:space="preserve">stambenih zgrada</w:t>
      </w:r>
      <w:r>
        <w:rPr>
          <w:rFonts w:ascii="Calibri" w:hAnsi="Calibri" w:cs="Calibri" w:eastAsia="Calibri"/>
          <w:color w:val="auto"/>
          <w:spacing w:val="0"/>
          <w:position w:val="0"/>
          <w:sz w:val="20"/>
          <w:shd w:fill="auto" w:val="clear"/>
        </w:rPr>
        <w:t xml:space="preserve"> </w:t>
      </w:r>
      <w:r>
        <w:rPr>
          <w:rFonts w:ascii="Calibri" w:hAnsi="Calibri" w:cs="Calibri" w:eastAsia="Calibri"/>
          <w:color w:val="auto"/>
          <w:spacing w:val="0"/>
          <w:position w:val="0"/>
          <w:sz w:val="20"/>
          <w:u w:val="single"/>
          <w:shd w:fill="auto" w:val="clear"/>
        </w:rPr>
        <w:t xml:space="preserve">u baznoj godini</w:t>
      </w:r>
      <w:r>
        <w:rPr>
          <w:rFonts w:ascii="Calibri" w:hAnsi="Calibri" w:cs="Calibri" w:eastAsia="Calibri"/>
          <w:color w:val="auto"/>
          <w:spacing w:val="0"/>
          <w:position w:val="0"/>
          <w:sz w:val="20"/>
          <w:shd w:fill="auto" w:val="clear"/>
        </w:rPr>
        <w:t xml:space="preserve"> dobivena je kao proizvod slijede</w:t>
      </w:r>
      <w:r>
        <w:rPr>
          <w:rFonts w:ascii="Calibri" w:hAnsi="Calibri" w:cs="Calibri" w:eastAsia="Calibri"/>
          <w:color w:val="auto"/>
          <w:spacing w:val="0"/>
          <w:position w:val="0"/>
          <w:sz w:val="20"/>
          <w:shd w:fill="auto" w:val="clear"/>
        </w:rPr>
        <w:t xml:space="preserve">ćih vrijednosti:</w:t>
      </w:r>
    </w:p>
    <w:p>
      <w:pPr>
        <w:numPr>
          <w:ilvl w:val="0"/>
          <w:numId w:val="420"/>
        </w:numPr>
        <w:spacing w:before="60" w:after="0" w:line="240"/>
        <w:ind w:right="0" w:left="714" w:hanging="357"/>
        <w:jc w:val="both"/>
        <w:rPr>
          <w:rFonts w:ascii="Calibri" w:hAnsi="Calibri" w:cs="Calibri" w:eastAsia="Calibri"/>
          <w:color w:val="auto"/>
          <w:spacing w:val="0"/>
          <w:position w:val="0"/>
          <w:sz w:val="20"/>
          <w:shd w:fill="auto" w:val="clear"/>
        </w:rPr>
      </w:pPr>
      <w:r>
        <w:rPr>
          <w:rFonts w:ascii="Calibri" w:hAnsi="Calibri" w:cs="Calibri" w:eastAsia="Calibri"/>
          <w:b/>
          <w:color w:val="auto"/>
          <w:spacing w:val="0"/>
          <w:position w:val="0"/>
          <w:sz w:val="20"/>
          <w:shd w:fill="auto" w:val="clear"/>
        </w:rPr>
        <w:t xml:space="preserve">Ukupna korištena grijana površina svih stambenih zgrada na podru</w:t>
      </w:r>
      <w:r>
        <w:rPr>
          <w:rFonts w:ascii="Calibri" w:hAnsi="Calibri" w:cs="Calibri" w:eastAsia="Calibri"/>
          <w:b/>
          <w:color w:val="auto"/>
          <w:spacing w:val="0"/>
          <w:position w:val="0"/>
          <w:sz w:val="20"/>
          <w:shd w:fill="auto" w:val="clear"/>
        </w:rPr>
        <w:t xml:space="preserve">čju općine Doboj Istok (m</w:t>
      </w:r>
      <w:r>
        <w:rPr>
          <w:rFonts w:ascii="Calibri" w:hAnsi="Calibri" w:cs="Calibri" w:eastAsia="Calibri"/>
          <w:b/>
          <w:color w:val="auto"/>
          <w:spacing w:val="0"/>
          <w:position w:val="0"/>
          <w:sz w:val="20"/>
          <w:shd w:fill="auto" w:val="clear"/>
          <w:vertAlign w:val="superscript"/>
        </w:rPr>
        <w:t xml:space="preserve">2</w:t>
      </w:r>
      <w:r>
        <w:rPr>
          <w:rFonts w:ascii="Calibri" w:hAnsi="Calibri" w:cs="Calibri" w:eastAsia="Calibri"/>
          <w:b/>
          <w:color w:val="auto"/>
          <w:spacing w:val="0"/>
          <w:position w:val="0"/>
          <w:sz w:val="20"/>
          <w:shd w:fill="auto" w:val="clear"/>
        </w:rPr>
        <w:t xml:space="preserve">), </w:t>
      </w:r>
      <w:r>
        <w:rPr>
          <w:rFonts w:ascii="Calibri" w:hAnsi="Calibri" w:cs="Calibri" w:eastAsia="Calibri"/>
          <w:color w:val="auto"/>
          <w:spacing w:val="0"/>
          <w:position w:val="0"/>
          <w:sz w:val="20"/>
          <w:shd w:fill="auto" w:val="clear"/>
        </w:rPr>
        <w:t xml:space="preserve">dobivena korištenjem podataka preuzetih iz </w:t>
      </w:r>
      <w:r>
        <w:rPr>
          <w:rFonts w:ascii="Calibri" w:hAnsi="Calibri" w:cs="Calibri" w:eastAsia="Calibri"/>
          <w:i/>
          <w:color w:val="auto"/>
          <w:spacing w:val="0"/>
          <w:position w:val="0"/>
          <w:sz w:val="20"/>
          <w:shd w:fill="auto" w:val="clear"/>
        </w:rPr>
        <w:t xml:space="preserve">Popisa stanovništva, domaćinstava i stanova u Bosni i Hercegovini</w:t>
      </w:r>
      <w:r>
        <w:rPr>
          <w:rFonts w:ascii="Calibri" w:hAnsi="Calibri" w:cs="Calibri" w:eastAsia="Calibri"/>
          <w:color w:val="auto"/>
          <w:spacing w:val="0"/>
          <w:position w:val="0"/>
          <w:sz w:val="20"/>
          <w:shd w:fill="auto" w:val="clear"/>
        </w:rPr>
        <w:t xml:space="preserve">, u kojem je ukupna grijana površina stanova data i za pojedinačne tipove stambenih zgrada i po pojedinim periodima njihove izgradnje; i</w:t>
      </w:r>
    </w:p>
    <w:p>
      <w:pPr>
        <w:numPr>
          <w:ilvl w:val="0"/>
          <w:numId w:val="420"/>
        </w:numPr>
        <w:spacing w:before="60" w:after="0" w:line="240"/>
        <w:ind w:right="0" w:left="720" w:hanging="360"/>
        <w:jc w:val="both"/>
        <w:rPr>
          <w:rFonts w:ascii="Calibri" w:hAnsi="Calibri" w:cs="Calibri" w:eastAsia="Calibri"/>
          <w:color w:val="auto"/>
          <w:spacing w:val="0"/>
          <w:position w:val="0"/>
          <w:sz w:val="20"/>
          <w:shd w:fill="auto" w:val="clear"/>
        </w:rPr>
      </w:pPr>
      <w:r>
        <w:rPr>
          <w:rFonts w:ascii="Calibri" w:hAnsi="Calibri" w:cs="Calibri" w:eastAsia="Calibri"/>
          <w:b/>
          <w:color w:val="auto"/>
          <w:spacing w:val="0"/>
          <w:position w:val="0"/>
          <w:sz w:val="20"/>
          <w:shd w:fill="auto" w:val="clear"/>
        </w:rPr>
        <w:t xml:space="preserve">Specifi</w:t>
      </w:r>
      <w:r>
        <w:rPr>
          <w:rFonts w:ascii="Calibri" w:hAnsi="Calibri" w:cs="Calibri" w:eastAsia="Calibri"/>
          <w:b/>
          <w:color w:val="auto"/>
          <w:spacing w:val="0"/>
          <w:position w:val="0"/>
          <w:sz w:val="20"/>
          <w:shd w:fill="auto" w:val="clear"/>
        </w:rPr>
        <w:t xml:space="preserve">čna godišnja energija</w:t>
      </w:r>
      <w:r>
        <w:rPr>
          <w:rFonts w:ascii="Calibri" w:hAnsi="Calibri" w:cs="Calibri" w:eastAsia="Calibri"/>
          <w:color w:val="auto"/>
          <w:spacing w:val="0"/>
          <w:position w:val="0"/>
          <w:sz w:val="20"/>
          <w:shd w:fill="auto" w:val="clear"/>
        </w:rPr>
        <w:t xml:space="preserve"> </w:t>
      </w:r>
      <w:r>
        <w:rPr>
          <w:rFonts w:ascii="Calibri" w:hAnsi="Calibri" w:cs="Calibri" w:eastAsia="Calibri"/>
          <w:b/>
          <w:color w:val="auto"/>
          <w:spacing w:val="0"/>
          <w:position w:val="0"/>
          <w:sz w:val="20"/>
          <w:shd w:fill="auto" w:val="clear"/>
        </w:rPr>
        <w:t xml:space="preserve">potrebna za grijanje stambenih zgrada – Q</w:t>
      </w:r>
      <w:r>
        <w:rPr>
          <w:rFonts w:ascii="Calibri" w:hAnsi="Calibri" w:cs="Calibri" w:eastAsia="Calibri"/>
          <w:b/>
          <w:color w:val="auto"/>
          <w:spacing w:val="0"/>
          <w:position w:val="0"/>
          <w:sz w:val="20"/>
          <w:shd w:fill="auto" w:val="clear"/>
          <w:vertAlign w:val="subscript"/>
        </w:rPr>
        <w:t xml:space="preserve">hnd </w:t>
      </w:r>
      <w:r>
        <w:rPr>
          <w:rFonts w:ascii="Calibri" w:hAnsi="Calibri" w:cs="Calibri" w:eastAsia="Calibri"/>
          <w:b/>
          <w:color w:val="auto"/>
          <w:spacing w:val="0"/>
          <w:position w:val="0"/>
          <w:sz w:val="20"/>
          <w:shd w:fill="auto" w:val="clear"/>
        </w:rPr>
        <w:t xml:space="preserve">(kWh/m</w:t>
      </w:r>
      <w:r>
        <w:rPr>
          <w:rFonts w:ascii="Calibri" w:hAnsi="Calibri" w:cs="Calibri" w:eastAsia="Calibri"/>
          <w:b/>
          <w:color w:val="auto"/>
          <w:spacing w:val="0"/>
          <w:position w:val="0"/>
          <w:sz w:val="20"/>
          <w:shd w:fill="auto" w:val="clear"/>
          <w:vertAlign w:val="superscript"/>
        </w:rPr>
        <w:t xml:space="preserve">2</w:t>
      </w:r>
      <w:r>
        <w:rPr>
          <w:rFonts w:ascii="Calibri" w:hAnsi="Calibri" w:cs="Calibri" w:eastAsia="Calibri"/>
          <w:b/>
          <w:color w:val="auto"/>
          <w:spacing w:val="0"/>
          <w:position w:val="0"/>
          <w:sz w:val="20"/>
          <w:shd w:fill="auto" w:val="clear"/>
        </w:rPr>
        <w:t xml:space="preserve">/god), </w:t>
      </w:r>
      <w:r>
        <w:rPr>
          <w:rFonts w:ascii="Calibri" w:hAnsi="Calibri" w:cs="Calibri" w:eastAsia="Calibri"/>
          <w:color w:val="auto"/>
          <w:spacing w:val="0"/>
          <w:position w:val="0"/>
          <w:sz w:val="20"/>
          <w:shd w:fill="auto" w:val="clear"/>
        </w:rPr>
        <w:t xml:space="preserve"> koja je u </w:t>
      </w:r>
      <w:r>
        <w:rPr>
          <w:rFonts w:ascii="Calibri" w:hAnsi="Calibri" w:cs="Calibri" w:eastAsia="Calibri"/>
          <w:i/>
          <w:color w:val="auto"/>
          <w:spacing w:val="0"/>
          <w:position w:val="0"/>
          <w:sz w:val="20"/>
          <w:shd w:fill="auto" w:val="clear"/>
        </w:rPr>
        <w:t xml:space="preserve">Tipologiji stambenih zgrada Bosne i Hercegovine</w:t>
      </w:r>
      <w:r>
        <w:rPr>
          <w:rFonts w:ascii="Calibri" w:hAnsi="Calibri" w:cs="Calibri" w:eastAsia="Calibri"/>
          <w:color w:val="auto"/>
          <w:spacing w:val="0"/>
          <w:position w:val="0"/>
          <w:sz w:val="20"/>
          <w:shd w:fill="auto" w:val="clear"/>
        </w:rPr>
        <w:t xml:space="preserve"> određena za sve tipove stambenih zgrada.</w:t>
      </w:r>
    </w:p>
    <w:p>
      <w:pPr>
        <w:spacing w:before="12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Potrebna finalna energija za grijanje u podsektoru stambenih zgrada </w:t>
      </w:r>
      <w:r>
        <w:rPr>
          <w:rFonts w:ascii="Calibri" w:hAnsi="Calibri" w:cs="Calibri" w:eastAsia="Calibri"/>
          <w:color w:val="auto"/>
          <w:spacing w:val="0"/>
          <w:position w:val="0"/>
          <w:sz w:val="20"/>
          <w:u w:val="single"/>
          <w:shd w:fill="auto" w:val="clear"/>
        </w:rPr>
        <w:t xml:space="preserve">u kontrolnoj 2020. godini</w:t>
      </w:r>
      <w:r>
        <w:rPr>
          <w:rFonts w:ascii="Calibri" w:hAnsi="Calibri" w:cs="Calibri" w:eastAsia="Calibri"/>
          <w:color w:val="auto"/>
          <w:spacing w:val="0"/>
          <w:position w:val="0"/>
          <w:sz w:val="20"/>
          <w:shd w:fill="auto" w:val="clear"/>
        </w:rPr>
        <w:t xml:space="preserve"> dobivena je umanjenjem potrebne finalne energije odre</w:t>
      </w:r>
      <w:r>
        <w:rPr>
          <w:rFonts w:ascii="Calibri" w:hAnsi="Calibri" w:cs="Calibri" w:eastAsia="Calibri"/>
          <w:color w:val="auto"/>
          <w:spacing w:val="0"/>
          <w:position w:val="0"/>
          <w:sz w:val="20"/>
          <w:shd w:fill="auto" w:val="clear"/>
        </w:rPr>
        <w:t xml:space="preserve">đene za baznu 2010. godinu, za iznos ušteda energije postignutih u cjelokupnom podsektoru realizacijom mjera energetske efikasnosti u periodu od 2010. do 2020. godine. Ovaj iznos ušteda dobiven je transpozicijom iznosa energetskih ušteda proračunatih za 234 stambene jedinice obuhvaćene anketom, na cjelokupni stambeni fond općine Doboj Istok, i to primjenom omjera grijane površine navedenih 234 stambenih jedinica i grijane površine svih stambenih zgrada na području Doboj Istoka. Kao i u slučaju zgrada javne namjene, energetske uštede za 234 stambene jedinice obuhvaćene anketom dobivene su:</w:t>
      </w:r>
    </w:p>
    <w:p>
      <w:pPr>
        <w:numPr>
          <w:ilvl w:val="0"/>
          <w:numId w:val="423"/>
        </w:numPr>
        <w:spacing w:before="60" w:after="0" w:line="240"/>
        <w:ind w:right="0" w:left="714" w:hanging="357"/>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Korištenjem potrebnih podataka sadržanih u </w:t>
      </w:r>
      <w:r>
        <w:rPr>
          <w:rFonts w:ascii="Calibri" w:hAnsi="Calibri" w:cs="Calibri" w:eastAsia="Calibri"/>
          <w:i/>
          <w:color w:val="auto"/>
          <w:spacing w:val="0"/>
          <w:position w:val="0"/>
          <w:sz w:val="20"/>
          <w:shd w:fill="auto" w:val="clear"/>
        </w:rPr>
        <w:t xml:space="preserve">Tipologiji stambenih zgrada Bosne i Hercegovine</w:t>
      </w:r>
      <w:r>
        <w:rPr>
          <w:rFonts w:ascii="Calibri" w:hAnsi="Calibri" w:cs="Calibri" w:eastAsia="Calibri"/>
          <w:color w:val="auto"/>
          <w:spacing w:val="0"/>
          <w:position w:val="0"/>
          <w:sz w:val="20"/>
          <w:shd w:fill="auto" w:val="clear"/>
        </w:rPr>
        <w:t xml:space="preserve">;</w:t>
      </w:r>
    </w:p>
    <w:p>
      <w:pPr>
        <w:numPr>
          <w:ilvl w:val="0"/>
          <w:numId w:val="423"/>
        </w:numPr>
        <w:spacing w:before="0" w:after="0" w:line="240"/>
        <w:ind w:right="0" w:left="714" w:hanging="357"/>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Korištenjem metodologije propisane u Pravilniku o informacionom sistemu energijske efikasnosti Federacije BiH /</w:t>
      </w:r>
      <w:r>
        <w:rPr>
          <w:rFonts w:ascii="Calibri" w:hAnsi="Calibri" w:cs="Calibri" w:eastAsia="Calibri"/>
          <w:i/>
          <w:color w:val="auto"/>
          <w:spacing w:val="0"/>
          <w:position w:val="0"/>
          <w:sz w:val="20"/>
          <w:shd w:fill="auto" w:val="clear"/>
        </w:rPr>
        <w:t xml:space="preserve">Prilog 1 – Uštede energije sa Metodologijom za izra</w:t>
      </w:r>
      <w:r>
        <w:rPr>
          <w:rFonts w:ascii="Calibri" w:hAnsi="Calibri" w:cs="Calibri" w:eastAsia="Calibri"/>
          <w:i/>
          <w:color w:val="auto"/>
          <w:spacing w:val="0"/>
          <w:position w:val="0"/>
          <w:sz w:val="20"/>
          <w:shd w:fill="auto" w:val="clear"/>
        </w:rPr>
        <w:t xml:space="preserve">čun ušteda energije u krajnjoj potrošnji primjenom metode „odozdo prema gore“ (sa katalogom mjera</w:t>
      </w:r>
      <w:r>
        <w:rPr>
          <w:rFonts w:ascii="Calibri" w:hAnsi="Calibri" w:cs="Calibri" w:eastAsia="Calibri"/>
          <w:color w:val="auto"/>
          <w:spacing w:val="0"/>
          <w:position w:val="0"/>
          <w:sz w:val="20"/>
          <w:shd w:fill="auto" w:val="clear"/>
        </w:rPr>
        <w:t xml:space="preserve">), i u </w:t>
      </w:r>
      <w:r>
        <w:rPr>
          <w:rFonts w:ascii="Calibri" w:hAnsi="Calibri" w:cs="Calibri" w:eastAsia="Calibri"/>
          <w:i/>
          <w:color w:val="auto"/>
          <w:spacing w:val="0"/>
          <w:position w:val="0"/>
          <w:sz w:val="20"/>
          <w:shd w:fill="auto" w:val="clear"/>
        </w:rPr>
        <w:t xml:space="preserve">Pravilniku o tehničkim zahtjevima za toplotnu zaštitu objekta i racionalnu upotrebu energije</w:t>
      </w:r>
      <w:r>
        <w:rPr>
          <w:rFonts w:ascii="Calibri" w:hAnsi="Calibri" w:cs="Calibri" w:eastAsia="Calibri"/>
          <w:color w:val="auto"/>
          <w:spacing w:val="0"/>
          <w:position w:val="0"/>
          <w:sz w:val="20"/>
          <w:shd w:fill="auto" w:val="clear"/>
        </w:rPr>
        <w:t xml:space="preserve"> ("Službene novine Federacije BiH", br. 49/09).</w:t>
      </w:r>
    </w:p>
    <w:p>
      <w:pPr>
        <w:spacing w:before="120" w:after="0" w:line="240"/>
        <w:ind w:right="0" w:left="0" w:firstLine="0"/>
        <w:jc w:val="both"/>
        <w:rPr>
          <w:rFonts w:ascii="Calibri" w:hAnsi="Calibri" w:cs="Calibri" w:eastAsia="Calibri"/>
          <w:b/>
          <w:color w:val="auto"/>
          <w:spacing w:val="0"/>
          <w:position w:val="0"/>
          <w:sz w:val="20"/>
          <w:u w:val="single"/>
          <w:shd w:fill="auto" w:val="clear"/>
        </w:rPr>
      </w:pPr>
      <w:r>
        <w:rPr>
          <w:rFonts w:ascii="Calibri" w:hAnsi="Calibri" w:cs="Calibri" w:eastAsia="Calibri"/>
          <w:b/>
          <w:color w:val="auto"/>
          <w:spacing w:val="0"/>
          <w:position w:val="0"/>
          <w:sz w:val="20"/>
          <w:u w:val="single"/>
          <w:shd w:fill="auto" w:val="clear"/>
        </w:rPr>
        <w:t xml:space="preserve">Sektor saobra</w:t>
      </w:r>
      <w:r>
        <w:rPr>
          <w:rFonts w:ascii="Calibri" w:hAnsi="Calibri" w:cs="Calibri" w:eastAsia="Calibri"/>
          <w:b/>
          <w:color w:val="auto"/>
          <w:spacing w:val="0"/>
          <w:position w:val="0"/>
          <w:sz w:val="20"/>
          <w:u w:val="single"/>
          <w:shd w:fill="auto" w:val="clear"/>
        </w:rPr>
        <w:t xml:space="preserve">ćaja</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Prora</w:t>
      </w:r>
      <w:r>
        <w:rPr>
          <w:rFonts w:ascii="Calibri" w:hAnsi="Calibri" w:cs="Calibri" w:eastAsia="Calibri"/>
          <w:color w:val="auto"/>
          <w:spacing w:val="0"/>
          <w:position w:val="0"/>
          <w:sz w:val="20"/>
          <w:shd w:fill="auto" w:val="clear"/>
        </w:rPr>
        <w:t xml:space="preserve">čun potrošnje energije u baznoj i kontrolnoj godini u sektoru saobraćaja izvršen je korištenjem programa COPERT (verzija 5.2), standardnog alata Evropske unije za proračun potrošnje energenata i emisija stakleničkih gasova u sektoru saobraćaja, te za zvanično izvještavanje u tim oblastima. Osim ulaznih podataka čije prikupljanje je opisano u prethodnom poglavlju, ulazni podaci o kalorijskoj vrijednosti goriva i efikasnosti sagorijevanja su već ugrađeni u COPERT program, te ih nije bilo potrebno posebno prikupljati.</w:t>
      </w:r>
    </w:p>
    <w:p>
      <w:pPr>
        <w:spacing w:before="6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0"/>
          <w:shd w:fill="auto" w:val="clear"/>
        </w:rPr>
        <w:t xml:space="preserve">Što se ti</w:t>
      </w:r>
      <w:r>
        <w:rPr>
          <w:rFonts w:ascii="Calibri" w:hAnsi="Calibri" w:cs="Calibri" w:eastAsia="Calibri"/>
          <w:color w:val="auto"/>
          <w:spacing w:val="0"/>
          <w:position w:val="0"/>
          <w:sz w:val="20"/>
          <w:shd w:fill="auto" w:val="clear"/>
        </w:rPr>
        <w:t xml:space="preserve">če određivanja potrošnje energije u </w:t>
      </w:r>
      <w:r>
        <w:rPr>
          <w:rFonts w:ascii="Calibri" w:hAnsi="Calibri" w:cs="Calibri" w:eastAsia="Calibri"/>
          <w:b/>
          <w:color w:val="auto"/>
          <w:spacing w:val="0"/>
          <w:position w:val="0"/>
          <w:sz w:val="20"/>
          <w:u w:val="single"/>
          <w:shd w:fill="auto" w:val="clear"/>
        </w:rPr>
        <w:t xml:space="preserve">sektorima javne rasvjete i sistema vodosnabdijevanja</w:t>
      </w:r>
      <w:r>
        <w:rPr>
          <w:rFonts w:ascii="Calibri" w:hAnsi="Calibri" w:cs="Calibri" w:eastAsia="Calibri"/>
          <w:color w:val="auto"/>
          <w:spacing w:val="0"/>
          <w:position w:val="0"/>
          <w:sz w:val="20"/>
          <w:shd w:fill="auto" w:val="clear"/>
        </w:rPr>
        <w:t xml:space="preserve">, razmatrana je samo električna energija izmjerena i obračunata na nivou cjelokupnog sistema javne rasvjete odnosno električna energija za napajanje pumpi u sistemu vodosnabdijevanja. </w:t>
      </w:r>
    </w:p>
    <w:p>
      <w:pPr>
        <w:keepNext w:val="true"/>
        <w:keepLines w:val="true"/>
        <w:numPr>
          <w:ilvl w:val="0"/>
          <w:numId w:val="427"/>
        </w:numPr>
        <w:spacing w:before="120" w:after="0" w:line="240"/>
        <w:ind w:right="0" w:left="862" w:hanging="862"/>
        <w:jc w:val="both"/>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Metodologija prora</w:t>
      </w:r>
      <w:r>
        <w:rPr>
          <w:rFonts w:ascii="Calibri" w:hAnsi="Calibri" w:cs="Calibri" w:eastAsia="Calibri"/>
          <w:b/>
          <w:color w:val="auto"/>
          <w:spacing w:val="0"/>
          <w:position w:val="0"/>
          <w:sz w:val="22"/>
          <w:shd w:fill="auto" w:val="clear"/>
        </w:rPr>
        <w:t xml:space="preserve">čuna baznog i kontrolnog inventara Metodologija proračuna baznog i kontrolnog inventara emisija CO</w:t>
      </w:r>
      <w:r>
        <w:rPr>
          <w:rFonts w:ascii="Calibri" w:hAnsi="Calibri" w:cs="Calibri" w:eastAsia="Calibri"/>
          <w:b/>
          <w:color w:val="auto"/>
          <w:spacing w:val="0"/>
          <w:position w:val="0"/>
          <w:sz w:val="22"/>
          <w:shd w:fill="auto" w:val="clear"/>
          <w:vertAlign w:val="subscript"/>
        </w:rPr>
        <w:t xml:space="preserve">2</w:t>
      </w:r>
      <w:r>
        <w:rPr>
          <w:rFonts w:ascii="Calibri" w:hAnsi="Calibri" w:cs="Calibri" w:eastAsia="Calibri"/>
          <w:b/>
          <w:color w:val="auto"/>
          <w:spacing w:val="0"/>
          <w:position w:val="0"/>
          <w:sz w:val="22"/>
          <w:shd w:fill="auto" w:val="clear"/>
        </w:rPr>
        <w:t xml:space="preserve"> u razmatranim sektorima</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Bazni inventar emisija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dobiven je kao proizvod potrebne finalne energije odre</w:t>
      </w:r>
      <w:r>
        <w:rPr>
          <w:rFonts w:ascii="Calibri" w:hAnsi="Calibri" w:cs="Calibri" w:eastAsia="Calibri"/>
          <w:color w:val="auto"/>
          <w:spacing w:val="0"/>
          <w:position w:val="0"/>
          <w:sz w:val="20"/>
          <w:shd w:fill="auto" w:val="clear"/>
        </w:rPr>
        <w:t xml:space="preserve">đene za razmatrane sektore u baznoj 2010. godini, i odgovarajućih emisionih faktora za korištene energente.  </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Kontrolni inventar emisija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dobiven je kao proizvod potrebne finalne energije odre</w:t>
      </w:r>
      <w:r>
        <w:rPr>
          <w:rFonts w:ascii="Calibri" w:hAnsi="Calibri" w:cs="Calibri" w:eastAsia="Calibri"/>
          <w:color w:val="auto"/>
          <w:spacing w:val="0"/>
          <w:position w:val="0"/>
          <w:sz w:val="20"/>
          <w:shd w:fill="auto" w:val="clear"/>
        </w:rPr>
        <w:t xml:space="preserve">đene za razmatrane sektore u kontrolnoj 2020. godini, i odgovarajućih emisionih faktora za korištene energente.  </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Pri izradi inventara emisija za </w:t>
      </w:r>
      <w:r>
        <w:rPr>
          <w:rFonts w:ascii="Calibri" w:hAnsi="Calibri" w:cs="Calibri" w:eastAsia="Calibri"/>
          <w:b/>
          <w:color w:val="auto"/>
          <w:spacing w:val="0"/>
          <w:position w:val="0"/>
          <w:sz w:val="20"/>
          <w:shd w:fill="auto" w:val="clear"/>
        </w:rPr>
        <w:t xml:space="preserve">sektor zgradarstva</w:t>
      </w:r>
      <w:r>
        <w:rPr>
          <w:rFonts w:ascii="Calibri" w:hAnsi="Calibri" w:cs="Calibri" w:eastAsia="Calibri"/>
          <w:color w:val="auto"/>
          <w:spacing w:val="0"/>
          <w:position w:val="0"/>
          <w:sz w:val="20"/>
          <w:shd w:fill="auto" w:val="clear"/>
        </w:rPr>
        <w:t xml:space="preserve"> razmatrane su emisije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iz energenata koji se koriste za grijanje stambenih i javnih zgrada u Doboj Istoku, i to: ugalj – lignit i mrki ugalj, elektri</w:t>
      </w:r>
      <w:r>
        <w:rPr>
          <w:rFonts w:ascii="Calibri" w:hAnsi="Calibri" w:cs="Calibri" w:eastAsia="Calibri"/>
          <w:color w:val="auto"/>
          <w:spacing w:val="0"/>
          <w:position w:val="0"/>
          <w:sz w:val="20"/>
          <w:shd w:fill="auto" w:val="clear"/>
        </w:rPr>
        <w:t xml:space="preserve">čna energija, drvna biomasa – ogrijevno drvo, prirodni plin i lož ulje. U određenom broju stambenih zgrada domaćinstva za grijanje često koriste i kombinaciju ovih energenata.</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Za izradu inventara emisija za </w:t>
      </w:r>
      <w:r>
        <w:rPr>
          <w:rFonts w:ascii="Calibri" w:hAnsi="Calibri" w:cs="Calibri" w:eastAsia="Calibri"/>
          <w:b/>
          <w:color w:val="auto"/>
          <w:spacing w:val="0"/>
          <w:position w:val="0"/>
          <w:sz w:val="20"/>
          <w:shd w:fill="auto" w:val="clear"/>
        </w:rPr>
        <w:t xml:space="preserve">sektor saobra</w:t>
      </w:r>
      <w:r>
        <w:rPr>
          <w:rFonts w:ascii="Calibri" w:hAnsi="Calibri" w:cs="Calibri" w:eastAsia="Calibri"/>
          <w:b/>
          <w:color w:val="auto"/>
          <w:spacing w:val="0"/>
          <w:position w:val="0"/>
          <w:sz w:val="20"/>
          <w:shd w:fill="auto" w:val="clear"/>
        </w:rPr>
        <w:t xml:space="preserve">ćaja</w:t>
      </w:r>
      <w:r>
        <w:rPr>
          <w:rFonts w:ascii="Calibri" w:hAnsi="Calibri" w:cs="Calibri" w:eastAsia="Calibri"/>
          <w:color w:val="auto"/>
          <w:spacing w:val="0"/>
          <w:position w:val="0"/>
          <w:sz w:val="20"/>
          <w:shd w:fill="auto" w:val="clear"/>
        </w:rPr>
        <w:t xml:space="preserve"> korišten je softverski alat COPERT 5.2. koji u svrhu proračuna emisija po evropskim standardima koristi strukturu i broj vozila, pređeni put u toku jedne godine, prosječnu brzinu kretanja na različitim dionicama puta, podatke o vanjskoj temperaturi i vlažnosti zraka, te emisione faktore za korištena goriva (benzin i dizel).</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Pri izradi inventara emisija za </w:t>
      </w:r>
      <w:r>
        <w:rPr>
          <w:rFonts w:ascii="Calibri" w:hAnsi="Calibri" w:cs="Calibri" w:eastAsia="Calibri"/>
          <w:b/>
          <w:color w:val="auto"/>
          <w:spacing w:val="0"/>
          <w:position w:val="0"/>
          <w:sz w:val="20"/>
          <w:shd w:fill="auto" w:val="clear"/>
        </w:rPr>
        <w:t xml:space="preserve">sektor javne rasvjete </w:t>
      </w:r>
      <w:r>
        <w:rPr>
          <w:rFonts w:ascii="Calibri" w:hAnsi="Calibri" w:cs="Calibri" w:eastAsia="Calibri"/>
          <w:color w:val="auto"/>
          <w:spacing w:val="0"/>
          <w:position w:val="0"/>
          <w:sz w:val="20"/>
          <w:shd w:fill="auto" w:val="clear"/>
        </w:rPr>
        <w:t xml:space="preserve">i za</w:t>
      </w:r>
      <w:r>
        <w:rPr>
          <w:rFonts w:ascii="Calibri" w:hAnsi="Calibri" w:cs="Calibri" w:eastAsia="Calibri"/>
          <w:b/>
          <w:color w:val="auto"/>
          <w:spacing w:val="0"/>
          <w:position w:val="0"/>
          <w:sz w:val="20"/>
          <w:shd w:fill="auto" w:val="clear"/>
        </w:rPr>
        <w:t xml:space="preserve"> sektor vodosnabdijevanja </w:t>
      </w:r>
      <w:r>
        <w:rPr>
          <w:rFonts w:ascii="Calibri" w:hAnsi="Calibri" w:cs="Calibri" w:eastAsia="Calibri"/>
          <w:color w:val="auto"/>
          <w:spacing w:val="0"/>
          <w:position w:val="0"/>
          <w:sz w:val="20"/>
          <w:shd w:fill="auto" w:val="clear"/>
        </w:rPr>
        <w:t xml:space="preserve">razmatrane su samo indirektne emisije nastale zbog potrošnje elektri</w:t>
      </w:r>
      <w:r>
        <w:rPr>
          <w:rFonts w:ascii="Calibri" w:hAnsi="Calibri" w:cs="Calibri" w:eastAsia="Calibri"/>
          <w:color w:val="auto"/>
          <w:spacing w:val="0"/>
          <w:position w:val="0"/>
          <w:sz w:val="20"/>
          <w:shd w:fill="auto" w:val="clear"/>
        </w:rPr>
        <w:t xml:space="preserve">čne energije u ovim sistemima, dok direktne emisije nastale sagorijevanjem energenata kao što su prirodni gas i slično, ne postoje.</w:t>
      </w:r>
    </w:p>
    <w:p>
      <w:pPr>
        <w:spacing w:before="120" w:after="0" w:line="240"/>
        <w:ind w:right="0" w:left="0" w:firstLine="0"/>
        <w:jc w:val="both"/>
        <w:rPr>
          <w:rFonts w:ascii="Calibri" w:hAnsi="Calibri" w:cs="Calibri" w:eastAsia="Calibri"/>
          <w:b/>
          <w:i/>
          <w:color w:val="auto"/>
          <w:spacing w:val="0"/>
          <w:position w:val="0"/>
          <w:sz w:val="20"/>
          <w:u w:val="single"/>
          <w:shd w:fill="auto" w:val="clear"/>
        </w:rPr>
      </w:pPr>
      <w:r>
        <w:rPr>
          <w:rFonts w:ascii="Calibri" w:hAnsi="Calibri" w:cs="Calibri" w:eastAsia="Calibri"/>
          <w:b/>
          <w:i/>
          <w:color w:val="auto"/>
          <w:spacing w:val="0"/>
          <w:position w:val="0"/>
          <w:sz w:val="20"/>
          <w:u w:val="single"/>
          <w:shd w:fill="auto" w:val="clear"/>
        </w:rPr>
        <w:t xml:space="preserve">Emisioni faktori korišteni za odre</w:t>
      </w:r>
      <w:r>
        <w:rPr>
          <w:rFonts w:ascii="Calibri" w:hAnsi="Calibri" w:cs="Calibri" w:eastAsia="Calibri"/>
          <w:b/>
          <w:i/>
          <w:color w:val="auto"/>
          <w:spacing w:val="0"/>
          <w:position w:val="0"/>
          <w:sz w:val="20"/>
          <w:u w:val="single"/>
          <w:shd w:fill="auto" w:val="clear"/>
        </w:rPr>
        <w:t xml:space="preserve">đivanje baznog i kontrolnog inventara emisija CO</w:t>
      </w:r>
      <w:r>
        <w:rPr>
          <w:rFonts w:ascii="Calibri" w:hAnsi="Calibri" w:cs="Calibri" w:eastAsia="Calibri"/>
          <w:b/>
          <w:i/>
          <w:color w:val="auto"/>
          <w:spacing w:val="0"/>
          <w:position w:val="0"/>
          <w:sz w:val="20"/>
          <w:u w:val="single"/>
          <w:shd w:fill="auto" w:val="clear"/>
          <w:vertAlign w:val="subscript"/>
        </w:rPr>
        <w:t xml:space="preserve">2</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U skladu sa smjernicama Sporazuma gradona</w:t>
      </w:r>
      <w:r>
        <w:rPr>
          <w:rFonts w:ascii="Calibri" w:hAnsi="Calibri" w:cs="Calibri" w:eastAsia="Calibri"/>
          <w:color w:val="auto"/>
          <w:spacing w:val="0"/>
          <w:position w:val="0"/>
          <w:sz w:val="20"/>
          <w:shd w:fill="auto" w:val="clear"/>
        </w:rPr>
        <w:t xml:space="preserve">čelnika za klimu i energiju, za proračun emisija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iz razmatranih sektora energetske potrošnje u općini Doboj Istok, korišteni su univerzalni emisioni faktori iz baze podataka Međuvladinog panela o klimatskim promjenama (engl. </w:t>
      </w:r>
      <w:r>
        <w:rPr>
          <w:rFonts w:ascii="Calibri" w:hAnsi="Calibri" w:cs="Calibri" w:eastAsia="Calibri"/>
          <w:i/>
          <w:color w:val="auto"/>
          <w:spacing w:val="0"/>
          <w:position w:val="0"/>
          <w:sz w:val="20"/>
          <w:shd w:fill="auto" w:val="clear"/>
        </w:rPr>
        <w:t xml:space="preserve">Intergovernmental Panel on Climate Change – IPCC</w:t>
      </w:r>
      <w:r>
        <w:rPr>
          <w:rFonts w:ascii="Calibri" w:hAnsi="Calibri" w:cs="Calibri" w:eastAsia="Calibri"/>
          <w:color w:val="auto"/>
          <w:spacing w:val="0"/>
          <w:position w:val="0"/>
          <w:sz w:val="20"/>
          <w:shd w:fill="auto" w:val="clear"/>
        </w:rPr>
        <w:t xml:space="preserve">). Izuzetak predstavlja električna energija, za koju je uzet emisioni faktor za Bosnu i Hercegovinu.</w:t>
      </w:r>
    </w:p>
    <w:p>
      <w:pPr>
        <w:spacing w:before="60" w:after="120" w:line="240"/>
        <w:ind w:right="0" w:left="0" w:firstLine="0"/>
        <w:jc w:val="both"/>
        <w:rPr>
          <w:rFonts w:ascii="Calibri" w:hAnsi="Calibri" w:cs="Calibri" w:eastAsia="Calibri"/>
          <w:b/>
          <w:color w:val="auto"/>
          <w:spacing w:val="0"/>
          <w:position w:val="0"/>
          <w:sz w:val="22"/>
          <w:shd w:fill="auto" w:val="clear"/>
        </w:rPr>
      </w:pPr>
      <w:r>
        <w:rPr>
          <w:rFonts w:ascii="Calibri" w:hAnsi="Calibri" w:cs="Calibri" w:eastAsia="Calibri"/>
          <w:color w:val="auto"/>
          <w:spacing w:val="0"/>
          <w:position w:val="0"/>
          <w:sz w:val="20"/>
          <w:shd w:fill="auto" w:val="clear"/>
        </w:rPr>
        <w:t xml:space="preserve">Emisioni faktori za razmatrane energente koji se koriste na podru</w:t>
      </w:r>
      <w:r>
        <w:rPr>
          <w:rFonts w:ascii="Calibri" w:hAnsi="Calibri" w:cs="Calibri" w:eastAsia="Calibri"/>
          <w:color w:val="auto"/>
          <w:spacing w:val="0"/>
          <w:position w:val="0"/>
          <w:sz w:val="20"/>
          <w:shd w:fill="auto" w:val="clear"/>
        </w:rPr>
        <w:t xml:space="preserve">čju općine Doboj Istok prikazani su u narednoj tabeli.</w:t>
      </w:r>
    </w:p>
    <w:tbl>
      <w:tblPr/>
      <w:tblGrid>
        <w:gridCol w:w="2972"/>
        <w:gridCol w:w="2584"/>
        <w:gridCol w:w="2661"/>
      </w:tblGrid>
      <w:tr>
        <w:trPr>
          <w:trHeight w:val="536" w:hRule="auto"/>
          <w:jc w:val="center"/>
        </w:trPr>
        <w:tc>
          <w:tcPr>
            <w:tcW w:w="2972" w:type="dxa"/>
            <w:tcBorders>
              <w:top w:val="single" w:color="000000" w:sz="4"/>
              <w:left w:val="single" w:color="000000" w:sz="4"/>
              <w:bottom w:val="single" w:color="000000" w:sz="4"/>
              <w:right w:val="single" w:color="000000" w:sz="4"/>
            </w:tcBorders>
            <w:shd w:color="000000" w:fill="bdd7ee"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ENERGENT</w:t>
            </w:r>
          </w:p>
        </w:tc>
        <w:tc>
          <w:tcPr>
            <w:tcW w:w="2584" w:type="dxa"/>
            <w:tcBorders>
              <w:top w:val="single" w:color="000000" w:sz="4"/>
              <w:left w:val="single" w:color="000000" w:sz="0"/>
              <w:bottom w:val="single" w:color="000000" w:sz="4"/>
              <w:right w:val="single" w:color="000000" w:sz="4"/>
            </w:tcBorders>
            <w:shd w:color="000000" w:fill="bdd7ee"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Faktor emisije CO</w:t>
            </w:r>
            <w:r>
              <w:rPr>
                <w:rFonts w:ascii="Calibri" w:hAnsi="Calibri" w:cs="Calibri" w:eastAsia="Calibri"/>
                <w:color w:val="000000"/>
                <w:spacing w:val="0"/>
                <w:position w:val="0"/>
                <w:sz w:val="18"/>
                <w:shd w:fill="auto" w:val="clear"/>
                <w:vertAlign w:val="subscript"/>
              </w:rPr>
              <w:t xml:space="preserve">2</w:t>
            </w:r>
            <w:r>
              <w:rPr>
                <w:rFonts w:ascii="Calibri" w:hAnsi="Calibri" w:cs="Calibri" w:eastAsia="Calibri"/>
                <w:color w:val="000000"/>
                <w:spacing w:val="0"/>
                <w:position w:val="0"/>
                <w:sz w:val="18"/>
                <w:shd w:fill="auto" w:val="clear"/>
              </w:rPr>
              <w:t xml:space="preserve"> za baznu 2010.  godinu [t/MWh]</w:t>
            </w:r>
          </w:p>
        </w:tc>
        <w:tc>
          <w:tcPr>
            <w:tcW w:w="2661" w:type="dxa"/>
            <w:tcBorders>
              <w:top w:val="single" w:color="000000" w:sz="4"/>
              <w:left w:val="single" w:color="000000" w:sz="0"/>
              <w:bottom w:val="single" w:color="000000" w:sz="4"/>
              <w:right w:val="single" w:color="000000" w:sz="4"/>
            </w:tcBorders>
            <w:shd w:color="000000" w:fill="bdd7ee"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Faktor emisije CO</w:t>
            </w:r>
            <w:r>
              <w:rPr>
                <w:rFonts w:ascii="Calibri" w:hAnsi="Calibri" w:cs="Calibri" w:eastAsia="Calibri"/>
                <w:color w:val="000000"/>
                <w:spacing w:val="0"/>
                <w:position w:val="0"/>
                <w:sz w:val="18"/>
                <w:shd w:fill="auto" w:val="clear"/>
                <w:vertAlign w:val="subscript"/>
              </w:rPr>
              <w:t xml:space="preserve">2</w:t>
            </w:r>
            <w:r>
              <w:rPr>
                <w:rFonts w:ascii="Calibri" w:hAnsi="Calibri" w:cs="Calibri" w:eastAsia="Calibri"/>
                <w:color w:val="000000"/>
                <w:spacing w:val="0"/>
                <w:position w:val="0"/>
                <w:sz w:val="18"/>
                <w:shd w:fill="auto" w:val="clear"/>
              </w:rPr>
              <w:t xml:space="preserve"> za kontrolnu 2020. godinu [t/MWh]</w:t>
            </w:r>
          </w:p>
        </w:tc>
      </w:tr>
      <w:tr>
        <w:trPr>
          <w:trHeight w:val="255" w:hRule="auto"/>
          <w:jc w:val="center"/>
        </w:trPr>
        <w:tc>
          <w:tcPr>
            <w:tcW w:w="2972"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20" w:after="20" w:line="240"/>
              <w:ind w:right="0" w:left="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Prirodni plin</w:t>
            </w:r>
          </w:p>
        </w:tc>
        <w:tc>
          <w:tcPr>
            <w:tcW w:w="258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20" w:after="2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0,231</w:t>
            </w:r>
          </w:p>
        </w:tc>
        <w:tc>
          <w:tcPr>
            <w:tcW w:w="266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20" w:after="2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0,231</w:t>
            </w:r>
          </w:p>
        </w:tc>
      </w:tr>
      <w:tr>
        <w:trPr>
          <w:trHeight w:val="255" w:hRule="auto"/>
          <w:jc w:val="center"/>
        </w:trPr>
        <w:tc>
          <w:tcPr>
            <w:tcW w:w="2972"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20" w:after="20" w:line="240"/>
              <w:ind w:right="0" w:left="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Lož ulje</w:t>
            </w:r>
          </w:p>
        </w:tc>
        <w:tc>
          <w:tcPr>
            <w:tcW w:w="258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20" w:after="2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0,267</w:t>
            </w:r>
          </w:p>
        </w:tc>
        <w:tc>
          <w:tcPr>
            <w:tcW w:w="266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20" w:after="2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0,267</w:t>
            </w:r>
          </w:p>
        </w:tc>
      </w:tr>
      <w:tr>
        <w:trPr>
          <w:trHeight w:val="255" w:hRule="auto"/>
          <w:jc w:val="center"/>
        </w:trPr>
        <w:tc>
          <w:tcPr>
            <w:tcW w:w="2972"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20" w:after="20" w:line="240"/>
              <w:ind w:right="0" w:left="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Lignit</w:t>
            </w:r>
          </w:p>
        </w:tc>
        <w:tc>
          <w:tcPr>
            <w:tcW w:w="258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20" w:after="2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0,364</w:t>
            </w:r>
          </w:p>
        </w:tc>
        <w:tc>
          <w:tcPr>
            <w:tcW w:w="266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20" w:after="2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0,364</w:t>
            </w:r>
          </w:p>
        </w:tc>
      </w:tr>
      <w:tr>
        <w:trPr>
          <w:trHeight w:val="255" w:hRule="auto"/>
          <w:jc w:val="center"/>
        </w:trPr>
        <w:tc>
          <w:tcPr>
            <w:tcW w:w="2972"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20" w:after="20" w:line="240"/>
              <w:ind w:right="0" w:left="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Mrki ugalj</w:t>
            </w:r>
          </w:p>
        </w:tc>
        <w:tc>
          <w:tcPr>
            <w:tcW w:w="258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20" w:after="2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0,341</w:t>
            </w:r>
          </w:p>
        </w:tc>
        <w:tc>
          <w:tcPr>
            <w:tcW w:w="266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20" w:after="2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0,341</w:t>
            </w:r>
          </w:p>
        </w:tc>
      </w:tr>
      <w:tr>
        <w:trPr>
          <w:trHeight w:val="255" w:hRule="auto"/>
          <w:jc w:val="center"/>
        </w:trPr>
        <w:tc>
          <w:tcPr>
            <w:tcW w:w="2972"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20" w:after="20" w:line="240"/>
              <w:ind w:right="0" w:left="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Drvna biomasa (ogrijevno drvo)</w:t>
            </w:r>
          </w:p>
        </w:tc>
        <w:tc>
          <w:tcPr>
            <w:tcW w:w="258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20" w:after="2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0,403</w:t>
            </w:r>
          </w:p>
        </w:tc>
        <w:tc>
          <w:tcPr>
            <w:tcW w:w="266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20" w:after="2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0,000</w:t>
            </w:r>
          </w:p>
        </w:tc>
      </w:tr>
      <w:tr>
        <w:trPr>
          <w:trHeight w:val="255" w:hRule="auto"/>
          <w:jc w:val="center"/>
        </w:trPr>
        <w:tc>
          <w:tcPr>
            <w:tcW w:w="297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20" w:after="20" w:line="240"/>
              <w:ind w:right="0" w:left="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Dizel</w:t>
            </w:r>
          </w:p>
        </w:tc>
        <w:tc>
          <w:tcPr>
            <w:tcW w:w="2584" w:type="dxa"/>
            <w:tcBorders>
              <w:top w:val="single" w:color="000000" w:sz="4"/>
              <w:left w:val="single" w:color="000000" w:sz="0"/>
              <w:bottom w:val="single" w:color="000000" w:sz="4"/>
              <w:right w:val="single" w:color="000000" w:sz="4"/>
            </w:tcBorders>
            <w:shd w:color="auto" w:fill="auto" w:val="clear"/>
            <w:tcMar>
              <w:left w:w="108" w:type="dxa"/>
              <w:right w:w="108" w:type="dxa"/>
            </w:tcMar>
            <w:vAlign w:val="center"/>
          </w:tcPr>
          <w:p>
            <w:pPr>
              <w:spacing w:before="20" w:after="2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0,267</w:t>
            </w:r>
          </w:p>
        </w:tc>
        <w:tc>
          <w:tcPr>
            <w:tcW w:w="266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20" w:after="2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0,267</w:t>
            </w:r>
          </w:p>
        </w:tc>
      </w:tr>
      <w:tr>
        <w:trPr>
          <w:trHeight w:val="255" w:hRule="auto"/>
          <w:jc w:val="center"/>
        </w:trPr>
        <w:tc>
          <w:tcPr>
            <w:tcW w:w="297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20" w:after="20" w:line="240"/>
              <w:ind w:right="0" w:left="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Motorni benzin</w:t>
            </w:r>
          </w:p>
        </w:tc>
        <w:tc>
          <w:tcPr>
            <w:tcW w:w="2584" w:type="dxa"/>
            <w:tcBorders>
              <w:top w:val="single" w:color="000000" w:sz="4"/>
              <w:left w:val="single" w:color="000000" w:sz="0"/>
              <w:bottom w:val="single" w:color="000000" w:sz="4"/>
              <w:right w:val="single" w:color="000000" w:sz="4"/>
            </w:tcBorders>
            <w:shd w:color="auto" w:fill="auto" w:val="clear"/>
            <w:tcMar>
              <w:left w:w="108" w:type="dxa"/>
              <w:right w:w="108" w:type="dxa"/>
            </w:tcMar>
            <w:vAlign w:val="center"/>
          </w:tcPr>
          <w:p>
            <w:pPr>
              <w:spacing w:before="20" w:after="2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0,249</w:t>
            </w:r>
          </w:p>
        </w:tc>
        <w:tc>
          <w:tcPr>
            <w:tcW w:w="2661" w:type="dxa"/>
            <w:tcBorders>
              <w:top w:val="single" w:color="000000" w:sz="4"/>
              <w:left w:val="single" w:color="000000" w:sz="0"/>
              <w:bottom w:val="single" w:color="000000" w:sz="4"/>
              <w:right w:val="single" w:color="000000" w:sz="4"/>
            </w:tcBorders>
            <w:shd w:color="auto" w:fill="auto" w:val="clear"/>
            <w:tcMar>
              <w:left w:w="108" w:type="dxa"/>
              <w:right w:w="108" w:type="dxa"/>
            </w:tcMar>
            <w:vAlign w:val="center"/>
          </w:tcPr>
          <w:p>
            <w:pPr>
              <w:spacing w:before="20" w:after="2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0,249</w:t>
            </w:r>
          </w:p>
        </w:tc>
      </w:tr>
      <w:tr>
        <w:trPr>
          <w:trHeight w:val="255" w:hRule="auto"/>
          <w:jc w:val="center"/>
        </w:trPr>
        <w:tc>
          <w:tcPr>
            <w:tcW w:w="297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20" w:after="20" w:line="240"/>
              <w:ind w:right="0" w:left="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Elektri</w:t>
            </w:r>
            <w:r>
              <w:rPr>
                <w:rFonts w:ascii="Calibri" w:hAnsi="Calibri" w:cs="Calibri" w:eastAsia="Calibri"/>
                <w:color w:val="auto"/>
                <w:spacing w:val="0"/>
                <w:position w:val="0"/>
                <w:sz w:val="18"/>
                <w:shd w:fill="auto" w:val="clear"/>
              </w:rPr>
              <w:t xml:space="preserve">čna energija</w:t>
            </w:r>
          </w:p>
        </w:tc>
        <w:tc>
          <w:tcPr>
            <w:tcW w:w="2584" w:type="dxa"/>
            <w:tcBorders>
              <w:top w:val="single" w:color="000000" w:sz="4"/>
              <w:left w:val="single" w:color="000000" w:sz="0"/>
              <w:bottom w:val="single" w:color="000000" w:sz="4"/>
              <w:right w:val="single" w:color="000000" w:sz="4"/>
            </w:tcBorders>
            <w:shd w:color="auto" w:fill="auto" w:val="clear"/>
            <w:tcMar>
              <w:left w:w="108" w:type="dxa"/>
              <w:right w:w="108" w:type="dxa"/>
            </w:tcMar>
            <w:vAlign w:val="center"/>
          </w:tcPr>
          <w:p>
            <w:pPr>
              <w:spacing w:before="20" w:after="2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0,760</w:t>
            </w:r>
          </w:p>
        </w:tc>
        <w:tc>
          <w:tcPr>
            <w:tcW w:w="2661" w:type="dxa"/>
            <w:tcBorders>
              <w:top w:val="single" w:color="000000" w:sz="4"/>
              <w:left w:val="single" w:color="000000" w:sz="0"/>
              <w:bottom w:val="single" w:color="000000" w:sz="4"/>
              <w:right w:val="single" w:color="000000" w:sz="4"/>
            </w:tcBorders>
            <w:shd w:color="auto" w:fill="auto" w:val="clear"/>
            <w:tcMar>
              <w:left w:w="108" w:type="dxa"/>
              <w:right w:w="108" w:type="dxa"/>
            </w:tcMar>
            <w:vAlign w:val="center"/>
          </w:tcPr>
          <w:p>
            <w:pPr>
              <w:spacing w:before="20" w:after="2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0,760</w:t>
            </w:r>
          </w:p>
        </w:tc>
      </w:tr>
      <w:tr>
        <w:trPr>
          <w:trHeight w:val="255" w:hRule="auto"/>
          <w:jc w:val="center"/>
        </w:trPr>
        <w:tc>
          <w:tcPr>
            <w:tcW w:w="297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20" w:after="20" w:line="240"/>
              <w:ind w:right="0" w:left="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Ukapljeni naftni plin</w:t>
            </w:r>
          </w:p>
        </w:tc>
        <w:tc>
          <w:tcPr>
            <w:tcW w:w="2584" w:type="dxa"/>
            <w:tcBorders>
              <w:top w:val="single" w:color="000000" w:sz="4"/>
              <w:left w:val="single" w:color="000000" w:sz="0"/>
              <w:bottom w:val="single" w:color="000000" w:sz="4"/>
              <w:right w:val="single" w:color="000000" w:sz="4"/>
            </w:tcBorders>
            <w:shd w:color="auto" w:fill="auto" w:val="clear"/>
            <w:tcMar>
              <w:left w:w="108" w:type="dxa"/>
              <w:right w:w="108" w:type="dxa"/>
            </w:tcMar>
            <w:vAlign w:val="center"/>
          </w:tcPr>
          <w:p>
            <w:pPr>
              <w:spacing w:before="20" w:after="2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n/a</w:t>
            </w:r>
          </w:p>
        </w:tc>
        <w:tc>
          <w:tcPr>
            <w:tcW w:w="2661" w:type="dxa"/>
            <w:tcBorders>
              <w:top w:val="single" w:color="000000" w:sz="4"/>
              <w:left w:val="single" w:color="000000" w:sz="0"/>
              <w:bottom w:val="single" w:color="000000" w:sz="4"/>
              <w:right w:val="single" w:color="000000" w:sz="4"/>
            </w:tcBorders>
            <w:shd w:color="auto" w:fill="auto" w:val="clear"/>
            <w:tcMar>
              <w:left w:w="108" w:type="dxa"/>
              <w:right w:w="108" w:type="dxa"/>
            </w:tcMar>
            <w:vAlign w:val="center"/>
          </w:tcPr>
          <w:p>
            <w:pPr>
              <w:spacing w:before="20" w:after="20" w:line="240"/>
              <w:ind w:right="0" w:left="0" w:firstLine="0"/>
              <w:jc w:val="center"/>
              <w:rPr>
                <w:rFonts w:ascii="Calibri" w:hAnsi="Calibri" w:cs="Calibri" w:eastAsia="Calibri"/>
                <w:color w:val="000000"/>
                <w:spacing w:val="0"/>
                <w:position w:val="0"/>
                <w:sz w:val="18"/>
                <w:shd w:fill="auto" w:val="clear"/>
              </w:rPr>
            </w:pPr>
            <w:r>
              <w:rPr>
                <w:rFonts w:ascii="Calibri" w:hAnsi="Calibri" w:cs="Calibri" w:eastAsia="Calibri"/>
                <w:color w:val="000000"/>
                <w:spacing w:val="0"/>
                <w:position w:val="0"/>
                <w:sz w:val="18"/>
                <w:shd w:fill="auto" w:val="clear"/>
              </w:rPr>
              <w:t xml:space="preserve">0,227</w:t>
            </w:r>
          </w:p>
          <w:p>
            <w:pPr>
              <w:spacing w:before="20" w:after="20" w:line="240"/>
              <w:ind w:right="0" w:left="0" w:firstLine="0"/>
              <w:jc w:val="center"/>
              <w:rPr>
                <w:rFonts w:ascii="Calibri" w:hAnsi="Calibri" w:cs="Calibri" w:eastAsia="Calibri"/>
                <w:spacing w:val="0"/>
                <w:position w:val="0"/>
              </w:rPr>
            </w:pPr>
          </w:p>
        </w:tc>
      </w:tr>
    </w:tbl>
    <w:p>
      <w:pPr>
        <w:keepNext w:val="true"/>
        <w:spacing w:before="60" w:after="200" w:line="240"/>
        <w:ind w:right="0" w:left="0" w:firstLine="0"/>
        <w:jc w:val="center"/>
        <w:rPr>
          <w:rFonts w:ascii="Calibri" w:hAnsi="Calibri" w:cs="Calibri" w:eastAsia="Calibri"/>
          <w:i/>
          <w:color w:val="auto"/>
          <w:spacing w:val="0"/>
          <w:position w:val="0"/>
          <w:sz w:val="18"/>
          <w:shd w:fill="auto" w:val="clear"/>
        </w:rPr>
      </w:pPr>
      <w:r>
        <w:rPr>
          <w:rFonts w:ascii="Calibri" w:hAnsi="Calibri" w:cs="Calibri" w:eastAsia="Calibri"/>
          <w:i/>
          <w:color w:val="auto"/>
          <w:spacing w:val="0"/>
          <w:position w:val="0"/>
          <w:sz w:val="18"/>
          <w:shd w:fill="auto" w:val="clear"/>
        </w:rPr>
        <w:t xml:space="preserve">Tabela 32: Emisioni faktori za energente koji se koriste na podru</w:t>
      </w:r>
      <w:r>
        <w:rPr>
          <w:rFonts w:ascii="Calibri" w:hAnsi="Calibri" w:cs="Calibri" w:eastAsia="Calibri"/>
          <w:i/>
          <w:color w:val="auto"/>
          <w:spacing w:val="0"/>
          <w:position w:val="0"/>
          <w:sz w:val="18"/>
          <w:shd w:fill="auto" w:val="clear"/>
        </w:rPr>
        <w:t xml:space="preserve">čju općine Doboj Istok</w:t>
      </w:r>
    </w:p>
    <w:p>
      <w:pPr>
        <w:spacing w:before="60" w:after="0" w:line="240"/>
        <w:ind w:right="0" w:left="0" w:firstLine="0"/>
        <w:jc w:val="both"/>
        <w:rPr>
          <w:rFonts w:ascii="Calibri" w:hAnsi="Calibri" w:cs="Calibri" w:eastAsia="Calibri"/>
          <w:color w:val="auto"/>
          <w:spacing w:val="0"/>
          <w:position w:val="0"/>
          <w:sz w:val="20"/>
          <w:shd w:fill="FFFF00" w:val="clear"/>
        </w:rPr>
      </w:pPr>
      <w:r>
        <w:rPr>
          <w:rFonts w:ascii="Calibri" w:hAnsi="Calibri" w:cs="Calibri" w:eastAsia="Calibri"/>
          <w:color w:val="auto"/>
          <w:spacing w:val="0"/>
          <w:position w:val="0"/>
          <w:sz w:val="20"/>
          <w:shd w:fill="auto" w:val="clear"/>
        </w:rPr>
        <w:t xml:space="preserve">Što se ti</w:t>
      </w:r>
      <w:r>
        <w:rPr>
          <w:rFonts w:ascii="Calibri" w:hAnsi="Calibri" w:cs="Calibri" w:eastAsia="Calibri"/>
          <w:color w:val="auto"/>
          <w:spacing w:val="0"/>
          <w:position w:val="0"/>
          <w:sz w:val="20"/>
          <w:shd w:fill="auto" w:val="clear"/>
        </w:rPr>
        <w:t xml:space="preserve">če drvne biomase, emisioni faktor primijenjen za baznu 2010. godinu iznosi 0.403 tCO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/MWh, dok je za kontrolnu 2020. godinu jednak nuli. Do ove promjene došlo je zbog toga što u baznoj godini u Tuzlanskom kantonu još nisu bili ispunjeni kriteriji održive proizvodnje ogrijevnog drveta, pa je za taj period ovaj energent svrstan u kategoriju neodržive drvne mase, za koju je propisan navedeni emisioni faktor. U 2011. godini je JP Šume tuzlanskog kantona uspješno završilo proces certificiranja i dobilo FSC certifikat koji izdaje </w:t>
      </w:r>
      <w:r>
        <w:rPr>
          <w:rFonts w:ascii="Calibri" w:hAnsi="Calibri" w:cs="Calibri" w:eastAsia="Calibri"/>
          <w:i/>
          <w:color w:val="auto"/>
          <w:spacing w:val="0"/>
          <w:position w:val="0"/>
          <w:sz w:val="20"/>
          <w:shd w:fill="auto" w:val="clear"/>
        </w:rPr>
        <w:t xml:space="preserve">Forest Stewardship Council</w:t>
      </w:r>
      <w:r>
        <w:rPr>
          <w:rFonts w:ascii="Calibri" w:hAnsi="Calibri" w:cs="Calibri" w:eastAsia="Calibri"/>
          <w:color w:val="auto"/>
          <w:spacing w:val="0"/>
          <w:position w:val="0"/>
          <w:sz w:val="20"/>
          <w:shd w:fill="auto" w:val="clear"/>
        </w:rPr>
        <w:t xml:space="preserve">, kojim se potvrđuje da ovo preduzeće ispunjava kriterije održivog upravljanja šumama na području Tuzlanskog kantona i održive proizvodnje drveta. Tome u prilog ide i projekat „</w:t>
      </w:r>
      <w:r>
        <w:rPr>
          <w:rFonts w:ascii="Calibri" w:hAnsi="Calibri" w:cs="Calibri" w:eastAsia="Calibri"/>
          <w:i/>
          <w:color w:val="auto"/>
          <w:spacing w:val="0"/>
          <w:position w:val="0"/>
          <w:sz w:val="20"/>
          <w:shd w:fill="auto" w:val="clear"/>
        </w:rPr>
        <w:t xml:space="preserve">Održivo upravljanje šumama i krajolikom</w:t>
      </w:r>
      <w:r>
        <w:rPr>
          <w:rFonts w:ascii="Calibri" w:hAnsi="Calibri" w:cs="Calibri" w:eastAsia="Calibri"/>
          <w:color w:val="auto"/>
          <w:spacing w:val="0"/>
          <w:position w:val="0"/>
          <w:sz w:val="20"/>
          <w:shd w:fill="auto" w:val="clear"/>
        </w:rPr>
        <w:t xml:space="preserve">“ koji je na području Bosne i Hercegovine u periodu od 2014. do 2019. godine realizirao UNDP u saradnji sa relevantnim institucijama. Svrha projekta je bilo jačanje kapaciteta subjekata šumarskog sektora u održivom upravljanju šumama, zemljištem i krajolikom, između ostalog uključujući i pošumljavanje i sanaciju ugroženih područja.</w:t>
      </w:r>
    </w:p>
    <w:p>
      <w:pPr>
        <w:keepNext w:val="true"/>
        <w:keepLines w:val="true"/>
        <w:numPr>
          <w:ilvl w:val="0"/>
          <w:numId w:val="468"/>
        </w:numPr>
        <w:spacing w:before="120" w:after="0" w:line="240"/>
        <w:ind w:right="0" w:left="862" w:hanging="862"/>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Metodologija procjene opasnosti, izloženosti i kapaciteta Op</w:t>
      </w:r>
      <w:r>
        <w:rPr>
          <w:rFonts w:ascii="Calibri" w:hAnsi="Calibri" w:cs="Calibri" w:eastAsia="Calibri"/>
          <w:b/>
          <w:color w:val="auto"/>
          <w:spacing w:val="0"/>
          <w:position w:val="0"/>
          <w:sz w:val="24"/>
          <w:shd w:fill="auto" w:val="clear"/>
        </w:rPr>
        <w:t xml:space="preserve">ćine Doboj Istok za prilagođavanje klimatskim promjenama</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Procjena opasnosti koje klimatske promjene donose i izloženosti op</w:t>
      </w:r>
      <w:r>
        <w:rPr>
          <w:rFonts w:ascii="Calibri" w:hAnsi="Calibri" w:cs="Calibri" w:eastAsia="Calibri"/>
          <w:color w:val="auto"/>
          <w:spacing w:val="0"/>
          <w:position w:val="0"/>
          <w:sz w:val="20"/>
          <w:shd w:fill="auto" w:val="clear"/>
        </w:rPr>
        <w:t xml:space="preserve">ćine Doboj Istok tim opasnostima, te procjena kapaciteta općine za prilagođavanje izvršena je prema smjernicama iz</w:t>
      </w:r>
      <w:r>
        <w:rPr>
          <w:rFonts w:ascii="Calibri" w:hAnsi="Calibri" w:cs="Calibri" w:eastAsia="Calibri"/>
          <w:i/>
          <w:color w:val="auto"/>
          <w:spacing w:val="0"/>
          <w:position w:val="0"/>
          <w:sz w:val="20"/>
          <w:shd w:fill="auto" w:val="clear"/>
        </w:rPr>
        <w:t xml:space="preserve"> Priručnika za izradu Akcionog plana održivog upravljanja energijom i prilagođavanja klimatskim promjenama</w:t>
      </w:r>
      <w:r>
        <w:rPr>
          <w:rFonts w:ascii="Calibri" w:hAnsi="Calibri" w:cs="Calibri" w:eastAsia="Calibri"/>
          <w:color w:val="auto"/>
          <w:spacing w:val="0"/>
          <w:position w:val="0"/>
          <w:sz w:val="20"/>
          <w:shd w:fill="auto" w:val="clear"/>
        </w:rPr>
        <w:t xml:space="preserve">, te korištenjem odgovarajućeg elektronskog alata koji na internet platformi Sporazuma gradonačelnika za klimu i energiju stoji na raspolaganju općinama i gradovima potpisnicima.  Osnovni koraci predviđeni ovim alatom su: </w:t>
      </w:r>
    </w:p>
    <w:p>
      <w:pPr>
        <w:numPr>
          <w:ilvl w:val="0"/>
          <w:numId w:val="470"/>
        </w:numPr>
        <w:spacing w:before="60" w:after="0" w:line="240"/>
        <w:ind w:right="0" w:left="714" w:hanging="357"/>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Odre</w:t>
      </w:r>
      <w:r>
        <w:rPr>
          <w:rFonts w:ascii="Calibri" w:hAnsi="Calibri" w:cs="Calibri" w:eastAsia="Calibri"/>
          <w:color w:val="auto"/>
          <w:spacing w:val="0"/>
          <w:position w:val="0"/>
          <w:sz w:val="20"/>
          <w:shd w:fill="auto" w:val="clear"/>
        </w:rPr>
        <w:t xml:space="preserve">đivanje opasnosti od posljedica klimatskih promjena, koje su relevantne za općinu Doboj Istok;</w:t>
      </w:r>
    </w:p>
    <w:p>
      <w:pPr>
        <w:numPr>
          <w:ilvl w:val="0"/>
          <w:numId w:val="470"/>
        </w:numPr>
        <w:spacing w:before="60" w:after="0" w:line="240"/>
        <w:ind w:right="0" w:left="714" w:hanging="357"/>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Odre</w:t>
      </w:r>
      <w:r>
        <w:rPr>
          <w:rFonts w:ascii="Calibri" w:hAnsi="Calibri" w:cs="Calibri" w:eastAsia="Calibri"/>
          <w:color w:val="auto"/>
          <w:spacing w:val="0"/>
          <w:position w:val="0"/>
          <w:sz w:val="20"/>
          <w:shd w:fill="auto" w:val="clear"/>
        </w:rPr>
        <w:t xml:space="preserve">đivanje glavnih sadašnjih i budućih karakteristika svake identificirane opasnosti (vjerovatnoća pojavljivanja, očekivane promjene intenziteta, vremenski period djelovanja); </w:t>
      </w:r>
    </w:p>
    <w:p>
      <w:pPr>
        <w:numPr>
          <w:ilvl w:val="0"/>
          <w:numId w:val="470"/>
        </w:numPr>
        <w:spacing w:before="60" w:after="0" w:line="240"/>
        <w:ind w:right="0" w:left="714" w:hanging="357"/>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Odre</w:t>
      </w:r>
      <w:r>
        <w:rPr>
          <w:rFonts w:ascii="Calibri" w:hAnsi="Calibri" w:cs="Calibri" w:eastAsia="Calibri"/>
          <w:color w:val="auto"/>
          <w:spacing w:val="0"/>
          <w:position w:val="0"/>
          <w:sz w:val="20"/>
          <w:shd w:fill="auto" w:val="clear"/>
        </w:rPr>
        <w:t xml:space="preserve">đivanje  socio-ekonomskih i prirodnih sektora koji su najizloženiji identificiranim opasnostima (zgrade, saobraćaj, energija, vodosnabdijevanje, upravljanje otpadom, planovi korištenja zemljišta, poljoprivreda i šumarstvo, okoliš i biodiverzitet, zdravlje, civilna zaštita i hitne službe, turizam, obrazovanje, informaciono-kominikacijske tehnologije), i nivoa njihove ugroženosti (visok, umjeren, nizak)</w:t>
      </w:r>
    </w:p>
    <w:p>
      <w:pPr>
        <w:numPr>
          <w:ilvl w:val="0"/>
          <w:numId w:val="470"/>
        </w:numPr>
        <w:spacing w:before="60" w:after="0" w:line="240"/>
        <w:ind w:right="0" w:left="714" w:hanging="357"/>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Odre</w:t>
      </w:r>
      <w:r>
        <w:rPr>
          <w:rFonts w:ascii="Calibri" w:hAnsi="Calibri" w:cs="Calibri" w:eastAsia="Calibri"/>
          <w:color w:val="auto"/>
          <w:spacing w:val="0"/>
          <w:position w:val="0"/>
          <w:sz w:val="20"/>
          <w:shd w:fill="auto" w:val="clear"/>
        </w:rPr>
        <w:t xml:space="preserve">đivanje najugroženijih ciljnih grupa u okviru svake identificirane opasnosti; i</w:t>
      </w:r>
    </w:p>
    <w:p>
      <w:pPr>
        <w:numPr>
          <w:ilvl w:val="0"/>
          <w:numId w:val="470"/>
        </w:numPr>
        <w:spacing w:before="60" w:after="0" w:line="240"/>
        <w:ind w:right="0" w:left="714" w:hanging="357"/>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Odre</w:t>
      </w:r>
      <w:r>
        <w:rPr>
          <w:rFonts w:ascii="Calibri" w:hAnsi="Calibri" w:cs="Calibri" w:eastAsia="Calibri"/>
          <w:color w:val="auto"/>
          <w:spacing w:val="0"/>
          <w:position w:val="0"/>
          <w:sz w:val="20"/>
          <w:shd w:fill="auto" w:val="clear"/>
        </w:rPr>
        <w:t xml:space="preserve">đivanje kapaciteta općine Doboj Istok za prilagođavanje na identificirane opasnosti, što podrazumijeva određivanje glavnih kategorija ovih kapaciteta (postojanje odgovarajućih javnih službi; raspoloživost socio-ekonomskih aktera; postojanje, usklađenost i implementacija zakonske regulative; postojanje fizičkih resursa; te postojanje znanja, metodologija, studija, sistema ranog upozoravanja, i slično).  </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Ulazni podaci i informacije koji su bili potrebni u toku vršenja navedenih procjena prikupljeni su iz slijede</w:t>
      </w:r>
      <w:r>
        <w:rPr>
          <w:rFonts w:ascii="Calibri" w:hAnsi="Calibri" w:cs="Calibri" w:eastAsia="Calibri"/>
          <w:color w:val="auto"/>
          <w:spacing w:val="0"/>
          <w:position w:val="0"/>
          <w:sz w:val="20"/>
          <w:shd w:fill="auto" w:val="clear"/>
        </w:rPr>
        <w:t xml:space="preserve">ćih izvora:</w:t>
      </w:r>
    </w:p>
    <w:p>
      <w:pPr>
        <w:numPr>
          <w:ilvl w:val="0"/>
          <w:numId w:val="472"/>
        </w:numPr>
        <w:spacing w:before="40" w:after="0" w:line="240"/>
        <w:ind w:right="0" w:left="720" w:hanging="36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Znanje i iskustvo </w:t>
      </w:r>
      <w:r>
        <w:rPr>
          <w:rFonts w:ascii="Calibri" w:hAnsi="Calibri" w:cs="Calibri" w:eastAsia="Calibri"/>
          <w:color w:val="auto"/>
          <w:spacing w:val="0"/>
          <w:position w:val="0"/>
          <w:sz w:val="20"/>
          <w:shd w:fill="auto" w:val="clear"/>
        </w:rPr>
        <w:t xml:space="preserve">članica i članova tima i savjetodavne grupe za izradu ovog akcionog plana, prikupljeno kroz odgovarajuće radionice i konsultacije; pri tome je od ključnog značaja bio doprinos članova savjetodavne grupe, koji su obezbijedili prezicne i konkretne informacije koje se odnose na uticaj prirodnih opasnosti na niz ključnih sektora kao što su npr. zdravstvo, obrazovanje, civilna zaštita itd; </w:t>
      </w:r>
    </w:p>
    <w:p>
      <w:pPr>
        <w:numPr>
          <w:ilvl w:val="0"/>
          <w:numId w:val="472"/>
        </w:numPr>
        <w:spacing w:before="40" w:after="0" w:line="240"/>
        <w:ind w:right="0" w:left="720" w:hanging="36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Relevantni strateški i planski dokumenti Op</w:t>
      </w:r>
      <w:r>
        <w:rPr>
          <w:rFonts w:ascii="Calibri" w:hAnsi="Calibri" w:cs="Calibri" w:eastAsia="Calibri"/>
          <w:color w:val="auto"/>
          <w:spacing w:val="0"/>
          <w:position w:val="0"/>
          <w:sz w:val="20"/>
          <w:shd w:fill="auto" w:val="clear"/>
        </w:rPr>
        <w:t xml:space="preserve">ćine Doboj Istok (</w:t>
      </w:r>
      <w:r>
        <w:rPr>
          <w:rFonts w:ascii="Calibri" w:hAnsi="Calibri" w:cs="Calibri" w:eastAsia="Calibri"/>
          <w:i/>
          <w:color w:val="auto"/>
          <w:spacing w:val="0"/>
          <w:position w:val="0"/>
          <w:sz w:val="20"/>
          <w:shd w:fill="auto" w:val="clear"/>
        </w:rPr>
        <w:t xml:space="preserve">Strategija integriranog razvoja Općine Doboj Istok 2011-2020 –revidirana strategija razvoja za  period 2017-2020. </w:t>
      </w:r>
      <w:r>
        <w:rPr>
          <w:rFonts w:ascii="Calibri" w:hAnsi="Calibri" w:cs="Calibri" w:eastAsia="Calibri"/>
          <w:color w:val="auto"/>
          <w:spacing w:val="0"/>
          <w:position w:val="0"/>
          <w:sz w:val="20"/>
          <w:shd w:fill="auto" w:val="clear"/>
        </w:rPr>
        <w:t xml:space="preserve">);</w:t>
      </w:r>
    </w:p>
    <w:p>
      <w:pPr>
        <w:numPr>
          <w:ilvl w:val="0"/>
          <w:numId w:val="472"/>
        </w:numPr>
        <w:spacing w:before="40" w:after="0" w:line="240"/>
        <w:ind w:right="0" w:left="720" w:hanging="36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Relevantne studije me</w:t>
      </w:r>
      <w:r>
        <w:rPr>
          <w:rFonts w:ascii="Calibri" w:hAnsi="Calibri" w:cs="Calibri" w:eastAsia="Calibri"/>
          <w:color w:val="auto"/>
          <w:spacing w:val="0"/>
          <w:position w:val="0"/>
          <w:sz w:val="20"/>
          <w:shd w:fill="auto" w:val="clear"/>
        </w:rPr>
        <w:t xml:space="preserve">đunarodnih razvojnih organizacija (UNDP BiH: Studija upravljanja rizikom od klizišta u BiH; Studija o procjeni rizika od poplava i klizišta za stambeni sektor u BiH; itd);</w:t>
      </w:r>
    </w:p>
    <w:p>
      <w:pPr>
        <w:numPr>
          <w:ilvl w:val="0"/>
          <w:numId w:val="472"/>
        </w:numPr>
        <w:spacing w:before="40" w:after="0" w:line="240"/>
        <w:ind w:right="0" w:left="720" w:hanging="36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Sistem za analizu rizika od katastrofa (engl. Disaster Risk Analysis System – DRAS); </w:t>
      </w:r>
    </w:p>
    <w:p>
      <w:pPr>
        <w:numPr>
          <w:ilvl w:val="0"/>
          <w:numId w:val="472"/>
        </w:numPr>
        <w:spacing w:before="40" w:after="0" w:line="240"/>
        <w:ind w:right="0" w:left="720" w:hanging="36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Federalni hidrometeorološki zavod;</w:t>
      </w:r>
    </w:p>
    <w:p>
      <w:pPr>
        <w:numPr>
          <w:ilvl w:val="0"/>
          <w:numId w:val="472"/>
        </w:numPr>
        <w:spacing w:before="40" w:after="0" w:line="240"/>
        <w:ind w:right="0" w:left="720" w:hanging="36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Drugi nacionalni izvještaj Bosne i Hercegovine u skladu s Okvirnom konvencijom Ujedinjenih nacija;</w:t>
      </w:r>
    </w:p>
    <w:p>
      <w:pPr>
        <w:numPr>
          <w:ilvl w:val="0"/>
          <w:numId w:val="472"/>
        </w:numPr>
        <w:spacing w:before="40" w:after="0" w:line="240"/>
        <w:ind w:right="0" w:left="714" w:hanging="357"/>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Tre</w:t>
      </w:r>
      <w:r>
        <w:rPr>
          <w:rFonts w:ascii="Calibri" w:hAnsi="Calibri" w:cs="Calibri" w:eastAsia="Calibri"/>
          <w:color w:val="auto"/>
          <w:spacing w:val="0"/>
          <w:position w:val="0"/>
          <w:sz w:val="20"/>
          <w:shd w:fill="auto" w:val="clear"/>
        </w:rPr>
        <w:t xml:space="preserve">ći nacionalni izvještaj i Drugi dvogodišnji izvještaj o emisiji stakleničkih plinova Bosne i Hercegovine;</w:t>
      </w:r>
    </w:p>
    <w:p>
      <w:pPr>
        <w:numPr>
          <w:ilvl w:val="0"/>
          <w:numId w:val="472"/>
        </w:numPr>
        <w:spacing w:before="40" w:after="0" w:line="240"/>
        <w:ind w:right="0" w:left="714" w:hanging="357"/>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Klimatski atlas Bosne i Hercegovine (temperature i padavine).</w:t>
      </w:r>
    </w:p>
    <w:p>
      <w:pPr>
        <w:spacing w:before="0" w:after="0" w:line="240"/>
        <w:ind w:right="0" w:left="360" w:firstLine="0"/>
        <w:jc w:val="both"/>
        <w:rPr>
          <w:rFonts w:ascii="Calibri" w:hAnsi="Calibri" w:cs="Calibri" w:eastAsia="Calibri"/>
          <w:color w:val="auto"/>
          <w:spacing w:val="0"/>
          <w:position w:val="0"/>
          <w:sz w:val="20"/>
          <w:shd w:fill="auto" w:val="clear"/>
        </w:rPr>
      </w:pPr>
    </w:p>
    <w:p>
      <w:pPr>
        <w:spacing w:before="0" w:after="0" w:line="240"/>
        <w:ind w:right="0" w:left="0" w:firstLine="0"/>
        <w:jc w:val="both"/>
        <w:rPr>
          <w:rFonts w:ascii="Calibri" w:hAnsi="Calibri" w:cs="Calibri" w:eastAsia="Calibri"/>
          <w:color w:val="auto"/>
          <w:spacing w:val="0"/>
          <w:position w:val="0"/>
          <w:sz w:val="20"/>
          <w:shd w:fill="FFFF00" w:val="clear"/>
        </w:rPr>
      </w:pPr>
    </w:p>
    <w:p>
      <w:pPr>
        <w:spacing w:before="0" w:after="0" w:line="240"/>
        <w:ind w:right="0" w:left="0" w:firstLine="0"/>
        <w:jc w:val="both"/>
        <w:rPr>
          <w:rFonts w:ascii="Calibri" w:hAnsi="Calibri" w:cs="Calibri" w:eastAsia="Calibri"/>
          <w:b/>
          <w:color w:val="auto"/>
          <w:spacing w:val="0"/>
          <w:position w:val="0"/>
          <w:sz w:val="28"/>
          <w:shd w:fill="FFFF00" w:val="clear"/>
        </w:rPr>
      </w:pPr>
      <w:r>
        <w:rPr>
          <w:rFonts w:ascii="Calibri" w:hAnsi="Calibri" w:cs="Calibri" w:eastAsia="Calibri"/>
          <w:b/>
          <w:color w:val="auto"/>
          <w:spacing w:val="0"/>
          <w:position w:val="0"/>
          <w:sz w:val="28"/>
          <w:shd w:fill="FFFF00" w:val="clear"/>
        </w:rPr>
        <w:t xml:space="preserve"> </w:t>
      </w:r>
    </w:p>
    <w:p>
      <w:pPr>
        <w:spacing w:before="0" w:after="0" w:line="240"/>
        <w:ind w:right="0" w:left="0" w:firstLine="0"/>
        <w:jc w:val="left"/>
        <w:rPr>
          <w:rFonts w:ascii="Calibri" w:hAnsi="Calibri" w:cs="Calibri" w:eastAsia="Calibri"/>
          <w:b/>
          <w:color w:val="auto"/>
          <w:spacing w:val="0"/>
          <w:position w:val="0"/>
          <w:sz w:val="28"/>
          <w:shd w:fill="FFFF00" w:val="clear"/>
        </w:rPr>
      </w:pPr>
    </w:p>
    <w:p>
      <w:pPr>
        <w:keepNext w:val="true"/>
        <w:keepLines w:val="true"/>
        <w:numPr>
          <w:ilvl w:val="0"/>
          <w:numId w:val="477"/>
        </w:numPr>
        <w:spacing w:before="360" w:after="0" w:line="240"/>
        <w:ind w:right="0" w:left="431" w:hanging="431"/>
        <w:jc w:val="both"/>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VIZIJA ODRŽIVE BUDU</w:t>
      </w:r>
      <w:r>
        <w:rPr>
          <w:rFonts w:ascii="Calibri" w:hAnsi="Calibri" w:cs="Calibri" w:eastAsia="Calibri"/>
          <w:b/>
          <w:color w:val="auto"/>
          <w:spacing w:val="0"/>
          <w:position w:val="0"/>
          <w:sz w:val="28"/>
          <w:shd w:fill="auto" w:val="clear"/>
        </w:rPr>
        <w:t xml:space="preserve">ĆNOSTI OPĆINE DOBOJ ISTOK I PRIPADAJUĆI CILJEVI</w:t>
      </w:r>
    </w:p>
    <w:p>
      <w:pPr>
        <w:spacing w:before="240" w:after="120" w:line="240"/>
        <w:ind w:right="0" w:left="0" w:firstLine="0"/>
        <w:jc w:val="both"/>
        <w:rPr>
          <w:rFonts w:ascii="Calibri" w:hAnsi="Calibri" w:cs="Calibri" w:eastAsia="Calibri"/>
          <w:color w:val="auto"/>
          <w:spacing w:val="0"/>
          <w:position w:val="0"/>
          <w:sz w:val="22"/>
          <w:shd w:fill="FFFF00" w:val="clear"/>
        </w:rPr>
      </w:pPr>
    </w:p>
    <w:p>
      <w:pPr>
        <w:spacing w:before="60" w:after="120" w:line="240"/>
        <w:ind w:right="0" w:left="0" w:firstLine="0"/>
        <w:jc w:val="both"/>
        <w:rPr>
          <w:rFonts w:ascii="Calibri" w:hAnsi="Calibri" w:cs="Calibri" w:eastAsia="Calibri"/>
          <w:color w:val="auto"/>
          <w:spacing w:val="0"/>
          <w:position w:val="0"/>
          <w:sz w:val="22"/>
          <w:shd w:fill="FFFF00" w:val="clear"/>
        </w:rPr>
      </w:pPr>
    </w:p>
    <w:p>
      <w:pPr>
        <w:spacing w:before="60" w:after="120" w:line="240"/>
        <w:ind w:right="0" w:left="0" w:firstLine="0"/>
        <w:jc w:val="both"/>
        <w:rPr>
          <w:rFonts w:ascii="Calibri" w:hAnsi="Calibri" w:cs="Calibri" w:eastAsia="Calibri"/>
          <w:color w:val="auto"/>
          <w:spacing w:val="0"/>
          <w:position w:val="0"/>
          <w:sz w:val="22"/>
          <w:shd w:fill="FFFF00" w:val="clear"/>
        </w:rPr>
      </w:pPr>
    </w:p>
    <w:p>
      <w:pPr>
        <w:spacing w:before="60" w:after="120" w:line="240"/>
        <w:ind w:right="0" w:left="0" w:firstLine="0"/>
        <w:jc w:val="both"/>
        <w:rPr>
          <w:rFonts w:ascii="Calibri" w:hAnsi="Calibri" w:cs="Calibri" w:eastAsia="Calibri"/>
          <w:color w:val="auto"/>
          <w:spacing w:val="0"/>
          <w:position w:val="0"/>
          <w:sz w:val="22"/>
          <w:shd w:fill="FFFF00" w:val="clear"/>
        </w:rPr>
      </w:pPr>
    </w:p>
    <w:p>
      <w:pPr>
        <w:spacing w:before="60" w:after="120" w:line="240"/>
        <w:ind w:right="0" w:left="0" w:firstLine="0"/>
        <w:jc w:val="both"/>
        <w:rPr>
          <w:rFonts w:ascii="Calibri" w:hAnsi="Calibri" w:cs="Calibri" w:eastAsia="Calibri"/>
          <w:color w:val="auto"/>
          <w:spacing w:val="0"/>
          <w:position w:val="0"/>
          <w:sz w:val="22"/>
          <w:shd w:fill="FFFF00" w:val="clear"/>
        </w:rPr>
      </w:pPr>
    </w:p>
    <w:p>
      <w:pPr>
        <w:spacing w:before="24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Postavljena vizija, kompatibilna sa obavezama koje je Op</w:t>
      </w:r>
      <w:r>
        <w:rPr>
          <w:rFonts w:ascii="Calibri" w:hAnsi="Calibri" w:cs="Calibri" w:eastAsia="Calibri"/>
          <w:color w:val="auto"/>
          <w:spacing w:val="0"/>
          <w:position w:val="0"/>
          <w:sz w:val="20"/>
          <w:shd w:fill="auto" w:val="clear"/>
        </w:rPr>
        <w:t xml:space="preserve">ćina Doboj Istok prihvatila kao potpisnik </w:t>
      </w:r>
      <w:r>
        <w:rPr>
          <w:rFonts w:ascii="Calibri" w:hAnsi="Calibri" w:cs="Calibri" w:eastAsia="Calibri"/>
          <w:i/>
          <w:color w:val="auto"/>
          <w:spacing w:val="0"/>
          <w:position w:val="0"/>
          <w:sz w:val="20"/>
          <w:shd w:fill="auto" w:val="clear"/>
        </w:rPr>
        <w:t xml:space="preserve">Sprazuma gradonačelnika za klimu i energiju, </w:t>
      </w:r>
      <w:r>
        <w:rPr>
          <w:rFonts w:ascii="Calibri" w:hAnsi="Calibri" w:cs="Calibri" w:eastAsia="Calibri"/>
          <w:color w:val="auto"/>
          <w:spacing w:val="0"/>
          <w:position w:val="0"/>
          <w:sz w:val="20"/>
          <w:shd w:fill="auto" w:val="clear"/>
        </w:rPr>
        <w:t xml:space="preserve">oslikava željeno stanje u budućnosti,  ističe opredijeljenost općine za održivi energetski razvoj i prilagođavanje klimatskim promjenama, u skladu sa principima Sporazuma gradonačelnika za klimu i energiju. </w:t>
      </w:r>
    </w:p>
    <w:p>
      <w:pPr>
        <w:spacing w:before="12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U skladu sa preporukama Sporazuma gradona</w:t>
      </w:r>
      <w:r>
        <w:rPr>
          <w:rFonts w:ascii="Calibri" w:hAnsi="Calibri" w:cs="Calibri" w:eastAsia="Calibri"/>
          <w:color w:val="auto"/>
          <w:spacing w:val="0"/>
          <w:position w:val="0"/>
          <w:sz w:val="20"/>
          <w:shd w:fill="auto" w:val="clear"/>
        </w:rPr>
        <w:t xml:space="preserve">čelnika određeni su i ciljevi Akcionog plana i to:</w:t>
      </w:r>
    </w:p>
    <w:p>
      <w:pPr>
        <w:numPr>
          <w:ilvl w:val="0"/>
          <w:numId w:val="482"/>
        </w:numPr>
        <w:spacing w:before="0" w:after="0" w:line="240"/>
        <w:ind w:right="0" w:left="714" w:hanging="357"/>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cilj povezan sa ublažavanjem posljedica klimatskih promjena; i</w:t>
      </w:r>
    </w:p>
    <w:p>
      <w:pPr>
        <w:numPr>
          <w:ilvl w:val="0"/>
          <w:numId w:val="482"/>
        </w:numPr>
        <w:spacing w:before="0" w:after="0" w:line="240"/>
        <w:ind w:right="0" w:left="714" w:hanging="357"/>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cilj povezan sa prilago</w:t>
      </w:r>
      <w:r>
        <w:rPr>
          <w:rFonts w:ascii="Calibri" w:hAnsi="Calibri" w:cs="Calibri" w:eastAsia="Calibri"/>
          <w:color w:val="auto"/>
          <w:spacing w:val="0"/>
          <w:position w:val="0"/>
          <w:sz w:val="20"/>
          <w:shd w:fill="auto" w:val="clear"/>
        </w:rPr>
        <w:t xml:space="preserve">đavanjem na klimatske promjene.</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Ciljevi Grada Tuzle predvi</w:t>
      </w:r>
      <w:r>
        <w:rPr>
          <w:rFonts w:ascii="Calibri" w:hAnsi="Calibri" w:cs="Calibri" w:eastAsia="Calibri"/>
          <w:color w:val="auto"/>
          <w:spacing w:val="0"/>
          <w:position w:val="0"/>
          <w:sz w:val="20"/>
          <w:shd w:fill="auto" w:val="clear"/>
        </w:rPr>
        <w:t xml:space="preserve">đeni ovim Akcionim planom su: </w:t>
      </w:r>
    </w:p>
    <w:p>
      <w:pPr>
        <w:numPr>
          <w:ilvl w:val="0"/>
          <w:numId w:val="484"/>
        </w:numPr>
        <w:spacing w:before="40" w:after="0" w:line="240"/>
        <w:ind w:right="0" w:left="714" w:hanging="357"/>
        <w:jc w:val="both"/>
        <w:rPr>
          <w:rFonts w:ascii="Calibri" w:hAnsi="Calibri" w:cs="Calibri" w:eastAsia="Calibri"/>
          <w:b/>
          <w:color w:val="auto"/>
          <w:spacing w:val="0"/>
          <w:position w:val="0"/>
          <w:sz w:val="20"/>
          <w:shd w:fill="auto" w:val="clear"/>
        </w:rPr>
      </w:pPr>
      <w:r>
        <w:rPr>
          <w:rFonts w:ascii="Calibri" w:hAnsi="Calibri" w:cs="Calibri" w:eastAsia="Calibri"/>
          <w:b/>
          <w:color w:val="auto"/>
          <w:spacing w:val="0"/>
          <w:position w:val="0"/>
          <w:sz w:val="20"/>
          <w:shd w:fill="auto" w:val="clear"/>
        </w:rPr>
        <w:t xml:space="preserve">smanjenje emisija CO</w:t>
      </w:r>
      <w:r>
        <w:rPr>
          <w:rFonts w:ascii="Calibri" w:hAnsi="Calibri" w:cs="Calibri" w:eastAsia="Calibri"/>
          <w:b/>
          <w:color w:val="auto"/>
          <w:spacing w:val="0"/>
          <w:position w:val="0"/>
          <w:sz w:val="20"/>
          <w:shd w:fill="auto" w:val="clear"/>
          <w:vertAlign w:val="subscript"/>
        </w:rPr>
        <w:t xml:space="preserve">2</w:t>
      </w:r>
      <w:r>
        <w:rPr>
          <w:rFonts w:ascii="Calibri" w:hAnsi="Calibri" w:cs="Calibri" w:eastAsia="Calibri"/>
          <w:b/>
          <w:color w:val="auto"/>
          <w:spacing w:val="0"/>
          <w:position w:val="0"/>
          <w:sz w:val="20"/>
          <w:shd w:fill="auto" w:val="clear"/>
        </w:rPr>
        <w:t xml:space="preserve"> za najmanje 40% do 2030. godine u odnosu na bazni inventar emisija iz 2010. godine; </w:t>
      </w:r>
      <w:r>
        <w:rPr>
          <w:rFonts w:ascii="Calibri" w:hAnsi="Calibri" w:cs="Calibri" w:eastAsia="Calibri"/>
          <w:color w:val="auto"/>
          <w:spacing w:val="0"/>
          <w:position w:val="0"/>
          <w:sz w:val="20"/>
          <w:shd w:fill="auto" w:val="clear"/>
        </w:rPr>
        <w:t xml:space="preserve">i</w:t>
      </w:r>
    </w:p>
    <w:p>
      <w:pPr>
        <w:numPr>
          <w:ilvl w:val="0"/>
          <w:numId w:val="484"/>
        </w:numPr>
        <w:spacing w:before="40" w:after="0" w:line="240"/>
        <w:ind w:right="0" w:left="720" w:hanging="360"/>
        <w:jc w:val="both"/>
        <w:rPr>
          <w:rFonts w:ascii="Calibri" w:hAnsi="Calibri" w:cs="Calibri" w:eastAsia="Calibri"/>
          <w:b/>
          <w:color w:val="auto"/>
          <w:spacing w:val="0"/>
          <w:position w:val="0"/>
          <w:sz w:val="20"/>
          <w:shd w:fill="auto" w:val="clear"/>
        </w:rPr>
      </w:pPr>
      <w:r>
        <w:rPr>
          <w:rFonts w:ascii="Calibri" w:hAnsi="Calibri" w:cs="Calibri" w:eastAsia="Calibri"/>
          <w:b/>
          <w:color w:val="auto"/>
          <w:spacing w:val="0"/>
          <w:position w:val="0"/>
          <w:sz w:val="20"/>
          <w:shd w:fill="auto" w:val="clear"/>
        </w:rPr>
        <w:t xml:space="preserve">smanjen broj nesre</w:t>
      </w:r>
      <w:r>
        <w:rPr>
          <w:rFonts w:ascii="Calibri" w:hAnsi="Calibri" w:cs="Calibri" w:eastAsia="Calibri"/>
          <w:b/>
          <w:color w:val="auto"/>
          <w:spacing w:val="0"/>
          <w:position w:val="0"/>
          <w:sz w:val="20"/>
          <w:shd w:fill="auto" w:val="clear"/>
        </w:rPr>
        <w:t xml:space="preserve">ća usljed opasnosti od posljedica klimatskih promjena koje ugrožavaju život i zdravlje ljudi te dovode do velikih materijalnih šteta, za 80% do 2030. godine.</w:t>
      </w:r>
    </w:p>
    <w:p>
      <w:pPr>
        <w:keepNext w:val="true"/>
        <w:keepLines w:val="true"/>
        <w:numPr>
          <w:ilvl w:val="0"/>
          <w:numId w:val="484"/>
        </w:numPr>
        <w:spacing w:before="360" w:after="0" w:line="240"/>
        <w:ind w:right="0" w:left="431" w:hanging="431"/>
        <w:jc w:val="both"/>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UBLAŽAVANJE EFEKATA KLIMATSKIH PROMJENA </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Prema </w:t>
      </w:r>
      <w:r>
        <w:rPr>
          <w:rFonts w:ascii="Calibri" w:hAnsi="Calibri" w:cs="Calibri" w:eastAsia="Calibri"/>
          <w:i/>
          <w:color w:val="auto"/>
          <w:spacing w:val="0"/>
          <w:position w:val="0"/>
          <w:sz w:val="20"/>
          <w:shd w:fill="auto" w:val="clear"/>
        </w:rPr>
        <w:t xml:space="preserve">Popisu stanovništva, doma</w:t>
      </w:r>
      <w:r>
        <w:rPr>
          <w:rFonts w:ascii="Calibri" w:hAnsi="Calibri" w:cs="Calibri" w:eastAsia="Calibri"/>
          <w:i/>
          <w:color w:val="auto"/>
          <w:spacing w:val="0"/>
          <w:position w:val="0"/>
          <w:sz w:val="20"/>
          <w:shd w:fill="auto" w:val="clear"/>
        </w:rPr>
        <w:t xml:space="preserve">ćinstava i stanova Bosne i Hercegovine</w:t>
      </w:r>
      <w:r>
        <w:rPr>
          <w:rFonts w:ascii="Calibri" w:hAnsi="Calibri" w:cs="Calibri" w:eastAsia="Calibri"/>
          <w:color w:val="auto"/>
          <w:spacing w:val="0"/>
          <w:position w:val="0"/>
          <w:sz w:val="20"/>
          <w:shd w:fill="auto" w:val="clear"/>
        </w:rPr>
        <w:t xml:space="preserve">, Općina Doboj Istok je u 2013. godini imala 10.248 stanovnika, dok je prema podacima Federalnog zavoda za statistiku, sredinom 2019. godine broj stanovnika bio 9.879. Većina stanovništva živi u ruralnim područjima. Grijanje stambenih, javnih i poslovnih zgrada vrši se putem centralnih sistema sa vlastitim kotlovnicama ili individualnim pećima, pri čemu se kao energent najviše koristi ugalj koji najviše doprinosi lošem kvalitetu zraka u zimskom periodu.</w:t>
      </w:r>
    </w:p>
    <w:p>
      <w:pPr>
        <w:keepNext w:val="true"/>
        <w:keepLines w:val="true"/>
        <w:numPr>
          <w:ilvl w:val="0"/>
          <w:numId w:val="488"/>
        </w:numPr>
        <w:spacing w:before="240" w:after="0" w:line="240"/>
        <w:ind w:right="0" w:left="578" w:hanging="578"/>
        <w:jc w:val="both"/>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Prora</w:t>
      </w:r>
      <w:r>
        <w:rPr>
          <w:rFonts w:ascii="Calibri" w:hAnsi="Calibri" w:cs="Calibri" w:eastAsia="Calibri"/>
          <w:b/>
          <w:color w:val="auto"/>
          <w:spacing w:val="0"/>
          <w:position w:val="0"/>
          <w:sz w:val="28"/>
          <w:shd w:fill="auto" w:val="clear"/>
        </w:rPr>
        <w:t xml:space="preserve">čun baznog inventara emisija CO</w:t>
      </w:r>
      <w:r>
        <w:rPr>
          <w:rFonts w:ascii="Calibri" w:hAnsi="Calibri" w:cs="Calibri" w:eastAsia="Calibri"/>
          <w:b/>
          <w:color w:val="auto"/>
          <w:spacing w:val="0"/>
          <w:position w:val="0"/>
          <w:sz w:val="28"/>
          <w:shd w:fill="auto" w:val="clear"/>
          <w:vertAlign w:val="subscript"/>
        </w:rPr>
        <w:t xml:space="preserve">2</w:t>
      </w:r>
      <w:r>
        <w:rPr>
          <w:rFonts w:ascii="Calibri" w:hAnsi="Calibri" w:cs="Calibri" w:eastAsia="Calibri"/>
          <w:b/>
          <w:color w:val="auto"/>
          <w:spacing w:val="0"/>
          <w:position w:val="0"/>
          <w:sz w:val="28"/>
          <w:shd w:fill="auto" w:val="clear"/>
        </w:rPr>
        <w:t xml:space="preserve"> u 2010. godini</w:t>
      </w:r>
    </w:p>
    <w:p>
      <w:pPr>
        <w:keepNext w:val="true"/>
        <w:keepLines w:val="true"/>
        <w:numPr>
          <w:ilvl w:val="0"/>
          <w:numId w:val="488"/>
        </w:numPr>
        <w:spacing w:before="120" w:after="0" w:line="240"/>
        <w:ind w:right="0" w:left="720" w:hanging="72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Emisije CO</w:t>
      </w:r>
      <w:r>
        <w:rPr>
          <w:rFonts w:ascii="Calibri" w:hAnsi="Calibri" w:cs="Calibri" w:eastAsia="Calibri"/>
          <w:b/>
          <w:color w:val="auto"/>
          <w:spacing w:val="0"/>
          <w:position w:val="0"/>
          <w:sz w:val="24"/>
          <w:shd w:fill="auto" w:val="clear"/>
          <w:vertAlign w:val="subscript"/>
        </w:rPr>
        <w:t xml:space="preserve">2</w:t>
      </w:r>
      <w:r>
        <w:rPr>
          <w:rFonts w:ascii="Calibri" w:hAnsi="Calibri" w:cs="Calibri" w:eastAsia="Calibri"/>
          <w:b/>
          <w:color w:val="auto"/>
          <w:spacing w:val="0"/>
          <w:position w:val="0"/>
          <w:sz w:val="24"/>
          <w:shd w:fill="auto" w:val="clear"/>
        </w:rPr>
        <w:t xml:space="preserve"> u baznoj godini iz sektora zgradarstva</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Prora</w:t>
      </w:r>
      <w:r>
        <w:rPr>
          <w:rFonts w:ascii="Calibri" w:hAnsi="Calibri" w:cs="Calibri" w:eastAsia="Calibri"/>
          <w:color w:val="auto"/>
          <w:spacing w:val="0"/>
          <w:position w:val="0"/>
          <w:sz w:val="20"/>
          <w:shd w:fill="auto" w:val="clear"/>
        </w:rPr>
        <w:t xml:space="preserve">čun baznog inventara emisija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u ovom sektoru obuhvatio je zgrade iz sva tri razmatrana podsektora – javne zgrade u vlasništvu Općine, javne zgrade koje nisu u vlasništvu Općine, i stambene zgrade. </w:t>
      </w:r>
    </w:p>
    <w:p>
      <w:pPr>
        <w:spacing w:before="60" w:after="0" w:line="240"/>
        <w:ind w:right="0" w:left="0" w:firstLine="0"/>
        <w:jc w:val="both"/>
        <w:rPr>
          <w:rFonts w:ascii="Calibri" w:hAnsi="Calibri" w:cs="Calibri" w:eastAsia="Calibri"/>
          <w:i/>
          <w:color w:val="auto"/>
          <w:spacing w:val="0"/>
          <w:position w:val="0"/>
          <w:sz w:val="20"/>
          <w:shd w:fill="auto" w:val="clear"/>
        </w:rPr>
      </w:pPr>
      <w:r>
        <w:rPr>
          <w:rFonts w:ascii="Calibri" w:hAnsi="Calibri" w:cs="Calibri" w:eastAsia="Calibri"/>
          <w:color w:val="auto"/>
          <w:spacing w:val="0"/>
          <w:position w:val="0"/>
          <w:sz w:val="20"/>
          <w:shd w:fill="auto" w:val="clear"/>
        </w:rPr>
        <w:t xml:space="preserve">Ovim prora</w:t>
      </w:r>
      <w:r>
        <w:rPr>
          <w:rFonts w:ascii="Calibri" w:hAnsi="Calibri" w:cs="Calibri" w:eastAsia="Calibri"/>
          <w:color w:val="auto"/>
          <w:spacing w:val="0"/>
          <w:position w:val="0"/>
          <w:sz w:val="20"/>
          <w:shd w:fill="auto" w:val="clear"/>
        </w:rPr>
        <w:t xml:space="preserve">čunom su obuhvaćene sve javne zgrade koje su na području grada izgrađene prije 2010. godine i koje su te godine bile u funkciji. U procesu prikupljanja ulaznih podataka registrirane su ukupno 23 takve zgrade, od kojih je 14 u vlasništvu Općine, dok je 9 u vlasništvu Tuzlanskog kantona, Federacije BiH ili vlasti na nivou Bosne i Hercegovine. Lista ovih zgrada, sa svim prikupljenim ulaznim podacima, daa je u okviru </w:t>
      </w:r>
      <w:r>
        <w:rPr>
          <w:rFonts w:ascii="Calibri" w:hAnsi="Calibri" w:cs="Calibri" w:eastAsia="Calibri"/>
          <w:i/>
          <w:color w:val="auto"/>
          <w:spacing w:val="0"/>
          <w:position w:val="0"/>
          <w:sz w:val="20"/>
          <w:u w:val="single"/>
          <w:shd w:fill="auto" w:val="clear"/>
        </w:rPr>
        <w:t xml:space="preserve">Priloga 3</w:t>
      </w:r>
      <w:r>
        <w:rPr>
          <w:rFonts w:ascii="Calibri" w:hAnsi="Calibri" w:cs="Calibri" w:eastAsia="Calibri"/>
          <w:i/>
          <w:color w:val="auto"/>
          <w:spacing w:val="0"/>
          <w:position w:val="0"/>
          <w:sz w:val="20"/>
          <w:shd w:fill="auto" w:val="clear"/>
        </w:rPr>
        <w:t xml:space="preserve"> – Liste javnih zgrada na području općine Doboj Istok. </w:t>
      </w:r>
    </w:p>
    <w:p>
      <w:pPr>
        <w:spacing w:before="60" w:after="0" w:line="240"/>
        <w:ind w:right="0" w:left="0" w:firstLine="0"/>
        <w:jc w:val="both"/>
        <w:rPr>
          <w:rFonts w:ascii="Calibri" w:hAnsi="Calibri" w:cs="Calibri" w:eastAsia="Calibri"/>
          <w:color w:val="auto"/>
          <w:spacing w:val="0"/>
          <w:position w:val="0"/>
          <w:sz w:val="20"/>
          <w:shd w:fill="FFFF00" w:val="clear"/>
        </w:rPr>
      </w:pPr>
      <w:r>
        <w:rPr>
          <w:rFonts w:ascii="Calibri" w:hAnsi="Calibri" w:cs="Calibri" w:eastAsia="Calibri"/>
          <w:color w:val="auto"/>
          <w:spacing w:val="0"/>
          <w:position w:val="0"/>
          <w:sz w:val="20"/>
          <w:shd w:fill="auto" w:val="clear"/>
        </w:rPr>
        <w:t xml:space="preserve">Što se ti</w:t>
      </w:r>
      <w:r>
        <w:rPr>
          <w:rFonts w:ascii="Calibri" w:hAnsi="Calibri" w:cs="Calibri" w:eastAsia="Calibri"/>
          <w:color w:val="auto"/>
          <w:spacing w:val="0"/>
          <w:position w:val="0"/>
          <w:sz w:val="20"/>
          <w:shd w:fill="auto" w:val="clear"/>
        </w:rPr>
        <w:t xml:space="preserve">če stambenih zgrada, ovim proračunom za baznu godinu obuhvaćene su sve stambene zgrade na području općine, koje su prema Popisu iz 2013. godine bile izgrađene do 2010. godine.</w:t>
      </w:r>
    </w:p>
    <w:p>
      <w:pPr>
        <w:keepNext w:val="true"/>
        <w:keepLines w:val="true"/>
        <w:numPr>
          <w:ilvl w:val="0"/>
          <w:numId w:val="491"/>
        </w:numPr>
        <w:spacing w:before="120" w:after="0" w:line="240"/>
        <w:ind w:right="0" w:left="862" w:hanging="862"/>
        <w:jc w:val="both"/>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Emisije CO</w:t>
      </w:r>
      <w:r>
        <w:rPr>
          <w:rFonts w:ascii="Calibri" w:hAnsi="Calibri" w:cs="Calibri" w:eastAsia="Calibri"/>
          <w:b/>
          <w:color w:val="auto"/>
          <w:spacing w:val="0"/>
          <w:position w:val="0"/>
          <w:sz w:val="22"/>
          <w:shd w:fill="auto" w:val="clear"/>
          <w:vertAlign w:val="subscript"/>
        </w:rPr>
        <w:t xml:space="preserve">2</w:t>
      </w:r>
      <w:r>
        <w:rPr>
          <w:rFonts w:ascii="Calibri" w:hAnsi="Calibri" w:cs="Calibri" w:eastAsia="Calibri"/>
          <w:b/>
          <w:color w:val="auto"/>
          <w:spacing w:val="0"/>
          <w:position w:val="0"/>
          <w:sz w:val="22"/>
          <w:shd w:fill="auto" w:val="clear"/>
        </w:rPr>
        <w:t xml:space="preserve"> u baznoj godini iz podsektora javnih zgrada u vlasništvu Op</w:t>
      </w:r>
      <w:r>
        <w:rPr>
          <w:rFonts w:ascii="Calibri" w:hAnsi="Calibri" w:cs="Calibri" w:eastAsia="Calibri"/>
          <w:b/>
          <w:color w:val="auto"/>
          <w:spacing w:val="0"/>
          <w:position w:val="0"/>
          <w:sz w:val="22"/>
          <w:shd w:fill="auto" w:val="clear"/>
        </w:rPr>
        <w:t xml:space="preserve">ćine</w:t>
      </w:r>
    </w:p>
    <w:p>
      <w:pPr>
        <w:spacing w:before="60" w:after="12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Ukupna grijana površina 14 javnih zgrada u vlasništvu Op</w:t>
      </w:r>
      <w:r>
        <w:rPr>
          <w:rFonts w:ascii="Calibri" w:hAnsi="Calibri" w:cs="Calibri" w:eastAsia="Calibri"/>
          <w:color w:val="auto"/>
          <w:spacing w:val="0"/>
          <w:position w:val="0"/>
          <w:sz w:val="20"/>
          <w:shd w:fill="auto" w:val="clear"/>
        </w:rPr>
        <w:t xml:space="preserve">ćine dobivena je na osnovu prikupljenih ulaznih podataka o njihovim opštim, građevinskim i energetskim karakteristikama. Vrijednosti dobivenih grijanih površina za ovaj podsektor zgrada, razvrstane prema namjeni zgrada i energentima koji su u 2010. godini korišteni za njihovo zagrijavanje, date su u narednoj tabeli.</w:t>
      </w:r>
    </w:p>
    <w:p>
      <w:pPr>
        <w:spacing w:before="60" w:after="120" w:line="240"/>
        <w:ind w:right="0" w:left="0" w:firstLine="0"/>
        <w:jc w:val="both"/>
        <w:rPr>
          <w:rFonts w:ascii="Calibri" w:hAnsi="Calibri" w:cs="Calibri" w:eastAsia="Calibri"/>
          <w:color w:val="auto"/>
          <w:spacing w:val="0"/>
          <w:position w:val="0"/>
          <w:sz w:val="20"/>
          <w:shd w:fill="auto" w:val="clear"/>
        </w:rPr>
      </w:pPr>
    </w:p>
    <w:tbl>
      <w:tblPr/>
      <w:tblGrid>
        <w:gridCol w:w="470"/>
        <w:gridCol w:w="2384"/>
        <w:gridCol w:w="1270"/>
        <w:gridCol w:w="1112"/>
        <w:gridCol w:w="1112"/>
        <w:gridCol w:w="1432"/>
        <w:gridCol w:w="1595"/>
      </w:tblGrid>
      <w:tr>
        <w:trPr>
          <w:trHeight w:val="340" w:hRule="auto"/>
          <w:jc w:val="left"/>
        </w:trPr>
        <w:tc>
          <w:tcPr>
            <w:tcW w:w="9375" w:type="dxa"/>
            <w:gridSpan w:val="7"/>
            <w:tcBorders>
              <w:top w:val="single" w:color="000000" w:sz="4"/>
              <w:left w:val="single" w:color="000000" w:sz="4"/>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GRIJANA POVRŠINA [m</w:t>
            </w:r>
            <w:r>
              <w:rPr>
                <w:rFonts w:ascii="Calibri" w:hAnsi="Calibri" w:cs="Calibri" w:eastAsia="Calibri"/>
                <w:color w:val="000000"/>
                <w:spacing w:val="0"/>
                <w:position w:val="0"/>
                <w:sz w:val="18"/>
                <w:shd w:fill="auto" w:val="clear"/>
                <w:vertAlign w:val="superscript"/>
              </w:rPr>
              <w:t xml:space="preserve">2</w:t>
            </w:r>
            <w:r>
              <w:rPr>
                <w:rFonts w:ascii="Calibri" w:hAnsi="Calibri" w:cs="Calibri" w:eastAsia="Calibri"/>
                <w:color w:val="000000"/>
                <w:spacing w:val="0"/>
                <w:position w:val="0"/>
                <w:sz w:val="18"/>
                <w:shd w:fill="auto" w:val="clear"/>
              </w:rPr>
              <w:t xml:space="preserve">]</w:t>
            </w:r>
          </w:p>
        </w:tc>
      </w:tr>
      <w:tr>
        <w:trPr>
          <w:trHeight w:val="16" w:hRule="auto"/>
          <w:jc w:val="left"/>
        </w:trPr>
        <w:tc>
          <w:tcPr>
            <w:tcW w:w="2854" w:type="dxa"/>
            <w:gridSpan w:val="2"/>
            <w:vMerge w:val="restart"/>
            <w:tcBorders>
              <w:top w:val="single" w:color="000000" w:sz="4"/>
              <w:left w:val="single" w:color="000000" w:sz="4"/>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VRSTA ENERGENTA</w:t>
            </w:r>
          </w:p>
        </w:tc>
        <w:tc>
          <w:tcPr>
            <w:tcW w:w="1270" w:type="dxa"/>
            <w:vMerge w:val="restart"/>
            <w:tcBorders>
              <w:top w:val="single" w:color="000000" w:sz="0"/>
              <w:left w:val="single" w:color="000000" w:sz="4"/>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ELEKTRI</w:t>
            </w:r>
            <w:r>
              <w:rPr>
                <w:rFonts w:ascii="Calibri" w:hAnsi="Calibri" w:cs="Calibri" w:eastAsia="Calibri"/>
                <w:color w:val="000000"/>
                <w:spacing w:val="0"/>
                <w:position w:val="0"/>
                <w:sz w:val="18"/>
                <w:shd w:fill="auto" w:val="clear"/>
              </w:rPr>
              <w:t xml:space="preserve">ČNA ENERGIJA</w:t>
            </w:r>
          </w:p>
        </w:tc>
        <w:tc>
          <w:tcPr>
            <w:tcW w:w="2224" w:type="dxa"/>
            <w:gridSpan w:val="2"/>
            <w:tcBorders>
              <w:top w:val="single" w:color="000000" w:sz="0"/>
              <w:left w:val="single" w:color="000000" w:sz="0"/>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FOSILNA GORIVA</w:t>
            </w:r>
          </w:p>
        </w:tc>
        <w:tc>
          <w:tcPr>
            <w:tcW w:w="1432" w:type="dxa"/>
            <w:tcBorders>
              <w:top w:val="single" w:color="000000" w:sz="0"/>
              <w:left w:val="single" w:color="000000" w:sz="4"/>
              <w:bottom w:val="single" w:color="000000" w:sz="4"/>
              <w:right w:val="single" w:color="000000" w:sz="4"/>
            </w:tcBorders>
            <w:shd w:color="auto" w:fill="bdd7ee" w:val="clear"/>
            <w:tcMar>
              <w:left w:w="44" w:type="dxa"/>
              <w:right w:w="44"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OBNOVLJIVI IZVORI ENERGIJE</w:t>
            </w:r>
          </w:p>
        </w:tc>
        <w:tc>
          <w:tcPr>
            <w:tcW w:w="1595" w:type="dxa"/>
            <w:vMerge w:val="restart"/>
            <w:tcBorders>
              <w:top w:val="single" w:color="000000" w:sz="0"/>
              <w:left w:val="single" w:color="000000" w:sz="4"/>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UKUPNA GRIJANA POVRŠINA</w:t>
            </w:r>
          </w:p>
        </w:tc>
      </w:tr>
      <w:tr>
        <w:trPr>
          <w:trHeight w:val="16" w:hRule="auto"/>
          <w:jc w:val="left"/>
        </w:trPr>
        <w:tc>
          <w:tcPr>
            <w:tcW w:w="2854" w:type="dxa"/>
            <w:gridSpan w:val="2"/>
            <w:vMerge/>
            <w:tcBorders>
              <w:top w:val="single" w:color="000000" w:sz="4"/>
              <w:left w:val="single" w:color="000000" w:sz="4"/>
              <w:bottom w:val="single" w:color="000000" w:sz="4"/>
              <w:right w:val="single" w:color="000000" w:sz="4"/>
            </w:tcBorders>
            <w:shd w:color="000000" w:fill="ffffff" w:val="clear"/>
            <w:tcMar>
              <w:left w:w="44" w:type="dxa"/>
              <w:right w:w="44"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270" w:type="dxa"/>
            <w:vMerge/>
            <w:tcBorders>
              <w:top w:val="single" w:color="000000" w:sz="0"/>
              <w:left w:val="single" w:color="000000" w:sz="4"/>
              <w:bottom w:val="single" w:color="000000" w:sz="4"/>
              <w:right w:val="single" w:color="000000" w:sz="4"/>
            </w:tcBorders>
            <w:shd w:color="000000" w:fill="ffffff" w:val="clear"/>
            <w:tcMar>
              <w:left w:w="44" w:type="dxa"/>
              <w:right w:w="44"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112" w:type="dxa"/>
            <w:tcBorders>
              <w:top w:val="single" w:color="000000" w:sz="0"/>
              <w:left w:val="single" w:color="000000" w:sz="0"/>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LIGNIT</w:t>
            </w:r>
          </w:p>
        </w:tc>
        <w:tc>
          <w:tcPr>
            <w:tcW w:w="1112" w:type="dxa"/>
            <w:tcBorders>
              <w:top w:val="single" w:color="000000" w:sz="0"/>
              <w:left w:val="single" w:color="000000" w:sz="0"/>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MRKI UGALJ</w:t>
            </w:r>
          </w:p>
        </w:tc>
        <w:tc>
          <w:tcPr>
            <w:tcW w:w="1432" w:type="dxa"/>
            <w:tcBorders>
              <w:top w:val="single" w:color="000000" w:sz="0"/>
              <w:left w:val="single" w:color="000000" w:sz="4"/>
              <w:bottom w:val="single" w:color="000000" w:sz="4"/>
              <w:right w:val="single" w:color="000000" w:sz="4"/>
            </w:tcBorders>
            <w:shd w:color="auto" w:fill="bdd6ee" w:val="clear"/>
            <w:tcMar>
              <w:left w:w="44" w:type="dxa"/>
              <w:right w:w="44"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BIOMASA</w:t>
            </w:r>
          </w:p>
        </w:tc>
        <w:tc>
          <w:tcPr>
            <w:tcW w:w="1595" w:type="dxa"/>
            <w:vMerge/>
            <w:tcBorders>
              <w:top w:val="single" w:color="000000" w:sz="0"/>
              <w:left w:val="single" w:color="000000" w:sz="4"/>
              <w:bottom w:val="single" w:color="000000" w:sz="4"/>
              <w:right w:val="single" w:color="000000" w:sz="4"/>
            </w:tcBorders>
            <w:shd w:color="000000" w:fill="ffffff" w:val="clear"/>
            <w:tcMar>
              <w:left w:w="44" w:type="dxa"/>
              <w:right w:w="44"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r>
      <w:tr>
        <w:trPr>
          <w:trHeight w:val="16" w:hRule="auto"/>
          <w:jc w:val="left"/>
        </w:trPr>
        <w:tc>
          <w:tcPr>
            <w:tcW w:w="470" w:type="dxa"/>
            <w:vMerge w:val="restart"/>
            <w:tcBorders>
              <w:top w:val="single" w:color="000000" w:sz="0"/>
              <w:left w:val="single" w:color="000000" w:sz="4"/>
              <w:bottom w:val="single" w:color="000000" w:sz="4"/>
              <w:right w:val="single" w:color="000000" w:sz="4"/>
            </w:tcBorders>
            <w:shd w:color="auto" w:fill="b4c6e7"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NAMJENA ZGRADE</w:t>
            </w:r>
          </w:p>
        </w:tc>
        <w:tc>
          <w:tcPr>
            <w:tcW w:w="2384" w:type="dxa"/>
            <w:tcBorders>
              <w:top w:val="single" w:color="000000" w:sz="0"/>
              <w:left w:val="single" w:color="000000" w:sz="0"/>
              <w:bottom w:val="single" w:color="000000" w:sz="4"/>
              <w:right w:val="single" w:color="000000" w:sz="4"/>
            </w:tcBorders>
            <w:shd w:color="auto" w:fill="b4c6e7" w:val="clear"/>
            <w:tcMar>
              <w:left w:w="44" w:type="dxa"/>
              <w:right w:w="44"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PREDŠKOLSKI ODGOJ</w:t>
            </w:r>
          </w:p>
        </w:tc>
        <w:tc>
          <w:tcPr>
            <w:tcW w:w="1270" w:type="dxa"/>
            <w:tcBorders>
              <w:top w:val="single" w:color="000000" w:sz="4"/>
              <w:left w:val="single" w:color="000000" w:sz="4"/>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112" w:type="dxa"/>
            <w:tcBorders>
              <w:top w:val="single" w:color="000000" w:sz="4"/>
              <w:left w:val="single" w:color="000000" w:sz="4"/>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205,35</w:t>
            </w:r>
          </w:p>
        </w:tc>
        <w:tc>
          <w:tcPr>
            <w:tcW w:w="1112" w:type="dxa"/>
            <w:tcBorders>
              <w:top w:val="single" w:color="000000" w:sz="4"/>
              <w:left w:val="single" w:color="000000" w:sz="0"/>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205,35</w:t>
            </w:r>
          </w:p>
        </w:tc>
        <w:tc>
          <w:tcPr>
            <w:tcW w:w="1432" w:type="dxa"/>
            <w:tcBorders>
              <w:top w:val="single" w:color="000000" w:sz="4"/>
              <w:left w:val="single" w:color="000000" w:sz="0"/>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595" w:type="dxa"/>
            <w:tcBorders>
              <w:top w:val="single" w:color="000000" w:sz="4"/>
              <w:left w:val="single" w:color="000000" w:sz="4"/>
              <w:bottom w:val="single" w:color="000000" w:sz="4"/>
              <w:right w:val="single" w:color="000000" w:sz="4"/>
            </w:tcBorders>
            <w:shd w:color="auto" w:fill="d9e1f2" w:val="clear"/>
            <w:tcMar>
              <w:left w:w="44" w:type="dxa"/>
              <w:right w:w="44" w:type="dxa"/>
            </w:tcMar>
            <w:vAlign w:val="bottom"/>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410,69 </w:t>
            </w:r>
          </w:p>
        </w:tc>
      </w:tr>
      <w:tr>
        <w:trPr>
          <w:trHeight w:val="16" w:hRule="auto"/>
          <w:jc w:val="left"/>
        </w:trPr>
        <w:tc>
          <w:tcPr>
            <w:tcW w:w="470" w:type="dxa"/>
            <w:vMerge/>
            <w:tcBorders>
              <w:top w:val="single" w:color="000000" w:sz="0"/>
              <w:left w:val="single" w:color="000000" w:sz="4"/>
              <w:bottom w:val="single" w:color="000000" w:sz="4"/>
              <w:right w:val="single" w:color="000000" w:sz="4"/>
            </w:tcBorders>
            <w:shd w:color="000000" w:fill="ffffff" w:val="clear"/>
            <w:tcMar>
              <w:left w:w="44" w:type="dxa"/>
              <w:right w:w="44"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2384" w:type="dxa"/>
            <w:tcBorders>
              <w:top w:val="single" w:color="000000" w:sz="0"/>
              <w:left w:val="single" w:color="000000" w:sz="0"/>
              <w:bottom w:val="single" w:color="000000" w:sz="4"/>
              <w:right w:val="single" w:color="000000" w:sz="4"/>
            </w:tcBorders>
            <w:shd w:color="auto" w:fill="b4c6e7" w:val="clear"/>
            <w:tcMar>
              <w:left w:w="44" w:type="dxa"/>
              <w:right w:w="44"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OBRAZOVANJE</w:t>
            </w:r>
          </w:p>
        </w:tc>
        <w:tc>
          <w:tcPr>
            <w:tcW w:w="1270" w:type="dxa"/>
            <w:tcBorders>
              <w:top w:val="single" w:color="000000" w:sz="0"/>
              <w:left w:val="single" w:color="000000" w:sz="4"/>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112" w:type="dxa"/>
            <w:tcBorders>
              <w:top w:val="single" w:color="000000" w:sz="0"/>
              <w:left w:val="single" w:color="000000" w:sz="4"/>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112" w:type="dxa"/>
            <w:tcBorders>
              <w:top w:val="single" w:color="000000" w:sz="0"/>
              <w:left w:val="single" w:color="000000" w:sz="0"/>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432" w:type="dxa"/>
            <w:tcBorders>
              <w:top w:val="single" w:color="000000" w:sz="0"/>
              <w:left w:val="single" w:color="000000" w:sz="0"/>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595" w:type="dxa"/>
            <w:tcBorders>
              <w:top w:val="single" w:color="000000" w:sz="0"/>
              <w:left w:val="single" w:color="000000" w:sz="4"/>
              <w:bottom w:val="single" w:color="000000" w:sz="4"/>
              <w:right w:val="single" w:color="000000" w:sz="4"/>
            </w:tcBorders>
            <w:shd w:color="auto" w:fill="d9e1f2"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r>
      <w:tr>
        <w:trPr>
          <w:trHeight w:val="16" w:hRule="auto"/>
          <w:jc w:val="left"/>
        </w:trPr>
        <w:tc>
          <w:tcPr>
            <w:tcW w:w="470" w:type="dxa"/>
            <w:vMerge/>
            <w:tcBorders>
              <w:top w:val="single" w:color="000000" w:sz="0"/>
              <w:left w:val="single" w:color="000000" w:sz="4"/>
              <w:bottom w:val="single" w:color="000000" w:sz="4"/>
              <w:right w:val="single" w:color="000000" w:sz="4"/>
            </w:tcBorders>
            <w:shd w:color="000000" w:fill="ffffff" w:val="clear"/>
            <w:tcMar>
              <w:left w:w="44" w:type="dxa"/>
              <w:right w:w="44"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2384" w:type="dxa"/>
            <w:tcBorders>
              <w:top w:val="single" w:color="000000" w:sz="0"/>
              <w:left w:val="single" w:color="000000" w:sz="0"/>
              <w:bottom w:val="single" w:color="000000" w:sz="4"/>
              <w:right w:val="single" w:color="000000" w:sz="4"/>
            </w:tcBorders>
            <w:shd w:color="auto" w:fill="b4c6e7" w:val="clear"/>
            <w:tcMar>
              <w:left w:w="44" w:type="dxa"/>
              <w:right w:w="44"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ZDRAVSTVO</w:t>
            </w:r>
          </w:p>
        </w:tc>
        <w:tc>
          <w:tcPr>
            <w:tcW w:w="1270" w:type="dxa"/>
            <w:tcBorders>
              <w:top w:val="single" w:color="000000" w:sz="0"/>
              <w:left w:val="single" w:color="000000" w:sz="4"/>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112" w:type="dxa"/>
            <w:tcBorders>
              <w:top w:val="single" w:color="000000" w:sz="0"/>
              <w:left w:val="single" w:color="000000" w:sz="4"/>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765,00</w:t>
            </w:r>
          </w:p>
        </w:tc>
        <w:tc>
          <w:tcPr>
            <w:tcW w:w="1112" w:type="dxa"/>
            <w:tcBorders>
              <w:top w:val="single" w:color="000000" w:sz="0"/>
              <w:left w:val="single" w:color="000000" w:sz="0"/>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765,00</w:t>
            </w:r>
          </w:p>
        </w:tc>
        <w:tc>
          <w:tcPr>
            <w:tcW w:w="1432" w:type="dxa"/>
            <w:tcBorders>
              <w:top w:val="single" w:color="000000" w:sz="0"/>
              <w:left w:val="single" w:color="000000" w:sz="0"/>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110,00</w:t>
            </w:r>
          </w:p>
        </w:tc>
        <w:tc>
          <w:tcPr>
            <w:tcW w:w="1595" w:type="dxa"/>
            <w:tcBorders>
              <w:top w:val="single" w:color="000000" w:sz="0"/>
              <w:left w:val="single" w:color="000000" w:sz="4"/>
              <w:bottom w:val="single" w:color="000000" w:sz="4"/>
              <w:right w:val="single" w:color="000000" w:sz="4"/>
            </w:tcBorders>
            <w:shd w:color="auto" w:fill="d9e1f2" w:val="clear"/>
            <w:tcMar>
              <w:left w:w="44" w:type="dxa"/>
              <w:right w:w="44" w:type="dxa"/>
            </w:tcMar>
            <w:vAlign w:val="bottom"/>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1.640,00 </w:t>
            </w:r>
          </w:p>
        </w:tc>
      </w:tr>
      <w:tr>
        <w:trPr>
          <w:trHeight w:val="16" w:hRule="auto"/>
          <w:jc w:val="left"/>
        </w:trPr>
        <w:tc>
          <w:tcPr>
            <w:tcW w:w="470" w:type="dxa"/>
            <w:vMerge/>
            <w:tcBorders>
              <w:top w:val="single" w:color="000000" w:sz="0"/>
              <w:left w:val="single" w:color="000000" w:sz="4"/>
              <w:bottom w:val="single" w:color="000000" w:sz="4"/>
              <w:right w:val="single" w:color="000000" w:sz="4"/>
            </w:tcBorders>
            <w:shd w:color="000000" w:fill="ffffff" w:val="clear"/>
            <w:tcMar>
              <w:left w:w="44" w:type="dxa"/>
              <w:right w:w="44"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2384" w:type="dxa"/>
            <w:tcBorders>
              <w:top w:val="single" w:color="000000" w:sz="0"/>
              <w:left w:val="single" w:color="000000" w:sz="0"/>
              <w:bottom w:val="single" w:color="000000" w:sz="4"/>
              <w:right w:val="single" w:color="000000" w:sz="4"/>
            </w:tcBorders>
            <w:shd w:color="auto" w:fill="b4c6e7" w:val="clear"/>
            <w:tcMar>
              <w:left w:w="44" w:type="dxa"/>
              <w:right w:w="44"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SPORT</w:t>
            </w:r>
          </w:p>
        </w:tc>
        <w:tc>
          <w:tcPr>
            <w:tcW w:w="1270" w:type="dxa"/>
            <w:tcBorders>
              <w:top w:val="single" w:color="000000" w:sz="0"/>
              <w:left w:val="single" w:color="000000" w:sz="4"/>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112" w:type="dxa"/>
            <w:tcBorders>
              <w:top w:val="single" w:color="000000" w:sz="0"/>
              <w:left w:val="single" w:color="000000" w:sz="4"/>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112" w:type="dxa"/>
            <w:tcBorders>
              <w:top w:val="single" w:color="000000" w:sz="0"/>
              <w:left w:val="single" w:color="000000" w:sz="0"/>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432" w:type="dxa"/>
            <w:tcBorders>
              <w:top w:val="single" w:color="000000" w:sz="0"/>
              <w:left w:val="single" w:color="000000" w:sz="0"/>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595" w:type="dxa"/>
            <w:tcBorders>
              <w:top w:val="single" w:color="000000" w:sz="0"/>
              <w:left w:val="single" w:color="000000" w:sz="4"/>
              <w:bottom w:val="single" w:color="000000" w:sz="4"/>
              <w:right w:val="single" w:color="000000" w:sz="4"/>
            </w:tcBorders>
            <w:shd w:color="auto" w:fill="d9e1f2"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r>
      <w:tr>
        <w:trPr>
          <w:trHeight w:val="16" w:hRule="auto"/>
          <w:jc w:val="left"/>
        </w:trPr>
        <w:tc>
          <w:tcPr>
            <w:tcW w:w="470" w:type="dxa"/>
            <w:vMerge/>
            <w:tcBorders>
              <w:top w:val="single" w:color="000000" w:sz="0"/>
              <w:left w:val="single" w:color="000000" w:sz="4"/>
              <w:bottom w:val="single" w:color="000000" w:sz="4"/>
              <w:right w:val="single" w:color="000000" w:sz="4"/>
            </w:tcBorders>
            <w:shd w:color="000000" w:fill="ffffff" w:val="clear"/>
            <w:tcMar>
              <w:left w:w="44" w:type="dxa"/>
              <w:right w:w="44"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2384" w:type="dxa"/>
            <w:tcBorders>
              <w:top w:val="single" w:color="000000" w:sz="0"/>
              <w:left w:val="single" w:color="000000" w:sz="0"/>
              <w:bottom w:val="single" w:color="000000" w:sz="4"/>
              <w:right w:val="single" w:color="000000" w:sz="4"/>
            </w:tcBorders>
            <w:shd w:color="auto" w:fill="b4c6e7" w:val="clear"/>
            <w:tcMar>
              <w:left w:w="44" w:type="dxa"/>
              <w:right w:w="44"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KULTURA</w:t>
            </w:r>
          </w:p>
        </w:tc>
        <w:tc>
          <w:tcPr>
            <w:tcW w:w="1270" w:type="dxa"/>
            <w:tcBorders>
              <w:top w:val="single" w:color="000000" w:sz="0"/>
              <w:left w:val="single" w:color="000000" w:sz="4"/>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288,00</w:t>
            </w:r>
          </w:p>
        </w:tc>
        <w:tc>
          <w:tcPr>
            <w:tcW w:w="1112" w:type="dxa"/>
            <w:tcBorders>
              <w:top w:val="single" w:color="000000" w:sz="0"/>
              <w:left w:val="single" w:color="000000" w:sz="4"/>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200,00</w:t>
            </w:r>
          </w:p>
        </w:tc>
        <w:tc>
          <w:tcPr>
            <w:tcW w:w="1112" w:type="dxa"/>
            <w:tcBorders>
              <w:top w:val="single" w:color="000000" w:sz="0"/>
              <w:left w:val="single" w:color="000000" w:sz="0"/>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200,00</w:t>
            </w:r>
          </w:p>
        </w:tc>
        <w:tc>
          <w:tcPr>
            <w:tcW w:w="1432" w:type="dxa"/>
            <w:tcBorders>
              <w:top w:val="single" w:color="000000" w:sz="0"/>
              <w:left w:val="single" w:color="000000" w:sz="0"/>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2.127,00</w:t>
            </w:r>
          </w:p>
        </w:tc>
        <w:tc>
          <w:tcPr>
            <w:tcW w:w="1595" w:type="dxa"/>
            <w:tcBorders>
              <w:top w:val="single" w:color="000000" w:sz="0"/>
              <w:left w:val="single" w:color="000000" w:sz="4"/>
              <w:bottom w:val="single" w:color="000000" w:sz="4"/>
              <w:right w:val="single" w:color="000000" w:sz="4"/>
            </w:tcBorders>
            <w:shd w:color="auto" w:fill="d9e1f2" w:val="clear"/>
            <w:tcMar>
              <w:left w:w="44" w:type="dxa"/>
              <w:right w:w="44" w:type="dxa"/>
            </w:tcMar>
            <w:vAlign w:val="bottom"/>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2.815,00 </w:t>
            </w:r>
          </w:p>
        </w:tc>
      </w:tr>
      <w:tr>
        <w:trPr>
          <w:trHeight w:val="16" w:hRule="auto"/>
          <w:jc w:val="left"/>
        </w:trPr>
        <w:tc>
          <w:tcPr>
            <w:tcW w:w="470" w:type="dxa"/>
            <w:vMerge/>
            <w:tcBorders>
              <w:top w:val="single" w:color="000000" w:sz="0"/>
              <w:left w:val="single" w:color="000000" w:sz="4"/>
              <w:bottom w:val="single" w:color="000000" w:sz="4"/>
              <w:right w:val="single" w:color="000000" w:sz="4"/>
            </w:tcBorders>
            <w:shd w:color="000000" w:fill="ffffff" w:val="clear"/>
            <w:tcMar>
              <w:left w:w="44" w:type="dxa"/>
              <w:right w:w="44"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2384" w:type="dxa"/>
            <w:tcBorders>
              <w:top w:val="single" w:color="000000" w:sz="0"/>
              <w:left w:val="single" w:color="000000" w:sz="0"/>
              <w:bottom w:val="single" w:color="000000" w:sz="4"/>
              <w:right w:val="single" w:color="000000" w:sz="4"/>
            </w:tcBorders>
            <w:shd w:color="auto" w:fill="b4c6e7" w:val="clear"/>
            <w:tcMar>
              <w:left w:w="44" w:type="dxa"/>
              <w:right w:w="44"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KANCELARIJSKE ZGRADE</w:t>
            </w:r>
          </w:p>
        </w:tc>
        <w:tc>
          <w:tcPr>
            <w:tcW w:w="1270" w:type="dxa"/>
            <w:tcBorders>
              <w:top w:val="single" w:color="000000" w:sz="0"/>
              <w:left w:val="single" w:color="000000" w:sz="4"/>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950,00</w:t>
            </w:r>
          </w:p>
        </w:tc>
        <w:tc>
          <w:tcPr>
            <w:tcW w:w="1112" w:type="dxa"/>
            <w:tcBorders>
              <w:top w:val="single" w:color="000000" w:sz="0"/>
              <w:left w:val="single" w:color="000000" w:sz="4"/>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2.075,00</w:t>
            </w:r>
          </w:p>
        </w:tc>
        <w:tc>
          <w:tcPr>
            <w:tcW w:w="1112" w:type="dxa"/>
            <w:tcBorders>
              <w:top w:val="single" w:color="000000" w:sz="0"/>
              <w:left w:val="single" w:color="000000" w:sz="0"/>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2.075,00</w:t>
            </w:r>
          </w:p>
        </w:tc>
        <w:tc>
          <w:tcPr>
            <w:tcW w:w="1432" w:type="dxa"/>
            <w:tcBorders>
              <w:top w:val="single" w:color="000000" w:sz="0"/>
              <w:left w:val="single" w:color="000000" w:sz="0"/>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595" w:type="dxa"/>
            <w:tcBorders>
              <w:top w:val="single" w:color="000000" w:sz="0"/>
              <w:left w:val="single" w:color="000000" w:sz="4"/>
              <w:bottom w:val="single" w:color="000000" w:sz="4"/>
              <w:right w:val="single" w:color="000000" w:sz="4"/>
            </w:tcBorders>
            <w:shd w:color="auto" w:fill="d9e1f2" w:val="clear"/>
            <w:tcMar>
              <w:left w:w="44" w:type="dxa"/>
              <w:right w:w="44" w:type="dxa"/>
            </w:tcMar>
            <w:vAlign w:val="bottom"/>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5.100,00 </w:t>
            </w:r>
          </w:p>
        </w:tc>
      </w:tr>
      <w:tr>
        <w:trPr>
          <w:trHeight w:val="16" w:hRule="auto"/>
          <w:jc w:val="left"/>
        </w:trPr>
        <w:tc>
          <w:tcPr>
            <w:tcW w:w="470" w:type="dxa"/>
            <w:vMerge/>
            <w:tcBorders>
              <w:top w:val="single" w:color="000000" w:sz="0"/>
              <w:left w:val="single" w:color="000000" w:sz="4"/>
              <w:bottom w:val="single" w:color="000000" w:sz="4"/>
              <w:right w:val="single" w:color="000000" w:sz="4"/>
            </w:tcBorders>
            <w:shd w:color="000000" w:fill="ffffff" w:val="clear"/>
            <w:tcMar>
              <w:left w:w="44" w:type="dxa"/>
              <w:right w:w="44"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2384" w:type="dxa"/>
            <w:tcBorders>
              <w:top w:val="single" w:color="000000" w:sz="0"/>
              <w:left w:val="single" w:color="000000" w:sz="0"/>
              <w:bottom w:val="single" w:color="000000" w:sz="4"/>
              <w:right w:val="single" w:color="000000" w:sz="4"/>
            </w:tcBorders>
            <w:shd w:color="auto" w:fill="b4c6e7" w:val="clear"/>
            <w:tcMar>
              <w:left w:w="44" w:type="dxa"/>
              <w:right w:w="44"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CJELODNEVNI BORAVAK</w:t>
            </w:r>
          </w:p>
        </w:tc>
        <w:tc>
          <w:tcPr>
            <w:tcW w:w="1270" w:type="dxa"/>
            <w:tcBorders>
              <w:top w:val="single" w:color="000000" w:sz="0"/>
              <w:left w:val="single" w:color="000000" w:sz="4"/>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112" w:type="dxa"/>
            <w:tcBorders>
              <w:top w:val="single" w:color="000000" w:sz="0"/>
              <w:left w:val="single" w:color="000000" w:sz="4"/>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112" w:type="dxa"/>
            <w:tcBorders>
              <w:top w:val="single" w:color="000000" w:sz="0"/>
              <w:left w:val="single" w:color="000000" w:sz="0"/>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432" w:type="dxa"/>
            <w:tcBorders>
              <w:top w:val="single" w:color="000000" w:sz="0"/>
              <w:left w:val="single" w:color="000000" w:sz="0"/>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595" w:type="dxa"/>
            <w:tcBorders>
              <w:top w:val="single" w:color="000000" w:sz="0"/>
              <w:left w:val="single" w:color="000000" w:sz="4"/>
              <w:bottom w:val="single" w:color="000000" w:sz="4"/>
              <w:right w:val="single" w:color="000000" w:sz="4"/>
            </w:tcBorders>
            <w:shd w:color="auto" w:fill="d9e1f2"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r>
      <w:tr>
        <w:trPr>
          <w:trHeight w:val="16" w:hRule="auto"/>
          <w:jc w:val="left"/>
        </w:trPr>
        <w:tc>
          <w:tcPr>
            <w:tcW w:w="2854" w:type="dxa"/>
            <w:gridSpan w:val="2"/>
            <w:tcBorders>
              <w:top w:val="single" w:color="000000" w:sz="4"/>
              <w:left w:val="single" w:color="000000" w:sz="4"/>
              <w:bottom w:val="single" w:color="000000" w:sz="4"/>
              <w:right w:val="single" w:color="000000" w:sz="4"/>
            </w:tcBorders>
            <w:shd w:color="auto" w:fill="d9e1f2" w:val="clear"/>
            <w:tcMar>
              <w:left w:w="44" w:type="dxa"/>
              <w:right w:w="44" w:type="dxa"/>
            </w:tcMar>
            <w:vAlign w:val="bottom"/>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UKUPNO PO ENERGENTIMA</w:t>
            </w:r>
          </w:p>
        </w:tc>
        <w:tc>
          <w:tcPr>
            <w:tcW w:w="1270" w:type="dxa"/>
            <w:tcBorders>
              <w:top w:val="single" w:color="000000" w:sz="4"/>
              <w:left w:val="single" w:color="000000" w:sz="4"/>
              <w:bottom w:val="single" w:color="000000" w:sz="4"/>
              <w:right w:val="single" w:color="000000" w:sz="4"/>
            </w:tcBorders>
            <w:shd w:color="auto" w:fill="d9e1f2" w:val="clear"/>
            <w:tcMar>
              <w:left w:w="44" w:type="dxa"/>
              <w:right w:w="44" w:type="dxa"/>
            </w:tcMar>
            <w:vAlign w:val="bottom"/>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1.238,00</w:t>
            </w:r>
          </w:p>
        </w:tc>
        <w:tc>
          <w:tcPr>
            <w:tcW w:w="1112" w:type="dxa"/>
            <w:tcBorders>
              <w:top w:val="single" w:color="000000" w:sz="4"/>
              <w:left w:val="single" w:color="000000" w:sz="4"/>
              <w:bottom w:val="single" w:color="000000" w:sz="4"/>
              <w:right w:val="single" w:color="000000" w:sz="4"/>
            </w:tcBorders>
            <w:shd w:color="auto" w:fill="d9e1f2" w:val="clear"/>
            <w:tcMar>
              <w:left w:w="44" w:type="dxa"/>
              <w:right w:w="44" w:type="dxa"/>
            </w:tcMar>
            <w:vAlign w:val="bottom"/>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3.245,35</w:t>
            </w:r>
          </w:p>
        </w:tc>
        <w:tc>
          <w:tcPr>
            <w:tcW w:w="1112" w:type="dxa"/>
            <w:tcBorders>
              <w:top w:val="single" w:color="000000" w:sz="4"/>
              <w:left w:val="single" w:color="000000" w:sz="0"/>
              <w:bottom w:val="single" w:color="000000" w:sz="4"/>
              <w:right w:val="single" w:color="000000" w:sz="4"/>
            </w:tcBorders>
            <w:shd w:color="auto" w:fill="d9e1f2" w:val="clear"/>
            <w:tcMar>
              <w:left w:w="44" w:type="dxa"/>
              <w:right w:w="44" w:type="dxa"/>
            </w:tcMar>
            <w:vAlign w:val="bottom"/>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3.245,35</w:t>
            </w:r>
          </w:p>
        </w:tc>
        <w:tc>
          <w:tcPr>
            <w:tcW w:w="1432" w:type="dxa"/>
            <w:tcBorders>
              <w:top w:val="single" w:color="000000" w:sz="4"/>
              <w:left w:val="single" w:color="000000" w:sz="0"/>
              <w:bottom w:val="single" w:color="000000" w:sz="4"/>
              <w:right w:val="single" w:color="000000" w:sz="4"/>
            </w:tcBorders>
            <w:shd w:color="auto" w:fill="d9e1f2" w:val="clear"/>
            <w:tcMar>
              <w:left w:w="44" w:type="dxa"/>
              <w:right w:w="44" w:type="dxa"/>
            </w:tcMar>
            <w:vAlign w:val="bottom"/>
          </w:tcPr>
          <w:p>
            <w:pPr>
              <w:keepNext w:val="true"/>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2.237,00</w:t>
            </w:r>
          </w:p>
        </w:tc>
        <w:tc>
          <w:tcPr>
            <w:tcW w:w="1595" w:type="dxa"/>
            <w:tcBorders>
              <w:top w:val="single" w:color="000000" w:sz="4"/>
              <w:left w:val="single" w:color="000000" w:sz="4"/>
              <w:bottom w:val="single" w:color="000000" w:sz="4"/>
              <w:right w:val="single" w:color="000000" w:sz="4"/>
            </w:tcBorders>
            <w:shd w:color="auto" w:fill="d9e1f2" w:val="clear"/>
            <w:tcMar>
              <w:left w:w="44" w:type="dxa"/>
              <w:right w:w="44" w:type="dxa"/>
            </w:tcMar>
            <w:vAlign w:val="center"/>
          </w:tcPr>
          <w:p>
            <w:pPr>
              <w:keepNext w:val="true"/>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9.965,69</w:t>
            </w:r>
          </w:p>
        </w:tc>
      </w:tr>
    </w:tbl>
    <w:p>
      <w:pPr>
        <w:spacing w:before="60" w:after="160" w:line="240"/>
        <w:ind w:right="0" w:left="0" w:firstLine="0"/>
        <w:jc w:val="center"/>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Tabela 51: Grijana površina javnih zgrada u vlasništvu Op</w:t>
      </w:r>
      <w:r>
        <w:rPr>
          <w:rFonts w:ascii="Calibri" w:hAnsi="Calibri" w:cs="Calibri" w:eastAsia="Calibri"/>
          <w:color w:val="auto"/>
          <w:spacing w:val="0"/>
          <w:position w:val="0"/>
          <w:sz w:val="18"/>
          <w:shd w:fill="auto" w:val="clear"/>
        </w:rPr>
        <w:t xml:space="preserve">ćine Doboj Istok u baznoj godini</w:t>
      </w:r>
    </w:p>
    <w:p>
      <w:pPr>
        <w:spacing w:before="60" w:after="0" w:line="240"/>
        <w:ind w:right="0" w:left="0" w:firstLine="0"/>
        <w:jc w:val="both"/>
        <w:rPr>
          <w:rFonts w:ascii="Calibri" w:hAnsi="Calibri" w:cs="Calibri" w:eastAsia="Calibri"/>
          <w:color w:val="auto"/>
          <w:spacing w:val="0"/>
          <w:position w:val="0"/>
          <w:sz w:val="20"/>
          <w:shd w:fill="FFFF00" w:val="clear"/>
        </w:rPr>
      </w:pPr>
      <w:r>
        <w:rPr>
          <w:rFonts w:ascii="Calibri" w:hAnsi="Calibri" w:cs="Calibri" w:eastAsia="Calibri"/>
          <w:color w:val="auto"/>
          <w:spacing w:val="0"/>
          <w:position w:val="0"/>
          <w:sz w:val="20"/>
          <w:shd w:fill="auto" w:val="clear"/>
        </w:rPr>
        <w:t xml:space="preserve">Ukupna grijana površina zgrada u ovom podsektoru iznosi 9.965,69 m</w:t>
      </w:r>
      <w:r>
        <w:rPr>
          <w:rFonts w:ascii="Calibri" w:hAnsi="Calibri" w:cs="Calibri" w:eastAsia="Calibri"/>
          <w:color w:val="auto"/>
          <w:spacing w:val="0"/>
          <w:position w:val="0"/>
          <w:sz w:val="20"/>
          <w:shd w:fill="auto" w:val="clear"/>
          <w:vertAlign w:val="superscript"/>
        </w:rPr>
        <w:t xml:space="preserve">2</w:t>
      </w:r>
      <w:r>
        <w:rPr>
          <w:rFonts w:ascii="Calibri" w:hAnsi="Calibri" w:cs="Calibri" w:eastAsia="Calibri"/>
          <w:color w:val="auto"/>
          <w:spacing w:val="0"/>
          <w:position w:val="0"/>
          <w:sz w:val="20"/>
          <w:shd w:fill="auto" w:val="clear"/>
        </w:rPr>
        <w:t xml:space="preserve">. Iz tabele je evidentno da u ukupnoj površini najve</w:t>
      </w:r>
      <w:r>
        <w:rPr>
          <w:rFonts w:ascii="Calibri" w:hAnsi="Calibri" w:cs="Calibri" w:eastAsia="Calibri"/>
          <w:color w:val="auto"/>
          <w:spacing w:val="0"/>
          <w:position w:val="0"/>
          <w:sz w:val="20"/>
          <w:shd w:fill="auto" w:val="clear"/>
        </w:rPr>
        <w:t xml:space="preserve">ći udio imaju kancelarijske zgrade, zatim slijede zgrade u oblasti kulture, zdravstva i zgrade namijenjene predškolskom odgoju. Zgrade u oblasti obrazovanja i sporta nisu zastupljene jer ove oblasti nisu u nadležnosti Općine, dok zgrade namijenjene za cjelodnevni boravak na području općine Doboj Istok ne postoje. Također je evidentno da se za zagrijavanje najvećeg dijela površine zgrada iz ovog podsektora koristi ugalj, dok su biomasa i električna energija nešto manje zastupljeni. </w:t>
      </w:r>
    </w:p>
    <w:p>
      <w:pPr>
        <w:spacing w:before="60" w:after="12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Potrebni podaci o specifi</w:t>
      </w:r>
      <w:r>
        <w:rPr>
          <w:rFonts w:ascii="Calibri" w:hAnsi="Calibri" w:cs="Calibri" w:eastAsia="Calibri"/>
          <w:color w:val="auto"/>
          <w:spacing w:val="0"/>
          <w:position w:val="0"/>
          <w:sz w:val="20"/>
          <w:shd w:fill="auto" w:val="clear"/>
        </w:rPr>
        <w:t xml:space="preserve">čnoj godišnjoj potrošnji energije za grijanje javnih zgrada po m</w:t>
      </w:r>
      <w:r>
        <w:rPr>
          <w:rFonts w:ascii="Calibri" w:hAnsi="Calibri" w:cs="Calibri" w:eastAsia="Calibri"/>
          <w:color w:val="auto"/>
          <w:spacing w:val="0"/>
          <w:position w:val="0"/>
          <w:sz w:val="20"/>
          <w:shd w:fill="auto" w:val="clear"/>
          <w:vertAlign w:val="superscript"/>
        </w:rPr>
        <w:t xml:space="preserve">2</w:t>
      </w:r>
      <w:r>
        <w:rPr>
          <w:rFonts w:ascii="Calibri" w:hAnsi="Calibri" w:cs="Calibri" w:eastAsia="Calibri"/>
          <w:color w:val="auto"/>
          <w:spacing w:val="0"/>
          <w:position w:val="0"/>
          <w:sz w:val="20"/>
          <w:shd w:fill="auto" w:val="clear"/>
        </w:rPr>
        <w:t xml:space="preserve"> njihove grijane površine, preuzeti su iz </w:t>
      </w:r>
      <w:r>
        <w:rPr>
          <w:rFonts w:ascii="Calibri" w:hAnsi="Calibri" w:cs="Calibri" w:eastAsia="Calibri"/>
          <w:i/>
          <w:color w:val="auto"/>
          <w:spacing w:val="0"/>
          <w:position w:val="0"/>
          <w:sz w:val="20"/>
          <w:shd w:fill="auto" w:val="clear"/>
        </w:rPr>
        <w:t xml:space="preserve">Tipologije javnih zgrada u Bosni i Hercegovini</w:t>
      </w:r>
      <w:r>
        <w:rPr>
          <w:rFonts w:ascii="Calibri" w:hAnsi="Calibri" w:cs="Calibri" w:eastAsia="Calibri"/>
          <w:color w:val="auto"/>
          <w:spacing w:val="0"/>
          <w:position w:val="0"/>
          <w:sz w:val="20"/>
          <w:shd w:fill="auto" w:val="clear"/>
        </w:rPr>
        <w:t xml:space="preserve">. Naredna tabela daje pregled ovih podataka za sve tipove javnih zgrada.</w:t>
      </w:r>
    </w:p>
    <w:tbl>
      <w:tblPr/>
      <w:tblGrid>
        <w:gridCol w:w="425"/>
        <w:gridCol w:w="1719"/>
        <w:gridCol w:w="959"/>
        <w:gridCol w:w="1209"/>
        <w:gridCol w:w="1003"/>
        <w:gridCol w:w="888"/>
        <w:gridCol w:w="917"/>
        <w:gridCol w:w="1385"/>
        <w:gridCol w:w="1123"/>
      </w:tblGrid>
      <w:tr>
        <w:trPr>
          <w:trHeight w:val="284" w:hRule="auto"/>
          <w:jc w:val="left"/>
        </w:trPr>
        <w:tc>
          <w:tcPr>
            <w:tcW w:w="9628" w:type="dxa"/>
            <w:gridSpan w:val="9"/>
            <w:tcBorders>
              <w:top w:val="single" w:color="000000" w:sz="4"/>
              <w:left w:val="single" w:color="000000" w:sz="4"/>
              <w:bottom w:val="single" w:color="000000" w:sz="4"/>
              <w:right w:val="single" w:color="000000" w:sz="4"/>
            </w:tcBorders>
            <w:shd w:color="auto" w:fill="d9e1f2" w:val="clear"/>
            <w:tcMar>
              <w:left w:w="28" w:type="dxa"/>
              <w:right w:w="2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SPECIFI</w:t>
            </w:r>
            <w:r>
              <w:rPr>
                <w:rFonts w:ascii="Calibri" w:hAnsi="Calibri" w:cs="Calibri" w:eastAsia="Calibri"/>
                <w:color w:val="auto"/>
                <w:spacing w:val="0"/>
                <w:position w:val="0"/>
                <w:sz w:val="18"/>
                <w:shd w:fill="auto" w:val="clear"/>
              </w:rPr>
              <w:t xml:space="preserve">ČNA GODIŠNJA POTREBNA ENERGIJA ZA GRIJANJE JAVNIH ZGRADA - Q</w:t>
            </w:r>
            <w:r>
              <w:rPr>
                <w:rFonts w:ascii="Calibri" w:hAnsi="Calibri" w:cs="Calibri" w:eastAsia="Calibri"/>
                <w:color w:val="auto"/>
                <w:spacing w:val="0"/>
                <w:position w:val="0"/>
                <w:sz w:val="18"/>
                <w:shd w:fill="auto" w:val="clear"/>
                <w:vertAlign w:val="subscript"/>
              </w:rPr>
              <w:t xml:space="preserve">hnd</w:t>
            </w:r>
            <w:r>
              <w:rPr>
                <w:rFonts w:ascii="Calibri" w:hAnsi="Calibri" w:cs="Calibri" w:eastAsia="Calibri"/>
                <w:color w:val="auto"/>
                <w:spacing w:val="0"/>
                <w:position w:val="0"/>
                <w:sz w:val="18"/>
                <w:shd w:fill="auto" w:val="clear"/>
              </w:rPr>
              <w:t xml:space="preserve"> (kWh/m</w:t>
            </w:r>
            <w:r>
              <w:rPr>
                <w:rFonts w:ascii="Calibri" w:hAnsi="Calibri" w:cs="Calibri" w:eastAsia="Calibri"/>
                <w:color w:val="auto"/>
                <w:spacing w:val="0"/>
                <w:position w:val="0"/>
                <w:sz w:val="18"/>
                <w:shd w:fill="auto" w:val="clear"/>
              </w:rPr>
              <w:t xml:space="preserve">²)</w:t>
            </w:r>
          </w:p>
        </w:tc>
      </w:tr>
      <w:tr>
        <w:trPr>
          <w:trHeight w:val="306" w:hRule="auto"/>
          <w:jc w:val="left"/>
        </w:trPr>
        <w:tc>
          <w:tcPr>
            <w:tcW w:w="2144" w:type="dxa"/>
            <w:gridSpan w:val="2"/>
            <w:vMerge w:val="restart"/>
            <w:tcBorders>
              <w:top w:val="single" w:color="000000" w:sz="4"/>
              <w:left w:val="single" w:color="000000" w:sz="4"/>
              <w:bottom w:val="single" w:color="000000" w:sz="4"/>
              <w:right w:val="single" w:color="000000" w:sz="4"/>
            </w:tcBorders>
            <w:shd w:color="auto" w:fill="d9e1f2" w:val="clear"/>
            <w:tcMar>
              <w:left w:w="28" w:type="dxa"/>
              <w:right w:w="2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Namjena zgrade/ </w:t>
              <w:br/>
              <w:t xml:space="preserve">Period izgradnje zgrade</w:t>
            </w:r>
          </w:p>
        </w:tc>
        <w:tc>
          <w:tcPr>
            <w:tcW w:w="959" w:type="dxa"/>
            <w:tcBorders>
              <w:top w:val="single" w:color="000000" w:sz="4"/>
              <w:left w:val="single" w:color="000000" w:sz="4"/>
              <w:bottom w:val="single" w:color="000000" w:sz="4"/>
              <w:right w:val="single" w:color="000000" w:sz="4"/>
            </w:tcBorders>
            <w:shd w:color="auto" w:fill="d9e1f2" w:val="clear"/>
            <w:tcMar>
              <w:left w:w="28" w:type="dxa"/>
              <w:right w:w="2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I</w:t>
            </w:r>
          </w:p>
        </w:tc>
        <w:tc>
          <w:tcPr>
            <w:tcW w:w="1209" w:type="dxa"/>
            <w:tcBorders>
              <w:top w:val="single" w:color="000000" w:sz="4"/>
              <w:left w:val="single" w:color="000000" w:sz="4"/>
              <w:bottom w:val="single" w:color="000000" w:sz="4"/>
              <w:right w:val="single" w:color="000000" w:sz="4"/>
            </w:tcBorders>
            <w:shd w:color="auto" w:fill="d9e1f2" w:val="clear"/>
            <w:tcMar>
              <w:left w:w="28" w:type="dxa"/>
              <w:right w:w="2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II</w:t>
            </w:r>
          </w:p>
        </w:tc>
        <w:tc>
          <w:tcPr>
            <w:tcW w:w="1003" w:type="dxa"/>
            <w:tcBorders>
              <w:top w:val="single" w:color="000000" w:sz="4"/>
              <w:left w:val="single" w:color="000000" w:sz="4"/>
              <w:bottom w:val="single" w:color="000000" w:sz="4"/>
              <w:right w:val="single" w:color="000000" w:sz="4"/>
            </w:tcBorders>
            <w:shd w:color="auto" w:fill="d9e1f2" w:val="clear"/>
            <w:tcMar>
              <w:left w:w="28" w:type="dxa"/>
              <w:right w:w="2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III</w:t>
            </w:r>
          </w:p>
        </w:tc>
        <w:tc>
          <w:tcPr>
            <w:tcW w:w="888" w:type="dxa"/>
            <w:tcBorders>
              <w:top w:val="single" w:color="000000" w:sz="4"/>
              <w:left w:val="single" w:color="000000" w:sz="4"/>
              <w:bottom w:val="single" w:color="000000" w:sz="4"/>
              <w:right w:val="single" w:color="000000" w:sz="4"/>
            </w:tcBorders>
            <w:shd w:color="auto" w:fill="d9e1f2" w:val="clear"/>
            <w:tcMar>
              <w:left w:w="28" w:type="dxa"/>
              <w:right w:w="2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IV</w:t>
            </w:r>
          </w:p>
        </w:tc>
        <w:tc>
          <w:tcPr>
            <w:tcW w:w="917" w:type="dxa"/>
            <w:tcBorders>
              <w:top w:val="single" w:color="000000" w:sz="4"/>
              <w:left w:val="single" w:color="000000" w:sz="4"/>
              <w:bottom w:val="single" w:color="000000" w:sz="4"/>
              <w:right w:val="single" w:color="000000" w:sz="4"/>
            </w:tcBorders>
            <w:shd w:color="auto" w:fill="d9e1f2" w:val="clear"/>
            <w:tcMar>
              <w:left w:w="28" w:type="dxa"/>
              <w:right w:w="2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V</w:t>
            </w:r>
          </w:p>
        </w:tc>
        <w:tc>
          <w:tcPr>
            <w:tcW w:w="1385" w:type="dxa"/>
            <w:tcBorders>
              <w:top w:val="single" w:color="000000" w:sz="4"/>
              <w:left w:val="single" w:color="000000" w:sz="4"/>
              <w:bottom w:val="single" w:color="000000" w:sz="4"/>
              <w:right w:val="single" w:color="000000" w:sz="4"/>
            </w:tcBorders>
            <w:shd w:color="auto" w:fill="d9e1f2" w:val="clear"/>
            <w:tcMar>
              <w:left w:w="28" w:type="dxa"/>
              <w:right w:w="2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VI</w:t>
            </w:r>
          </w:p>
        </w:tc>
        <w:tc>
          <w:tcPr>
            <w:tcW w:w="1123" w:type="dxa"/>
            <w:tcBorders>
              <w:top w:val="single" w:color="000000" w:sz="4"/>
              <w:left w:val="single" w:color="000000" w:sz="4"/>
              <w:bottom w:val="single" w:color="000000" w:sz="4"/>
              <w:right w:val="single" w:color="000000" w:sz="4"/>
            </w:tcBorders>
            <w:shd w:color="auto" w:fill="d9e1f2" w:val="clear"/>
            <w:tcMar>
              <w:left w:w="28" w:type="dxa"/>
              <w:right w:w="2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VII</w:t>
            </w:r>
          </w:p>
        </w:tc>
      </w:tr>
      <w:tr>
        <w:trPr>
          <w:trHeight w:val="490" w:hRule="auto"/>
          <w:jc w:val="left"/>
        </w:trPr>
        <w:tc>
          <w:tcPr>
            <w:tcW w:w="2144" w:type="dxa"/>
            <w:gridSpan w:val="2"/>
            <w:vMerge/>
            <w:tcBorders>
              <w:top w:val="single" w:color="000000" w:sz="4"/>
              <w:left w:val="single" w:color="000000" w:sz="4"/>
              <w:bottom w:val="single" w:color="000000" w:sz="4"/>
              <w:right w:val="single" w:color="000000" w:sz="4"/>
            </w:tcBorders>
            <w:shd w:color="000000" w:fill="ffffff" w:val="clear"/>
            <w:tcMar>
              <w:left w:w="28" w:type="dxa"/>
              <w:right w:w="28"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959" w:type="dxa"/>
            <w:tcBorders>
              <w:top w:val="single" w:color="000000" w:sz="4"/>
              <w:left w:val="single" w:color="000000" w:sz="4"/>
              <w:bottom w:val="single" w:color="000000" w:sz="4"/>
              <w:right w:val="single" w:color="000000" w:sz="4"/>
            </w:tcBorders>
            <w:shd w:color="auto" w:fill="d9e1f2" w:val="clear"/>
            <w:tcMar>
              <w:left w:w="28" w:type="dxa"/>
              <w:right w:w="2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Obdaništa</w:t>
            </w:r>
          </w:p>
        </w:tc>
        <w:tc>
          <w:tcPr>
            <w:tcW w:w="1209" w:type="dxa"/>
            <w:tcBorders>
              <w:top w:val="single" w:color="000000" w:sz="4"/>
              <w:left w:val="single" w:color="000000" w:sz="4"/>
              <w:bottom w:val="single" w:color="000000" w:sz="4"/>
              <w:right w:val="single" w:color="000000" w:sz="4"/>
            </w:tcBorders>
            <w:shd w:color="auto" w:fill="d9e1f2" w:val="clear"/>
            <w:tcMar>
              <w:left w:w="28" w:type="dxa"/>
              <w:right w:w="2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Obrazovanje</w:t>
            </w:r>
          </w:p>
        </w:tc>
        <w:tc>
          <w:tcPr>
            <w:tcW w:w="1003" w:type="dxa"/>
            <w:tcBorders>
              <w:top w:val="single" w:color="000000" w:sz="4"/>
              <w:left w:val="single" w:color="000000" w:sz="4"/>
              <w:bottom w:val="single" w:color="000000" w:sz="4"/>
              <w:right w:val="single" w:color="000000" w:sz="4"/>
            </w:tcBorders>
            <w:shd w:color="auto" w:fill="d9e1f2" w:val="clear"/>
            <w:tcMar>
              <w:left w:w="28" w:type="dxa"/>
              <w:right w:w="2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Zdravstvo</w:t>
            </w:r>
          </w:p>
        </w:tc>
        <w:tc>
          <w:tcPr>
            <w:tcW w:w="888" w:type="dxa"/>
            <w:tcBorders>
              <w:top w:val="single" w:color="000000" w:sz="4"/>
              <w:left w:val="single" w:color="000000" w:sz="4"/>
              <w:bottom w:val="single" w:color="000000" w:sz="4"/>
              <w:right w:val="single" w:color="000000" w:sz="4"/>
            </w:tcBorders>
            <w:shd w:color="auto" w:fill="d9e1f2" w:val="clear"/>
            <w:tcMar>
              <w:left w:w="28" w:type="dxa"/>
              <w:right w:w="2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Sport</w:t>
            </w:r>
          </w:p>
        </w:tc>
        <w:tc>
          <w:tcPr>
            <w:tcW w:w="917" w:type="dxa"/>
            <w:tcBorders>
              <w:top w:val="single" w:color="000000" w:sz="4"/>
              <w:left w:val="single" w:color="000000" w:sz="4"/>
              <w:bottom w:val="single" w:color="000000" w:sz="4"/>
              <w:right w:val="single" w:color="000000" w:sz="4"/>
            </w:tcBorders>
            <w:shd w:color="auto" w:fill="d9e1f2" w:val="clear"/>
            <w:tcMar>
              <w:left w:w="28" w:type="dxa"/>
              <w:right w:w="2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Kultura</w:t>
            </w:r>
          </w:p>
        </w:tc>
        <w:tc>
          <w:tcPr>
            <w:tcW w:w="1385" w:type="dxa"/>
            <w:tcBorders>
              <w:top w:val="single" w:color="000000" w:sz="4"/>
              <w:left w:val="single" w:color="000000" w:sz="4"/>
              <w:bottom w:val="single" w:color="000000" w:sz="4"/>
              <w:right w:val="single" w:color="000000" w:sz="4"/>
            </w:tcBorders>
            <w:shd w:color="auto" w:fill="d9e1f2" w:val="clear"/>
            <w:tcMar>
              <w:left w:w="28" w:type="dxa"/>
              <w:right w:w="2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Administracija</w:t>
            </w:r>
          </w:p>
        </w:tc>
        <w:tc>
          <w:tcPr>
            <w:tcW w:w="1123" w:type="dxa"/>
            <w:tcBorders>
              <w:top w:val="single" w:color="000000" w:sz="4"/>
              <w:left w:val="single" w:color="000000" w:sz="4"/>
              <w:bottom w:val="single" w:color="000000" w:sz="4"/>
              <w:right w:val="single" w:color="000000" w:sz="4"/>
            </w:tcBorders>
            <w:shd w:color="auto" w:fill="d9e1f2" w:val="clear"/>
            <w:tcMar>
              <w:left w:w="28" w:type="dxa"/>
              <w:right w:w="2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Cjelodnevni boravak</w:t>
            </w:r>
          </w:p>
        </w:tc>
      </w:tr>
      <w:tr>
        <w:trPr>
          <w:trHeight w:val="255" w:hRule="auto"/>
          <w:jc w:val="left"/>
        </w:trPr>
        <w:tc>
          <w:tcPr>
            <w:tcW w:w="425" w:type="dxa"/>
            <w:tcBorders>
              <w:top w:val="single" w:color="000000" w:sz="4"/>
              <w:left w:val="single" w:color="000000" w:sz="4"/>
              <w:bottom w:val="single" w:color="000000" w:sz="4"/>
              <w:right w:val="single" w:color="000000" w:sz="4"/>
            </w:tcBorders>
            <w:shd w:color="auto" w:fill="d9e1f2" w:val="clear"/>
            <w:tcMar>
              <w:left w:w="28" w:type="dxa"/>
              <w:right w:w="2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A</w:t>
            </w:r>
          </w:p>
        </w:tc>
        <w:tc>
          <w:tcPr>
            <w:tcW w:w="1719" w:type="dxa"/>
            <w:tcBorders>
              <w:top w:val="single" w:color="000000" w:sz="4"/>
              <w:left w:val="single" w:color="000000" w:sz="4"/>
              <w:bottom w:val="single" w:color="000000" w:sz="4"/>
              <w:right w:val="single" w:color="000000" w:sz="4"/>
            </w:tcBorders>
            <w:shd w:color="auto" w:fill="d9e1f2" w:val="clear"/>
            <w:tcMar>
              <w:left w:w="28" w:type="dxa"/>
              <w:right w:w="2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Do 1945. god.</w:t>
            </w:r>
          </w:p>
        </w:tc>
        <w:tc>
          <w:tcPr>
            <w:tcW w:w="959" w:type="dxa"/>
            <w:tcBorders>
              <w:top w:val="single" w:color="000000" w:sz="4"/>
              <w:left w:val="single" w:color="000000" w:sz="4"/>
              <w:bottom w:val="single" w:color="000000" w:sz="4"/>
              <w:right w:val="single" w:color="000000" w:sz="4"/>
            </w:tcBorders>
            <w:shd w:color="auto" w:fill="ffffff" w:val="clear"/>
            <w:tcMar>
              <w:left w:w="28" w:type="dxa"/>
              <w:right w:w="2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1209" w:type="dxa"/>
            <w:tcBorders>
              <w:top w:val="single" w:color="000000" w:sz="4"/>
              <w:left w:val="single" w:color="000000" w:sz="4"/>
              <w:bottom w:val="single" w:color="000000" w:sz="4"/>
              <w:right w:val="single" w:color="000000" w:sz="4"/>
            </w:tcBorders>
            <w:shd w:color="auto" w:fill="ffffff" w:val="clear"/>
            <w:tcMar>
              <w:left w:w="28" w:type="dxa"/>
              <w:right w:w="2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173,19</w:t>
            </w:r>
          </w:p>
        </w:tc>
        <w:tc>
          <w:tcPr>
            <w:tcW w:w="1003" w:type="dxa"/>
            <w:tcBorders>
              <w:top w:val="single" w:color="000000" w:sz="4"/>
              <w:left w:val="single" w:color="000000" w:sz="4"/>
              <w:bottom w:val="single" w:color="000000" w:sz="4"/>
              <w:right w:val="single" w:color="000000" w:sz="4"/>
            </w:tcBorders>
            <w:shd w:color="auto" w:fill="ffffff" w:val="clear"/>
            <w:tcMar>
              <w:left w:w="28" w:type="dxa"/>
              <w:right w:w="2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191,12</w:t>
            </w:r>
          </w:p>
        </w:tc>
        <w:tc>
          <w:tcPr>
            <w:tcW w:w="888" w:type="dxa"/>
            <w:tcBorders>
              <w:top w:val="single" w:color="000000" w:sz="4"/>
              <w:left w:val="single" w:color="000000" w:sz="4"/>
              <w:bottom w:val="single" w:color="000000" w:sz="4"/>
              <w:right w:val="single" w:color="000000" w:sz="4"/>
            </w:tcBorders>
            <w:shd w:color="auto" w:fill="ffffff" w:val="clear"/>
            <w:tcMar>
              <w:left w:w="28" w:type="dxa"/>
              <w:right w:w="2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917" w:type="dxa"/>
            <w:tcBorders>
              <w:top w:val="single" w:color="000000" w:sz="4"/>
              <w:left w:val="single" w:color="000000" w:sz="4"/>
              <w:bottom w:val="single" w:color="000000" w:sz="4"/>
              <w:right w:val="single" w:color="000000" w:sz="4"/>
            </w:tcBorders>
            <w:shd w:color="auto" w:fill="ffffff" w:val="clear"/>
            <w:tcMar>
              <w:left w:w="28" w:type="dxa"/>
              <w:right w:w="2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249,60</w:t>
            </w:r>
          </w:p>
        </w:tc>
        <w:tc>
          <w:tcPr>
            <w:tcW w:w="1385" w:type="dxa"/>
            <w:tcBorders>
              <w:top w:val="single" w:color="000000" w:sz="4"/>
              <w:left w:val="single" w:color="000000" w:sz="4"/>
              <w:bottom w:val="single" w:color="000000" w:sz="4"/>
              <w:right w:val="single" w:color="000000" w:sz="4"/>
            </w:tcBorders>
            <w:shd w:color="auto" w:fill="ffffff" w:val="clear"/>
            <w:tcMar>
              <w:left w:w="28" w:type="dxa"/>
              <w:right w:w="2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176,65</w:t>
            </w:r>
          </w:p>
        </w:tc>
        <w:tc>
          <w:tcPr>
            <w:tcW w:w="1123" w:type="dxa"/>
            <w:tcBorders>
              <w:top w:val="single" w:color="000000" w:sz="4"/>
              <w:left w:val="single" w:color="000000" w:sz="4"/>
              <w:bottom w:val="single" w:color="000000" w:sz="4"/>
              <w:right w:val="single" w:color="000000" w:sz="4"/>
            </w:tcBorders>
            <w:shd w:color="auto" w:fill="ffffff" w:val="clear"/>
            <w:tcMar>
              <w:left w:w="28" w:type="dxa"/>
              <w:right w:w="2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r>
      <w:tr>
        <w:trPr>
          <w:trHeight w:val="255" w:hRule="auto"/>
          <w:jc w:val="left"/>
        </w:trPr>
        <w:tc>
          <w:tcPr>
            <w:tcW w:w="425" w:type="dxa"/>
            <w:tcBorders>
              <w:top w:val="single" w:color="000000" w:sz="4"/>
              <w:left w:val="single" w:color="000000" w:sz="4"/>
              <w:bottom w:val="single" w:color="000000" w:sz="4"/>
              <w:right w:val="single" w:color="000000" w:sz="4"/>
            </w:tcBorders>
            <w:shd w:color="auto" w:fill="d9e1f2" w:val="clear"/>
            <w:tcMar>
              <w:left w:w="28" w:type="dxa"/>
              <w:right w:w="2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B</w:t>
            </w:r>
          </w:p>
        </w:tc>
        <w:tc>
          <w:tcPr>
            <w:tcW w:w="1719" w:type="dxa"/>
            <w:tcBorders>
              <w:top w:val="single" w:color="000000" w:sz="4"/>
              <w:left w:val="single" w:color="000000" w:sz="4"/>
              <w:bottom w:val="single" w:color="000000" w:sz="4"/>
              <w:right w:val="single" w:color="000000" w:sz="4"/>
            </w:tcBorders>
            <w:shd w:color="auto" w:fill="d9e1f2" w:val="clear"/>
            <w:tcMar>
              <w:left w:w="28" w:type="dxa"/>
              <w:right w:w="2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Od 1946 do 1965. god.</w:t>
            </w:r>
          </w:p>
        </w:tc>
        <w:tc>
          <w:tcPr>
            <w:tcW w:w="959" w:type="dxa"/>
            <w:tcBorders>
              <w:top w:val="single" w:color="000000" w:sz="4"/>
              <w:left w:val="single" w:color="000000" w:sz="4"/>
              <w:bottom w:val="single" w:color="000000" w:sz="4"/>
              <w:right w:val="single" w:color="000000" w:sz="4"/>
            </w:tcBorders>
            <w:shd w:color="auto" w:fill="ffffff" w:val="clear"/>
            <w:tcMar>
              <w:left w:w="28" w:type="dxa"/>
              <w:right w:w="2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278,70</w:t>
            </w:r>
          </w:p>
        </w:tc>
        <w:tc>
          <w:tcPr>
            <w:tcW w:w="1209" w:type="dxa"/>
            <w:tcBorders>
              <w:top w:val="single" w:color="000000" w:sz="4"/>
              <w:left w:val="single" w:color="000000" w:sz="4"/>
              <w:bottom w:val="single" w:color="000000" w:sz="4"/>
              <w:right w:val="single" w:color="000000" w:sz="4"/>
            </w:tcBorders>
            <w:shd w:color="auto" w:fill="ffffff" w:val="clear"/>
            <w:tcMar>
              <w:left w:w="28" w:type="dxa"/>
              <w:right w:w="2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199,91</w:t>
            </w:r>
          </w:p>
        </w:tc>
        <w:tc>
          <w:tcPr>
            <w:tcW w:w="1003" w:type="dxa"/>
            <w:tcBorders>
              <w:top w:val="single" w:color="000000" w:sz="4"/>
              <w:left w:val="single" w:color="000000" w:sz="4"/>
              <w:bottom w:val="single" w:color="000000" w:sz="4"/>
              <w:right w:val="single" w:color="000000" w:sz="4"/>
            </w:tcBorders>
            <w:shd w:color="auto" w:fill="ffffff" w:val="clear"/>
            <w:tcMar>
              <w:left w:w="28" w:type="dxa"/>
              <w:right w:w="2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206,29</w:t>
            </w:r>
          </w:p>
        </w:tc>
        <w:tc>
          <w:tcPr>
            <w:tcW w:w="888" w:type="dxa"/>
            <w:tcBorders>
              <w:top w:val="single" w:color="000000" w:sz="4"/>
              <w:left w:val="single" w:color="000000" w:sz="4"/>
              <w:bottom w:val="single" w:color="000000" w:sz="4"/>
              <w:right w:val="single" w:color="000000" w:sz="4"/>
            </w:tcBorders>
            <w:shd w:color="auto" w:fill="ffffff" w:val="clear"/>
            <w:tcMar>
              <w:left w:w="28" w:type="dxa"/>
              <w:right w:w="2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382,44</w:t>
            </w:r>
          </w:p>
        </w:tc>
        <w:tc>
          <w:tcPr>
            <w:tcW w:w="917" w:type="dxa"/>
            <w:tcBorders>
              <w:top w:val="single" w:color="000000" w:sz="4"/>
              <w:left w:val="single" w:color="000000" w:sz="4"/>
              <w:bottom w:val="single" w:color="000000" w:sz="4"/>
              <w:right w:val="single" w:color="000000" w:sz="4"/>
            </w:tcBorders>
            <w:shd w:color="auto" w:fill="ffffff" w:val="clear"/>
            <w:tcMar>
              <w:left w:w="28" w:type="dxa"/>
              <w:right w:w="2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271,05</w:t>
            </w:r>
          </w:p>
        </w:tc>
        <w:tc>
          <w:tcPr>
            <w:tcW w:w="1385" w:type="dxa"/>
            <w:tcBorders>
              <w:top w:val="single" w:color="000000" w:sz="4"/>
              <w:left w:val="single" w:color="000000" w:sz="4"/>
              <w:bottom w:val="single" w:color="000000" w:sz="4"/>
              <w:right w:val="single" w:color="000000" w:sz="4"/>
            </w:tcBorders>
            <w:shd w:color="auto" w:fill="ffffff" w:val="clear"/>
            <w:tcMar>
              <w:left w:w="28" w:type="dxa"/>
              <w:right w:w="2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195,34</w:t>
            </w:r>
          </w:p>
        </w:tc>
        <w:tc>
          <w:tcPr>
            <w:tcW w:w="1123" w:type="dxa"/>
            <w:tcBorders>
              <w:top w:val="single" w:color="000000" w:sz="4"/>
              <w:left w:val="single" w:color="000000" w:sz="4"/>
              <w:bottom w:val="single" w:color="000000" w:sz="4"/>
              <w:right w:val="single" w:color="000000" w:sz="4"/>
            </w:tcBorders>
            <w:shd w:color="auto" w:fill="ffffff" w:val="clear"/>
            <w:tcMar>
              <w:left w:w="28" w:type="dxa"/>
              <w:right w:w="2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191,41</w:t>
            </w:r>
          </w:p>
        </w:tc>
      </w:tr>
      <w:tr>
        <w:trPr>
          <w:trHeight w:val="255" w:hRule="auto"/>
          <w:jc w:val="left"/>
        </w:trPr>
        <w:tc>
          <w:tcPr>
            <w:tcW w:w="425" w:type="dxa"/>
            <w:tcBorders>
              <w:top w:val="single" w:color="000000" w:sz="4"/>
              <w:left w:val="single" w:color="000000" w:sz="4"/>
              <w:bottom w:val="single" w:color="000000" w:sz="4"/>
              <w:right w:val="single" w:color="000000" w:sz="4"/>
            </w:tcBorders>
            <w:shd w:color="auto" w:fill="d9e1f2" w:val="clear"/>
            <w:tcMar>
              <w:left w:w="28" w:type="dxa"/>
              <w:right w:w="2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C</w:t>
            </w:r>
          </w:p>
        </w:tc>
        <w:tc>
          <w:tcPr>
            <w:tcW w:w="1719" w:type="dxa"/>
            <w:tcBorders>
              <w:top w:val="single" w:color="000000" w:sz="4"/>
              <w:left w:val="single" w:color="000000" w:sz="4"/>
              <w:bottom w:val="single" w:color="000000" w:sz="4"/>
              <w:right w:val="single" w:color="000000" w:sz="4"/>
            </w:tcBorders>
            <w:shd w:color="auto" w:fill="d9e1f2" w:val="clear"/>
            <w:tcMar>
              <w:left w:w="28" w:type="dxa"/>
              <w:right w:w="2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Od 1966 do 1973.god.</w:t>
            </w:r>
          </w:p>
        </w:tc>
        <w:tc>
          <w:tcPr>
            <w:tcW w:w="959" w:type="dxa"/>
            <w:tcBorders>
              <w:top w:val="single" w:color="000000" w:sz="4"/>
              <w:left w:val="single" w:color="000000" w:sz="4"/>
              <w:bottom w:val="single" w:color="000000" w:sz="4"/>
              <w:right w:val="single" w:color="000000" w:sz="4"/>
            </w:tcBorders>
            <w:shd w:color="auto" w:fill="ffffff" w:val="clear"/>
            <w:tcMar>
              <w:left w:w="28" w:type="dxa"/>
              <w:right w:w="2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240,43</w:t>
            </w:r>
          </w:p>
        </w:tc>
        <w:tc>
          <w:tcPr>
            <w:tcW w:w="1209" w:type="dxa"/>
            <w:tcBorders>
              <w:top w:val="single" w:color="000000" w:sz="4"/>
              <w:left w:val="single" w:color="000000" w:sz="4"/>
              <w:bottom w:val="single" w:color="000000" w:sz="4"/>
              <w:right w:val="single" w:color="000000" w:sz="4"/>
            </w:tcBorders>
            <w:shd w:color="auto" w:fill="ffffff" w:val="clear"/>
            <w:tcMar>
              <w:left w:w="28" w:type="dxa"/>
              <w:right w:w="2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197,25</w:t>
            </w:r>
          </w:p>
        </w:tc>
        <w:tc>
          <w:tcPr>
            <w:tcW w:w="1003" w:type="dxa"/>
            <w:tcBorders>
              <w:top w:val="single" w:color="000000" w:sz="4"/>
              <w:left w:val="single" w:color="000000" w:sz="4"/>
              <w:bottom w:val="single" w:color="000000" w:sz="4"/>
              <w:right w:val="single" w:color="000000" w:sz="4"/>
            </w:tcBorders>
            <w:shd w:color="auto" w:fill="ffffff" w:val="clear"/>
            <w:tcMar>
              <w:left w:w="28" w:type="dxa"/>
              <w:right w:w="2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198,71</w:t>
            </w:r>
          </w:p>
        </w:tc>
        <w:tc>
          <w:tcPr>
            <w:tcW w:w="888" w:type="dxa"/>
            <w:tcBorders>
              <w:top w:val="single" w:color="000000" w:sz="4"/>
              <w:left w:val="single" w:color="000000" w:sz="4"/>
              <w:bottom w:val="single" w:color="000000" w:sz="4"/>
              <w:right w:val="single" w:color="000000" w:sz="4"/>
            </w:tcBorders>
            <w:shd w:color="auto" w:fill="ffffff" w:val="clear"/>
            <w:tcMar>
              <w:left w:w="28" w:type="dxa"/>
              <w:right w:w="2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343,88</w:t>
            </w:r>
          </w:p>
        </w:tc>
        <w:tc>
          <w:tcPr>
            <w:tcW w:w="917" w:type="dxa"/>
            <w:tcBorders>
              <w:top w:val="single" w:color="000000" w:sz="4"/>
              <w:left w:val="single" w:color="000000" w:sz="4"/>
              <w:bottom w:val="single" w:color="000000" w:sz="4"/>
              <w:right w:val="single" w:color="000000" w:sz="4"/>
            </w:tcBorders>
            <w:shd w:color="auto" w:fill="ffffff" w:val="clear"/>
            <w:tcMar>
              <w:left w:w="28" w:type="dxa"/>
              <w:right w:w="2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263,92</w:t>
            </w:r>
          </w:p>
        </w:tc>
        <w:tc>
          <w:tcPr>
            <w:tcW w:w="1385" w:type="dxa"/>
            <w:tcBorders>
              <w:top w:val="single" w:color="000000" w:sz="4"/>
              <w:left w:val="single" w:color="000000" w:sz="4"/>
              <w:bottom w:val="single" w:color="000000" w:sz="4"/>
              <w:right w:val="single" w:color="000000" w:sz="4"/>
            </w:tcBorders>
            <w:shd w:color="auto" w:fill="ffffff" w:val="clear"/>
            <w:tcMar>
              <w:left w:w="28" w:type="dxa"/>
              <w:right w:w="2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178,83</w:t>
            </w:r>
          </w:p>
        </w:tc>
        <w:tc>
          <w:tcPr>
            <w:tcW w:w="1123" w:type="dxa"/>
            <w:tcBorders>
              <w:top w:val="single" w:color="000000" w:sz="4"/>
              <w:left w:val="single" w:color="000000" w:sz="4"/>
              <w:bottom w:val="single" w:color="000000" w:sz="4"/>
              <w:right w:val="single" w:color="000000" w:sz="4"/>
            </w:tcBorders>
            <w:shd w:color="auto" w:fill="ffffff" w:val="clear"/>
            <w:tcMar>
              <w:left w:w="28" w:type="dxa"/>
              <w:right w:w="2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175,80</w:t>
            </w:r>
          </w:p>
        </w:tc>
      </w:tr>
      <w:tr>
        <w:trPr>
          <w:trHeight w:val="255" w:hRule="auto"/>
          <w:jc w:val="left"/>
        </w:trPr>
        <w:tc>
          <w:tcPr>
            <w:tcW w:w="425" w:type="dxa"/>
            <w:tcBorders>
              <w:top w:val="single" w:color="000000" w:sz="4"/>
              <w:left w:val="single" w:color="000000" w:sz="4"/>
              <w:bottom w:val="single" w:color="000000" w:sz="4"/>
              <w:right w:val="single" w:color="000000" w:sz="4"/>
            </w:tcBorders>
            <w:shd w:color="auto" w:fill="d9e1f2" w:val="clear"/>
            <w:tcMar>
              <w:left w:w="28" w:type="dxa"/>
              <w:right w:w="2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D</w:t>
            </w:r>
          </w:p>
        </w:tc>
        <w:tc>
          <w:tcPr>
            <w:tcW w:w="1719" w:type="dxa"/>
            <w:tcBorders>
              <w:top w:val="single" w:color="000000" w:sz="4"/>
              <w:left w:val="single" w:color="000000" w:sz="4"/>
              <w:bottom w:val="single" w:color="000000" w:sz="4"/>
              <w:right w:val="single" w:color="000000" w:sz="4"/>
            </w:tcBorders>
            <w:shd w:color="auto" w:fill="d9e1f2" w:val="clear"/>
            <w:tcMar>
              <w:left w:w="28" w:type="dxa"/>
              <w:right w:w="2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Od 1974 do 1987.god.</w:t>
            </w:r>
          </w:p>
        </w:tc>
        <w:tc>
          <w:tcPr>
            <w:tcW w:w="959" w:type="dxa"/>
            <w:tcBorders>
              <w:top w:val="single" w:color="000000" w:sz="4"/>
              <w:left w:val="single" w:color="000000" w:sz="4"/>
              <w:bottom w:val="single" w:color="000000" w:sz="4"/>
              <w:right w:val="single" w:color="000000" w:sz="4"/>
            </w:tcBorders>
            <w:shd w:color="auto" w:fill="ffffff" w:val="clear"/>
            <w:tcMar>
              <w:left w:w="28" w:type="dxa"/>
              <w:right w:w="2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270,50</w:t>
            </w:r>
          </w:p>
        </w:tc>
        <w:tc>
          <w:tcPr>
            <w:tcW w:w="1209" w:type="dxa"/>
            <w:tcBorders>
              <w:top w:val="single" w:color="000000" w:sz="4"/>
              <w:left w:val="single" w:color="000000" w:sz="4"/>
              <w:bottom w:val="single" w:color="000000" w:sz="4"/>
              <w:right w:val="single" w:color="000000" w:sz="4"/>
            </w:tcBorders>
            <w:shd w:color="auto" w:fill="ffffff" w:val="clear"/>
            <w:tcMar>
              <w:left w:w="28" w:type="dxa"/>
              <w:right w:w="2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197,32</w:t>
            </w:r>
          </w:p>
        </w:tc>
        <w:tc>
          <w:tcPr>
            <w:tcW w:w="1003" w:type="dxa"/>
            <w:tcBorders>
              <w:top w:val="single" w:color="000000" w:sz="4"/>
              <w:left w:val="single" w:color="000000" w:sz="4"/>
              <w:bottom w:val="single" w:color="000000" w:sz="4"/>
              <w:right w:val="single" w:color="000000" w:sz="4"/>
            </w:tcBorders>
            <w:shd w:color="auto" w:fill="ffffff" w:val="clear"/>
            <w:tcMar>
              <w:left w:w="28" w:type="dxa"/>
              <w:right w:w="2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212,35</w:t>
            </w:r>
          </w:p>
        </w:tc>
        <w:tc>
          <w:tcPr>
            <w:tcW w:w="888" w:type="dxa"/>
            <w:tcBorders>
              <w:top w:val="single" w:color="000000" w:sz="4"/>
              <w:left w:val="single" w:color="000000" w:sz="4"/>
              <w:bottom w:val="single" w:color="000000" w:sz="4"/>
              <w:right w:val="single" w:color="000000" w:sz="4"/>
            </w:tcBorders>
            <w:shd w:color="auto" w:fill="ffffff" w:val="clear"/>
            <w:tcMar>
              <w:left w:w="28" w:type="dxa"/>
              <w:right w:w="2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299,74</w:t>
            </w:r>
          </w:p>
        </w:tc>
        <w:tc>
          <w:tcPr>
            <w:tcW w:w="917" w:type="dxa"/>
            <w:tcBorders>
              <w:top w:val="single" w:color="000000" w:sz="4"/>
              <w:left w:val="single" w:color="000000" w:sz="4"/>
              <w:bottom w:val="single" w:color="000000" w:sz="4"/>
              <w:right w:val="single" w:color="000000" w:sz="4"/>
            </w:tcBorders>
            <w:shd w:color="auto" w:fill="ffffff" w:val="clear"/>
            <w:tcMar>
              <w:left w:w="28" w:type="dxa"/>
              <w:right w:w="2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264,85</w:t>
            </w:r>
          </w:p>
        </w:tc>
        <w:tc>
          <w:tcPr>
            <w:tcW w:w="1385" w:type="dxa"/>
            <w:tcBorders>
              <w:top w:val="single" w:color="000000" w:sz="4"/>
              <w:left w:val="single" w:color="000000" w:sz="4"/>
              <w:bottom w:val="single" w:color="000000" w:sz="4"/>
              <w:right w:val="single" w:color="000000" w:sz="4"/>
            </w:tcBorders>
            <w:shd w:color="auto" w:fill="ffffff" w:val="clear"/>
            <w:tcMar>
              <w:left w:w="28" w:type="dxa"/>
              <w:right w:w="2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187,29</w:t>
            </w:r>
          </w:p>
        </w:tc>
        <w:tc>
          <w:tcPr>
            <w:tcW w:w="1123" w:type="dxa"/>
            <w:tcBorders>
              <w:top w:val="single" w:color="000000" w:sz="4"/>
              <w:left w:val="single" w:color="000000" w:sz="4"/>
              <w:bottom w:val="single" w:color="000000" w:sz="4"/>
              <w:right w:val="single" w:color="000000" w:sz="4"/>
            </w:tcBorders>
            <w:shd w:color="auto" w:fill="ffffff" w:val="clear"/>
            <w:tcMar>
              <w:left w:w="28" w:type="dxa"/>
              <w:right w:w="2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200,07</w:t>
            </w:r>
          </w:p>
        </w:tc>
      </w:tr>
      <w:tr>
        <w:trPr>
          <w:trHeight w:val="255" w:hRule="auto"/>
          <w:jc w:val="left"/>
        </w:trPr>
        <w:tc>
          <w:tcPr>
            <w:tcW w:w="425" w:type="dxa"/>
            <w:tcBorders>
              <w:top w:val="single" w:color="000000" w:sz="4"/>
              <w:left w:val="single" w:color="000000" w:sz="4"/>
              <w:bottom w:val="single" w:color="000000" w:sz="4"/>
              <w:right w:val="single" w:color="000000" w:sz="4"/>
            </w:tcBorders>
            <w:shd w:color="auto" w:fill="d9e1f2" w:val="clear"/>
            <w:tcMar>
              <w:left w:w="28" w:type="dxa"/>
              <w:right w:w="2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E</w:t>
            </w:r>
          </w:p>
        </w:tc>
        <w:tc>
          <w:tcPr>
            <w:tcW w:w="1719" w:type="dxa"/>
            <w:tcBorders>
              <w:top w:val="single" w:color="000000" w:sz="4"/>
              <w:left w:val="single" w:color="000000" w:sz="4"/>
              <w:bottom w:val="single" w:color="000000" w:sz="4"/>
              <w:right w:val="single" w:color="000000" w:sz="4"/>
            </w:tcBorders>
            <w:shd w:color="auto" w:fill="d9e1f2" w:val="clear"/>
            <w:tcMar>
              <w:left w:w="28" w:type="dxa"/>
              <w:right w:w="2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Od 1988 do 2009.god.</w:t>
            </w:r>
          </w:p>
        </w:tc>
        <w:tc>
          <w:tcPr>
            <w:tcW w:w="959" w:type="dxa"/>
            <w:tcBorders>
              <w:top w:val="single" w:color="000000" w:sz="4"/>
              <w:left w:val="single" w:color="000000" w:sz="4"/>
              <w:bottom w:val="single" w:color="000000" w:sz="4"/>
              <w:right w:val="single" w:color="000000" w:sz="4"/>
            </w:tcBorders>
            <w:shd w:color="auto" w:fill="ffffff" w:val="clear"/>
            <w:tcMar>
              <w:left w:w="28" w:type="dxa"/>
              <w:right w:w="2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176,81</w:t>
            </w:r>
          </w:p>
        </w:tc>
        <w:tc>
          <w:tcPr>
            <w:tcW w:w="1209" w:type="dxa"/>
            <w:tcBorders>
              <w:top w:val="single" w:color="000000" w:sz="4"/>
              <w:left w:val="single" w:color="000000" w:sz="4"/>
              <w:bottom w:val="single" w:color="000000" w:sz="4"/>
              <w:right w:val="single" w:color="000000" w:sz="4"/>
            </w:tcBorders>
            <w:shd w:color="auto" w:fill="ffffff" w:val="clear"/>
            <w:tcMar>
              <w:left w:w="28" w:type="dxa"/>
              <w:right w:w="2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148,09</w:t>
            </w:r>
          </w:p>
        </w:tc>
        <w:tc>
          <w:tcPr>
            <w:tcW w:w="1003" w:type="dxa"/>
            <w:tcBorders>
              <w:top w:val="single" w:color="000000" w:sz="4"/>
              <w:left w:val="single" w:color="000000" w:sz="4"/>
              <w:bottom w:val="single" w:color="000000" w:sz="4"/>
              <w:right w:val="single" w:color="000000" w:sz="4"/>
            </w:tcBorders>
            <w:shd w:color="auto" w:fill="ffffff" w:val="clear"/>
            <w:tcMar>
              <w:left w:w="28" w:type="dxa"/>
              <w:right w:w="2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181,20</w:t>
            </w:r>
          </w:p>
        </w:tc>
        <w:tc>
          <w:tcPr>
            <w:tcW w:w="888" w:type="dxa"/>
            <w:tcBorders>
              <w:top w:val="single" w:color="000000" w:sz="4"/>
              <w:left w:val="single" w:color="000000" w:sz="4"/>
              <w:bottom w:val="single" w:color="000000" w:sz="4"/>
              <w:right w:val="single" w:color="000000" w:sz="4"/>
            </w:tcBorders>
            <w:shd w:color="auto" w:fill="ffffff" w:val="clear"/>
            <w:tcMar>
              <w:left w:w="28" w:type="dxa"/>
              <w:right w:w="2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281,36</w:t>
            </w:r>
          </w:p>
        </w:tc>
        <w:tc>
          <w:tcPr>
            <w:tcW w:w="917" w:type="dxa"/>
            <w:tcBorders>
              <w:top w:val="single" w:color="000000" w:sz="4"/>
              <w:left w:val="single" w:color="000000" w:sz="4"/>
              <w:bottom w:val="single" w:color="000000" w:sz="4"/>
              <w:right w:val="single" w:color="000000" w:sz="4"/>
            </w:tcBorders>
            <w:shd w:color="auto" w:fill="ffffff" w:val="clear"/>
            <w:tcMar>
              <w:left w:w="28" w:type="dxa"/>
              <w:right w:w="2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156,26</w:t>
            </w:r>
          </w:p>
        </w:tc>
        <w:tc>
          <w:tcPr>
            <w:tcW w:w="1385" w:type="dxa"/>
            <w:tcBorders>
              <w:top w:val="single" w:color="000000" w:sz="4"/>
              <w:left w:val="single" w:color="000000" w:sz="4"/>
              <w:bottom w:val="single" w:color="000000" w:sz="4"/>
              <w:right w:val="single" w:color="000000" w:sz="4"/>
            </w:tcBorders>
            <w:shd w:color="auto" w:fill="ffffff" w:val="clear"/>
            <w:tcMar>
              <w:left w:w="28" w:type="dxa"/>
              <w:right w:w="2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136,18</w:t>
            </w:r>
          </w:p>
        </w:tc>
        <w:tc>
          <w:tcPr>
            <w:tcW w:w="1123" w:type="dxa"/>
            <w:tcBorders>
              <w:top w:val="single" w:color="000000" w:sz="4"/>
              <w:left w:val="single" w:color="000000" w:sz="4"/>
              <w:bottom w:val="single" w:color="000000" w:sz="4"/>
              <w:right w:val="single" w:color="000000" w:sz="4"/>
            </w:tcBorders>
            <w:shd w:color="auto" w:fill="ffffff" w:val="clear"/>
            <w:tcMar>
              <w:left w:w="28" w:type="dxa"/>
              <w:right w:w="2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137,04</w:t>
            </w:r>
          </w:p>
        </w:tc>
      </w:tr>
      <w:tr>
        <w:trPr>
          <w:trHeight w:val="255" w:hRule="auto"/>
          <w:jc w:val="left"/>
        </w:trPr>
        <w:tc>
          <w:tcPr>
            <w:tcW w:w="425" w:type="dxa"/>
            <w:tcBorders>
              <w:top w:val="single" w:color="000000" w:sz="4"/>
              <w:left w:val="single" w:color="000000" w:sz="4"/>
              <w:bottom w:val="single" w:color="000000" w:sz="4"/>
              <w:right w:val="single" w:color="000000" w:sz="4"/>
            </w:tcBorders>
            <w:shd w:color="auto" w:fill="d9e1f2" w:val="clear"/>
            <w:tcMar>
              <w:left w:w="28" w:type="dxa"/>
              <w:right w:w="2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F</w:t>
            </w:r>
          </w:p>
        </w:tc>
        <w:tc>
          <w:tcPr>
            <w:tcW w:w="1719" w:type="dxa"/>
            <w:tcBorders>
              <w:top w:val="single" w:color="000000" w:sz="4"/>
              <w:left w:val="single" w:color="000000" w:sz="4"/>
              <w:bottom w:val="single" w:color="000000" w:sz="4"/>
              <w:right w:val="single" w:color="000000" w:sz="4"/>
            </w:tcBorders>
            <w:shd w:color="auto" w:fill="d9e1f2" w:val="clear"/>
            <w:tcMar>
              <w:left w:w="28" w:type="dxa"/>
              <w:right w:w="2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Poslije 2010.god.</w:t>
            </w:r>
          </w:p>
        </w:tc>
        <w:tc>
          <w:tcPr>
            <w:tcW w:w="959" w:type="dxa"/>
            <w:tcBorders>
              <w:top w:val="single" w:color="000000" w:sz="4"/>
              <w:left w:val="single" w:color="000000" w:sz="4"/>
              <w:bottom w:val="single" w:color="000000" w:sz="4"/>
              <w:right w:val="single" w:color="000000" w:sz="4"/>
            </w:tcBorders>
            <w:shd w:color="auto" w:fill="ffffff" w:val="clear"/>
            <w:tcMar>
              <w:left w:w="28" w:type="dxa"/>
              <w:right w:w="2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155,61</w:t>
            </w:r>
          </w:p>
        </w:tc>
        <w:tc>
          <w:tcPr>
            <w:tcW w:w="1209" w:type="dxa"/>
            <w:tcBorders>
              <w:top w:val="single" w:color="000000" w:sz="4"/>
              <w:left w:val="single" w:color="000000" w:sz="4"/>
              <w:bottom w:val="single" w:color="000000" w:sz="4"/>
              <w:right w:val="single" w:color="000000" w:sz="4"/>
            </w:tcBorders>
            <w:shd w:color="auto" w:fill="ffffff" w:val="clear"/>
            <w:tcMar>
              <w:left w:w="28" w:type="dxa"/>
              <w:right w:w="2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101,86</w:t>
            </w:r>
          </w:p>
        </w:tc>
        <w:tc>
          <w:tcPr>
            <w:tcW w:w="1003" w:type="dxa"/>
            <w:tcBorders>
              <w:top w:val="single" w:color="000000" w:sz="4"/>
              <w:left w:val="single" w:color="000000" w:sz="4"/>
              <w:bottom w:val="single" w:color="000000" w:sz="4"/>
              <w:right w:val="single" w:color="000000" w:sz="4"/>
            </w:tcBorders>
            <w:shd w:color="auto" w:fill="ffffff" w:val="clear"/>
            <w:tcMar>
              <w:left w:w="28" w:type="dxa"/>
              <w:right w:w="2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888" w:type="dxa"/>
            <w:tcBorders>
              <w:top w:val="single" w:color="000000" w:sz="4"/>
              <w:left w:val="single" w:color="000000" w:sz="4"/>
              <w:bottom w:val="single" w:color="000000" w:sz="4"/>
              <w:right w:val="single" w:color="000000" w:sz="4"/>
            </w:tcBorders>
            <w:shd w:color="auto" w:fill="ffffff" w:val="clear"/>
            <w:tcMar>
              <w:left w:w="28" w:type="dxa"/>
              <w:right w:w="2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291,73</w:t>
            </w:r>
          </w:p>
        </w:tc>
        <w:tc>
          <w:tcPr>
            <w:tcW w:w="917" w:type="dxa"/>
            <w:tcBorders>
              <w:top w:val="single" w:color="000000" w:sz="4"/>
              <w:left w:val="single" w:color="000000" w:sz="4"/>
              <w:bottom w:val="single" w:color="000000" w:sz="4"/>
              <w:right w:val="single" w:color="000000" w:sz="4"/>
            </w:tcBorders>
            <w:shd w:color="auto" w:fill="ffffff" w:val="clear"/>
            <w:tcMar>
              <w:left w:w="28" w:type="dxa"/>
              <w:right w:w="2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1385" w:type="dxa"/>
            <w:tcBorders>
              <w:top w:val="single" w:color="000000" w:sz="4"/>
              <w:left w:val="single" w:color="000000" w:sz="4"/>
              <w:bottom w:val="single" w:color="000000" w:sz="4"/>
              <w:right w:val="single" w:color="000000" w:sz="4"/>
            </w:tcBorders>
            <w:shd w:color="auto" w:fill="ffffff" w:val="clear"/>
            <w:tcMar>
              <w:left w:w="28" w:type="dxa"/>
              <w:right w:w="2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124,86</w:t>
            </w:r>
          </w:p>
        </w:tc>
        <w:tc>
          <w:tcPr>
            <w:tcW w:w="1123" w:type="dxa"/>
            <w:tcBorders>
              <w:top w:val="single" w:color="000000" w:sz="4"/>
              <w:left w:val="single" w:color="000000" w:sz="4"/>
              <w:bottom w:val="single" w:color="000000" w:sz="4"/>
              <w:right w:val="single" w:color="000000" w:sz="4"/>
            </w:tcBorders>
            <w:shd w:color="auto" w:fill="ffffff" w:val="clear"/>
            <w:tcMar>
              <w:left w:w="28" w:type="dxa"/>
              <w:right w:w="2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r>
    </w:tbl>
    <w:p>
      <w:pPr>
        <w:spacing w:before="60" w:after="200" w:line="240"/>
        <w:ind w:right="0" w:left="0" w:firstLine="0"/>
        <w:jc w:val="center"/>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Tabela 52: Specifi</w:t>
      </w:r>
      <w:r>
        <w:rPr>
          <w:rFonts w:ascii="Calibri" w:hAnsi="Calibri" w:cs="Calibri" w:eastAsia="Calibri"/>
          <w:color w:val="auto"/>
          <w:spacing w:val="0"/>
          <w:position w:val="0"/>
          <w:sz w:val="18"/>
          <w:shd w:fill="auto" w:val="clear"/>
        </w:rPr>
        <w:t xml:space="preserve">čna godišnja potrebna energija za grijanje javnih zgrada u Bosni i Hercegovini - Qhnd (kWh/m</w:t>
      </w:r>
      <w:r>
        <w:rPr>
          <w:rFonts w:ascii="Calibri" w:hAnsi="Calibri" w:cs="Calibri" w:eastAsia="Calibri"/>
          <w:color w:val="auto"/>
          <w:spacing w:val="0"/>
          <w:position w:val="0"/>
          <w:sz w:val="18"/>
          <w:shd w:fill="auto" w:val="clear"/>
        </w:rPr>
        <w:t xml:space="preserve">²)</w:t>
      </w:r>
    </w:p>
    <w:p>
      <w:pPr>
        <w:spacing w:before="120" w:after="12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Naredna tabela daje pregled potrebne finalne energije za grijanje javnih zgrada u vlasništvu Op</w:t>
      </w:r>
      <w:r>
        <w:rPr>
          <w:rFonts w:ascii="Calibri" w:hAnsi="Calibri" w:cs="Calibri" w:eastAsia="Calibri"/>
          <w:color w:val="auto"/>
          <w:spacing w:val="0"/>
          <w:position w:val="0"/>
          <w:sz w:val="20"/>
          <w:shd w:fill="auto" w:val="clear"/>
        </w:rPr>
        <w:t xml:space="preserve">ćine u baznoj 2010. godini, koja je dobivena kao proizvod grijane površine zgrada ovog podsektora i odgovarajućih vrijednosti specifične godišnje potrošnje energije. </w:t>
      </w:r>
    </w:p>
    <w:tbl>
      <w:tblPr/>
      <w:tblGrid>
        <w:gridCol w:w="470"/>
        <w:gridCol w:w="2384"/>
        <w:gridCol w:w="1270"/>
        <w:gridCol w:w="1112"/>
        <w:gridCol w:w="1112"/>
        <w:gridCol w:w="1432"/>
        <w:gridCol w:w="1595"/>
      </w:tblGrid>
      <w:tr>
        <w:trPr>
          <w:trHeight w:val="284" w:hRule="auto"/>
          <w:jc w:val="left"/>
        </w:trPr>
        <w:tc>
          <w:tcPr>
            <w:tcW w:w="9375" w:type="dxa"/>
            <w:gridSpan w:val="7"/>
            <w:tcBorders>
              <w:top w:val="single" w:color="000000" w:sz="4"/>
              <w:left w:val="single" w:color="000000" w:sz="4"/>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FINALAN ENERGIJA [MWh]</w:t>
            </w:r>
          </w:p>
        </w:tc>
      </w:tr>
      <w:tr>
        <w:trPr>
          <w:trHeight w:val="16" w:hRule="auto"/>
          <w:jc w:val="left"/>
        </w:trPr>
        <w:tc>
          <w:tcPr>
            <w:tcW w:w="2854" w:type="dxa"/>
            <w:gridSpan w:val="2"/>
            <w:vMerge w:val="restart"/>
            <w:tcBorders>
              <w:top w:val="single" w:color="000000" w:sz="4"/>
              <w:left w:val="single" w:color="000000" w:sz="4"/>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VRSTA ENERGENTA</w:t>
            </w:r>
          </w:p>
        </w:tc>
        <w:tc>
          <w:tcPr>
            <w:tcW w:w="1270" w:type="dxa"/>
            <w:vMerge w:val="restart"/>
            <w:tcBorders>
              <w:top w:val="single" w:color="000000" w:sz="4"/>
              <w:left w:val="single" w:color="000000" w:sz="4"/>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ELEKTRI</w:t>
            </w:r>
            <w:r>
              <w:rPr>
                <w:rFonts w:ascii="Calibri" w:hAnsi="Calibri" w:cs="Calibri" w:eastAsia="Calibri"/>
                <w:color w:val="000000"/>
                <w:spacing w:val="0"/>
                <w:position w:val="0"/>
                <w:sz w:val="18"/>
                <w:shd w:fill="auto" w:val="clear"/>
              </w:rPr>
              <w:t xml:space="preserve">ČNA ENERGIJA</w:t>
            </w:r>
          </w:p>
        </w:tc>
        <w:tc>
          <w:tcPr>
            <w:tcW w:w="2224" w:type="dxa"/>
            <w:gridSpan w:val="2"/>
            <w:tcBorders>
              <w:top w:val="single" w:color="000000" w:sz="4"/>
              <w:left w:val="single" w:color="000000" w:sz="4"/>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FOSILNA GORIVA</w:t>
            </w:r>
          </w:p>
        </w:tc>
        <w:tc>
          <w:tcPr>
            <w:tcW w:w="1432" w:type="dxa"/>
            <w:tcBorders>
              <w:top w:val="single" w:color="000000" w:sz="4"/>
              <w:left w:val="single" w:color="000000" w:sz="4"/>
              <w:bottom w:val="single" w:color="000000" w:sz="4"/>
              <w:right w:val="single" w:color="000000" w:sz="4"/>
            </w:tcBorders>
            <w:shd w:color="auto" w:fill="bdd7ee" w:val="clear"/>
            <w:tcMar>
              <w:left w:w="44" w:type="dxa"/>
              <w:right w:w="44"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OBNOVLJIVI IZVORI ENERGIJE</w:t>
            </w:r>
          </w:p>
        </w:tc>
        <w:tc>
          <w:tcPr>
            <w:tcW w:w="1595" w:type="dxa"/>
            <w:vMerge w:val="restart"/>
            <w:tcBorders>
              <w:top w:val="single" w:color="000000" w:sz="4"/>
              <w:left w:val="single" w:color="000000" w:sz="4"/>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UKUPNO PO NAMJENI ZGRADE</w:t>
            </w:r>
          </w:p>
        </w:tc>
      </w:tr>
      <w:tr>
        <w:trPr>
          <w:trHeight w:val="16" w:hRule="auto"/>
          <w:jc w:val="left"/>
        </w:trPr>
        <w:tc>
          <w:tcPr>
            <w:tcW w:w="2854" w:type="dxa"/>
            <w:gridSpan w:val="2"/>
            <w:vMerge/>
            <w:tcBorders>
              <w:top w:val="single" w:color="000000" w:sz="4"/>
              <w:left w:val="single" w:color="000000" w:sz="4"/>
              <w:bottom w:val="single" w:color="000000" w:sz="4"/>
              <w:right w:val="single" w:color="000000" w:sz="4"/>
            </w:tcBorders>
            <w:shd w:color="000000" w:fill="ffffff" w:val="clear"/>
            <w:tcMar>
              <w:left w:w="44" w:type="dxa"/>
              <w:right w:w="44"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270" w:type="dxa"/>
            <w:vMerge/>
            <w:tcBorders>
              <w:top w:val="single" w:color="000000" w:sz="4"/>
              <w:left w:val="single" w:color="000000" w:sz="4"/>
              <w:bottom w:val="single" w:color="000000" w:sz="4"/>
              <w:right w:val="single" w:color="000000" w:sz="4"/>
            </w:tcBorders>
            <w:shd w:color="000000" w:fill="ffffff" w:val="clear"/>
            <w:tcMar>
              <w:left w:w="44" w:type="dxa"/>
              <w:right w:w="44"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112" w:type="dxa"/>
            <w:tcBorders>
              <w:top w:val="single" w:color="000000" w:sz="4"/>
              <w:left w:val="single" w:color="000000" w:sz="4"/>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LIGNIT</w:t>
            </w:r>
          </w:p>
        </w:tc>
        <w:tc>
          <w:tcPr>
            <w:tcW w:w="1112" w:type="dxa"/>
            <w:tcBorders>
              <w:top w:val="single" w:color="000000" w:sz="4"/>
              <w:left w:val="single" w:color="000000" w:sz="4"/>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MRKI UGALJ</w:t>
            </w:r>
          </w:p>
        </w:tc>
        <w:tc>
          <w:tcPr>
            <w:tcW w:w="1432" w:type="dxa"/>
            <w:tcBorders>
              <w:top w:val="single" w:color="000000" w:sz="4"/>
              <w:left w:val="single" w:color="000000" w:sz="4"/>
              <w:bottom w:val="single" w:color="000000" w:sz="4"/>
              <w:right w:val="single" w:color="000000" w:sz="4"/>
            </w:tcBorders>
            <w:shd w:color="auto" w:fill="bdd6ee" w:val="clear"/>
            <w:tcMar>
              <w:left w:w="44" w:type="dxa"/>
              <w:right w:w="44"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BIOMASA</w:t>
            </w:r>
          </w:p>
        </w:tc>
        <w:tc>
          <w:tcPr>
            <w:tcW w:w="1595" w:type="dxa"/>
            <w:vMerge/>
            <w:tcBorders>
              <w:top w:val="single" w:color="000000" w:sz="4"/>
              <w:left w:val="single" w:color="000000" w:sz="4"/>
              <w:bottom w:val="single" w:color="000000" w:sz="4"/>
              <w:right w:val="single" w:color="000000" w:sz="4"/>
            </w:tcBorders>
            <w:shd w:color="000000" w:fill="ffffff" w:val="clear"/>
            <w:tcMar>
              <w:left w:w="44" w:type="dxa"/>
              <w:right w:w="44"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r>
      <w:tr>
        <w:trPr>
          <w:trHeight w:val="16" w:hRule="auto"/>
          <w:jc w:val="left"/>
        </w:trPr>
        <w:tc>
          <w:tcPr>
            <w:tcW w:w="470" w:type="dxa"/>
            <w:vMerge w:val="restart"/>
            <w:tcBorders>
              <w:top w:val="single" w:color="000000" w:sz="4"/>
              <w:left w:val="single" w:color="000000" w:sz="4"/>
              <w:bottom w:val="single" w:color="000000" w:sz="4"/>
              <w:right w:val="single" w:color="000000" w:sz="4"/>
            </w:tcBorders>
            <w:shd w:color="auto" w:fill="b4c6e7"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NAMJENA ZGRADE</w:t>
            </w:r>
          </w:p>
        </w:tc>
        <w:tc>
          <w:tcPr>
            <w:tcW w:w="2384" w:type="dxa"/>
            <w:tcBorders>
              <w:top w:val="single" w:color="000000" w:sz="4"/>
              <w:left w:val="single" w:color="000000" w:sz="4"/>
              <w:bottom w:val="single" w:color="000000" w:sz="4"/>
              <w:right w:val="single" w:color="000000" w:sz="4"/>
            </w:tcBorders>
            <w:shd w:color="auto" w:fill="b4c6e7" w:val="clear"/>
            <w:tcMar>
              <w:left w:w="44" w:type="dxa"/>
              <w:right w:w="44"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PREDŠKOLSKI ODGOJ</w:t>
            </w:r>
          </w:p>
        </w:tc>
        <w:tc>
          <w:tcPr>
            <w:tcW w:w="1270" w:type="dxa"/>
            <w:tcBorders>
              <w:top w:val="single" w:color="000000" w:sz="4"/>
              <w:left w:val="single" w:color="000000" w:sz="4"/>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112" w:type="dxa"/>
            <w:tcBorders>
              <w:top w:val="single" w:color="000000" w:sz="4"/>
              <w:left w:val="single" w:color="000000" w:sz="4"/>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55,02</w:t>
            </w:r>
          </w:p>
        </w:tc>
        <w:tc>
          <w:tcPr>
            <w:tcW w:w="1112" w:type="dxa"/>
            <w:tcBorders>
              <w:top w:val="single" w:color="000000" w:sz="4"/>
              <w:left w:val="single" w:color="000000" w:sz="4"/>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55,02</w:t>
            </w:r>
          </w:p>
        </w:tc>
        <w:tc>
          <w:tcPr>
            <w:tcW w:w="1432" w:type="dxa"/>
            <w:tcBorders>
              <w:top w:val="single" w:color="000000" w:sz="4"/>
              <w:left w:val="single" w:color="000000" w:sz="4"/>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595" w:type="dxa"/>
            <w:tcBorders>
              <w:top w:val="single" w:color="000000" w:sz="4"/>
              <w:left w:val="single" w:color="000000" w:sz="4"/>
              <w:bottom w:val="single" w:color="000000" w:sz="4"/>
              <w:right w:val="single" w:color="000000" w:sz="4"/>
            </w:tcBorders>
            <w:shd w:color="auto" w:fill="d9e1f2" w:val="clear"/>
            <w:tcMar>
              <w:left w:w="44" w:type="dxa"/>
              <w:right w:w="44" w:type="dxa"/>
            </w:tcMar>
            <w:vAlign w:val="bottom"/>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110,03</w:t>
            </w:r>
          </w:p>
        </w:tc>
      </w:tr>
      <w:tr>
        <w:trPr>
          <w:trHeight w:val="16" w:hRule="auto"/>
          <w:jc w:val="left"/>
        </w:trPr>
        <w:tc>
          <w:tcPr>
            <w:tcW w:w="470" w:type="dxa"/>
            <w:vMerge/>
            <w:tcBorders>
              <w:top w:val="single" w:color="000000" w:sz="4"/>
              <w:left w:val="single" w:color="000000" w:sz="4"/>
              <w:bottom w:val="single" w:color="000000" w:sz="4"/>
              <w:right w:val="single" w:color="000000" w:sz="4"/>
            </w:tcBorders>
            <w:shd w:color="000000" w:fill="ffffff" w:val="clear"/>
            <w:tcMar>
              <w:left w:w="44" w:type="dxa"/>
              <w:right w:w="44"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2384" w:type="dxa"/>
            <w:tcBorders>
              <w:top w:val="single" w:color="000000" w:sz="4"/>
              <w:left w:val="single" w:color="000000" w:sz="4"/>
              <w:bottom w:val="single" w:color="000000" w:sz="4"/>
              <w:right w:val="single" w:color="000000" w:sz="4"/>
            </w:tcBorders>
            <w:shd w:color="auto" w:fill="b4c6e7" w:val="clear"/>
            <w:tcMar>
              <w:left w:w="44" w:type="dxa"/>
              <w:right w:w="44"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OBRAZOVANJE</w:t>
            </w:r>
          </w:p>
        </w:tc>
        <w:tc>
          <w:tcPr>
            <w:tcW w:w="1270" w:type="dxa"/>
            <w:tcBorders>
              <w:top w:val="single" w:color="000000" w:sz="4"/>
              <w:left w:val="single" w:color="000000" w:sz="4"/>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112" w:type="dxa"/>
            <w:tcBorders>
              <w:top w:val="single" w:color="000000" w:sz="4"/>
              <w:left w:val="single" w:color="000000" w:sz="4"/>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112" w:type="dxa"/>
            <w:tcBorders>
              <w:top w:val="single" w:color="000000" w:sz="4"/>
              <w:left w:val="single" w:color="000000" w:sz="4"/>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432" w:type="dxa"/>
            <w:tcBorders>
              <w:top w:val="single" w:color="000000" w:sz="4"/>
              <w:left w:val="single" w:color="000000" w:sz="4"/>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595" w:type="dxa"/>
            <w:tcBorders>
              <w:top w:val="single" w:color="000000" w:sz="4"/>
              <w:left w:val="single" w:color="000000" w:sz="4"/>
              <w:bottom w:val="single" w:color="000000" w:sz="4"/>
              <w:right w:val="single" w:color="000000" w:sz="4"/>
            </w:tcBorders>
            <w:shd w:color="auto" w:fill="d9e1f2"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r>
      <w:tr>
        <w:trPr>
          <w:trHeight w:val="16" w:hRule="auto"/>
          <w:jc w:val="left"/>
        </w:trPr>
        <w:tc>
          <w:tcPr>
            <w:tcW w:w="470" w:type="dxa"/>
            <w:vMerge/>
            <w:tcBorders>
              <w:top w:val="single" w:color="000000" w:sz="4"/>
              <w:left w:val="single" w:color="000000" w:sz="4"/>
              <w:bottom w:val="single" w:color="000000" w:sz="4"/>
              <w:right w:val="single" w:color="000000" w:sz="4"/>
            </w:tcBorders>
            <w:shd w:color="000000" w:fill="ffffff" w:val="clear"/>
            <w:tcMar>
              <w:left w:w="44" w:type="dxa"/>
              <w:right w:w="44"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2384" w:type="dxa"/>
            <w:tcBorders>
              <w:top w:val="single" w:color="000000" w:sz="4"/>
              <w:left w:val="single" w:color="000000" w:sz="4"/>
              <w:bottom w:val="single" w:color="000000" w:sz="4"/>
              <w:right w:val="single" w:color="000000" w:sz="4"/>
            </w:tcBorders>
            <w:shd w:color="auto" w:fill="b4c6e7" w:val="clear"/>
            <w:tcMar>
              <w:left w:w="44" w:type="dxa"/>
              <w:right w:w="44"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ZDRAVSTVO</w:t>
            </w:r>
          </w:p>
        </w:tc>
        <w:tc>
          <w:tcPr>
            <w:tcW w:w="1270" w:type="dxa"/>
            <w:tcBorders>
              <w:top w:val="single" w:color="000000" w:sz="4"/>
              <w:left w:val="single" w:color="000000" w:sz="4"/>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112" w:type="dxa"/>
            <w:tcBorders>
              <w:top w:val="single" w:color="000000" w:sz="4"/>
              <w:left w:val="single" w:color="000000" w:sz="4"/>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240,96</w:t>
            </w:r>
          </w:p>
        </w:tc>
        <w:tc>
          <w:tcPr>
            <w:tcW w:w="1112" w:type="dxa"/>
            <w:tcBorders>
              <w:top w:val="single" w:color="000000" w:sz="4"/>
              <w:left w:val="single" w:color="000000" w:sz="4"/>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240,96</w:t>
            </w:r>
          </w:p>
        </w:tc>
        <w:tc>
          <w:tcPr>
            <w:tcW w:w="1432" w:type="dxa"/>
            <w:tcBorders>
              <w:top w:val="single" w:color="000000" w:sz="4"/>
              <w:left w:val="single" w:color="000000" w:sz="4"/>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4,10</w:t>
            </w:r>
          </w:p>
        </w:tc>
        <w:tc>
          <w:tcPr>
            <w:tcW w:w="1595" w:type="dxa"/>
            <w:tcBorders>
              <w:top w:val="single" w:color="000000" w:sz="4"/>
              <w:left w:val="single" w:color="000000" w:sz="4"/>
              <w:bottom w:val="single" w:color="000000" w:sz="4"/>
              <w:right w:val="single" w:color="000000" w:sz="4"/>
            </w:tcBorders>
            <w:shd w:color="auto" w:fill="d9e1f2" w:val="clear"/>
            <w:tcMar>
              <w:left w:w="44" w:type="dxa"/>
              <w:right w:w="44" w:type="dxa"/>
            </w:tcMar>
            <w:vAlign w:val="bottom"/>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486,03</w:t>
            </w:r>
          </w:p>
        </w:tc>
      </w:tr>
      <w:tr>
        <w:trPr>
          <w:trHeight w:val="16" w:hRule="auto"/>
          <w:jc w:val="left"/>
        </w:trPr>
        <w:tc>
          <w:tcPr>
            <w:tcW w:w="470" w:type="dxa"/>
            <w:vMerge/>
            <w:tcBorders>
              <w:top w:val="single" w:color="000000" w:sz="4"/>
              <w:left w:val="single" w:color="000000" w:sz="4"/>
              <w:bottom w:val="single" w:color="000000" w:sz="4"/>
              <w:right w:val="single" w:color="000000" w:sz="4"/>
            </w:tcBorders>
            <w:shd w:color="000000" w:fill="ffffff" w:val="clear"/>
            <w:tcMar>
              <w:left w:w="44" w:type="dxa"/>
              <w:right w:w="44"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2384" w:type="dxa"/>
            <w:tcBorders>
              <w:top w:val="single" w:color="000000" w:sz="4"/>
              <w:left w:val="single" w:color="000000" w:sz="4"/>
              <w:bottom w:val="single" w:color="000000" w:sz="4"/>
              <w:right w:val="single" w:color="000000" w:sz="4"/>
            </w:tcBorders>
            <w:shd w:color="auto" w:fill="b4c6e7" w:val="clear"/>
            <w:tcMar>
              <w:left w:w="44" w:type="dxa"/>
              <w:right w:w="44"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SPORT</w:t>
            </w:r>
          </w:p>
        </w:tc>
        <w:tc>
          <w:tcPr>
            <w:tcW w:w="1270" w:type="dxa"/>
            <w:tcBorders>
              <w:top w:val="single" w:color="000000" w:sz="4"/>
              <w:left w:val="single" w:color="000000" w:sz="4"/>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112" w:type="dxa"/>
            <w:tcBorders>
              <w:top w:val="single" w:color="000000" w:sz="4"/>
              <w:left w:val="single" w:color="000000" w:sz="4"/>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112" w:type="dxa"/>
            <w:tcBorders>
              <w:top w:val="single" w:color="000000" w:sz="4"/>
              <w:left w:val="single" w:color="000000" w:sz="4"/>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432" w:type="dxa"/>
            <w:tcBorders>
              <w:top w:val="single" w:color="000000" w:sz="4"/>
              <w:left w:val="single" w:color="000000" w:sz="4"/>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595" w:type="dxa"/>
            <w:tcBorders>
              <w:top w:val="single" w:color="000000" w:sz="4"/>
              <w:left w:val="single" w:color="000000" w:sz="4"/>
              <w:bottom w:val="single" w:color="000000" w:sz="4"/>
              <w:right w:val="single" w:color="000000" w:sz="4"/>
            </w:tcBorders>
            <w:shd w:color="auto" w:fill="d9e1f2"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r>
      <w:tr>
        <w:trPr>
          <w:trHeight w:val="16" w:hRule="auto"/>
          <w:jc w:val="left"/>
        </w:trPr>
        <w:tc>
          <w:tcPr>
            <w:tcW w:w="470" w:type="dxa"/>
            <w:vMerge/>
            <w:tcBorders>
              <w:top w:val="single" w:color="000000" w:sz="4"/>
              <w:left w:val="single" w:color="000000" w:sz="4"/>
              <w:bottom w:val="single" w:color="000000" w:sz="4"/>
              <w:right w:val="single" w:color="000000" w:sz="4"/>
            </w:tcBorders>
            <w:shd w:color="000000" w:fill="ffffff" w:val="clear"/>
            <w:tcMar>
              <w:left w:w="44" w:type="dxa"/>
              <w:right w:w="44"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2384" w:type="dxa"/>
            <w:tcBorders>
              <w:top w:val="single" w:color="000000" w:sz="4"/>
              <w:left w:val="single" w:color="000000" w:sz="4"/>
              <w:bottom w:val="single" w:color="000000" w:sz="4"/>
              <w:right w:val="single" w:color="000000" w:sz="4"/>
            </w:tcBorders>
            <w:shd w:color="auto" w:fill="b4c6e7" w:val="clear"/>
            <w:tcMar>
              <w:left w:w="44" w:type="dxa"/>
              <w:right w:w="44"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KULTURA</w:t>
            </w:r>
          </w:p>
        </w:tc>
        <w:tc>
          <w:tcPr>
            <w:tcW w:w="1270" w:type="dxa"/>
            <w:tcBorders>
              <w:top w:val="single" w:color="000000" w:sz="4"/>
              <w:left w:val="single" w:color="000000" w:sz="4"/>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74,73</w:t>
            </w:r>
          </w:p>
        </w:tc>
        <w:tc>
          <w:tcPr>
            <w:tcW w:w="1112" w:type="dxa"/>
            <w:tcBorders>
              <w:top w:val="single" w:color="000000" w:sz="4"/>
              <w:left w:val="single" w:color="000000" w:sz="4"/>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101,90</w:t>
            </w:r>
          </w:p>
        </w:tc>
        <w:tc>
          <w:tcPr>
            <w:tcW w:w="1112" w:type="dxa"/>
            <w:tcBorders>
              <w:top w:val="single" w:color="000000" w:sz="4"/>
              <w:left w:val="single" w:color="000000" w:sz="4"/>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101,90</w:t>
            </w:r>
          </w:p>
        </w:tc>
        <w:tc>
          <w:tcPr>
            <w:tcW w:w="1432" w:type="dxa"/>
            <w:tcBorders>
              <w:top w:val="single" w:color="000000" w:sz="4"/>
              <w:left w:val="single" w:color="000000" w:sz="4"/>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115,98</w:t>
            </w:r>
          </w:p>
        </w:tc>
        <w:tc>
          <w:tcPr>
            <w:tcW w:w="1595" w:type="dxa"/>
            <w:tcBorders>
              <w:top w:val="single" w:color="000000" w:sz="4"/>
              <w:left w:val="single" w:color="000000" w:sz="4"/>
              <w:bottom w:val="single" w:color="000000" w:sz="4"/>
              <w:right w:val="single" w:color="000000" w:sz="4"/>
            </w:tcBorders>
            <w:shd w:color="auto" w:fill="d9e1f2" w:val="clear"/>
            <w:tcMar>
              <w:left w:w="44" w:type="dxa"/>
              <w:right w:w="44" w:type="dxa"/>
            </w:tcMar>
            <w:vAlign w:val="bottom"/>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394,51</w:t>
            </w:r>
          </w:p>
        </w:tc>
      </w:tr>
      <w:tr>
        <w:trPr>
          <w:trHeight w:val="16" w:hRule="auto"/>
          <w:jc w:val="left"/>
        </w:trPr>
        <w:tc>
          <w:tcPr>
            <w:tcW w:w="470" w:type="dxa"/>
            <w:vMerge/>
            <w:tcBorders>
              <w:top w:val="single" w:color="000000" w:sz="4"/>
              <w:left w:val="single" w:color="000000" w:sz="4"/>
              <w:bottom w:val="single" w:color="000000" w:sz="4"/>
              <w:right w:val="single" w:color="000000" w:sz="4"/>
            </w:tcBorders>
            <w:shd w:color="000000" w:fill="ffffff" w:val="clear"/>
            <w:tcMar>
              <w:left w:w="44" w:type="dxa"/>
              <w:right w:w="44"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2384" w:type="dxa"/>
            <w:tcBorders>
              <w:top w:val="single" w:color="000000" w:sz="4"/>
              <w:left w:val="single" w:color="000000" w:sz="4"/>
              <w:bottom w:val="single" w:color="000000" w:sz="4"/>
              <w:right w:val="single" w:color="000000" w:sz="4"/>
            </w:tcBorders>
            <w:shd w:color="auto" w:fill="b4c6e7" w:val="clear"/>
            <w:tcMar>
              <w:left w:w="44" w:type="dxa"/>
              <w:right w:w="44"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KANCELARIJSKE ZGRADE</w:t>
            </w:r>
          </w:p>
        </w:tc>
        <w:tc>
          <w:tcPr>
            <w:tcW w:w="1270" w:type="dxa"/>
            <w:tcBorders>
              <w:top w:val="single" w:color="000000" w:sz="4"/>
              <w:left w:val="single" w:color="000000" w:sz="4"/>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144,27</w:t>
            </w:r>
          </w:p>
        </w:tc>
        <w:tc>
          <w:tcPr>
            <w:tcW w:w="1112" w:type="dxa"/>
            <w:tcBorders>
              <w:top w:val="single" w:color="000000" w:sz="4"/>
              <w:left w:val="single" w:color="000000" w:sz="4"/>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469,59</w:t>
            </w:r>
          </w:p>
        </w:tc>
        <w:tc>
          <w:tcPr>
            <w:tcW w:w="1112" w:type="dxa"/>
            <w:tcBorders>
              <w:top w:val="single" w:color="000000" w:sz="4"/>
              <w:left w:val="single" w:color="000000" w:sz="4"/>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469,59</w:t>
            </w:r>
          </w:p>
        </w:tc>
        <w:tc>
          <w:tcPr>
            <w:tcW w:w="1432" w:type="dxa"/>
            <w:tcBorders>
              <w:top w:val="single" w:color="000000" w:sz="4"/>
              <w:left w:val="single" w:color="000000" w:sz="4"/>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595" w:type="dxa"/>
            <w:tcBorders>
              <w:top w:val="single" w:color="000000" w:sz="4"/>
              <w:left w:val="single" w:color="000000" w:sz="4"/>
              <w:bottom w:val="single" w:color="000000" w:sz="4"/>
              <w:right w:val="single" w:color="000000" w:sz="4"/>
            </w:tcBorders>
            <w:shd w:color="auto" w:fill="d9e1f2" w:val="clear"/>
            <w:tcMar>
              <w:left w:w="44" w:type="dxa"/>
              <w:right w:w="44" w:type="dxa"/>
            </w:tcMar>
            <w:vAlign w:val="bottom"/>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1.083,45</w:t>
            </w:r>
          </w:p>
        </w:tc>
      </w:tr>
      <w:tr>
        <w:trPr>
          <w:trHeight w:val="16" w:hRule="auto"/>
          <w:jc w:val="left"/>
        </w:trPr>
        <w:tc>
          <w:tcPr>
            <w:tcW w:w="470" w:type="dxa"/>
            <w:vMerge/>
            <w:tcBorders>
              <w:top w:val="single" w:color="000000" w:sz="4"/>
              <w:left w:val="single" w:color="000000" w:sz="4"/>
              <w:bottom w:val="single" w:color="000000" w:sz="4"/>
              <w:right w:val="single" w:color="000000" w:sz="4"/>
            </w:tcBorders>
            <w:shd w:color="000000" w:fill="ffffff" w:val="clear"/>
            <w:tcMar>
              <w:left w:w="44" w:type="dxa"/>
              <w:right w:w="44"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2384" w:type="dxa"/>
            <w:tcBorders>
              <w:top w:val="single" w:color="000000" w:sz="4"/>
              <w:left w:val="single" w:color="000000" w:sz="4"/>
              <w:bottom w:val="single" w:color="000000" w:sz="4"/>
              <w:right w:val="single" w:color="000000" w:sz="4"/>
            </w:tcBorders>
            <w:shd w:color="auto" w:fill="b4c6e7" w:val="clear"/>
            <w:tcMar>
              <w:left w:w="44" w:type="dxa"/>
              <w:right w:w="44"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CJELODNEVNI BORAVAK</w:t>
            </w:r>
          </w:p>
        </w:tc>
        <w:tc>
          <w:tcPr>
            <w:tcW w:w="1270" w:type="dxa"/>
            <w:tcBorders>
              <w:top w:val="single" w:color="000000" w:sz="4"/>
              <w:left w:val="single" w:color="000000" w:sz="4"/>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112" w:type="dxa"/>
            <w:tcBorders>
              <w:top w:val="single" w:color="000000" w:sz="4"/>
              <w:left w:val="single" w:color="000000" w:sz="4"/>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112" w:type="dxa"/>
            <w:tcBorders>
              <w:top w:val="single" w:color="000000" w:sz="4"/>
              <w:left w:val="single" w:color="000000" w:sz="4"/>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432" w:type="dxa"/>
            <w:tcBorders>
              <w:top w:val="single" w:color="000000" w:sz="4"/>
              <w:left w:val="single" w:color="000000" w:sz="4"/>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595" w:type="dxa"/>
            <w:tcBorders>
              <w:top w:val="single" w:color="000000" w:sz="4"/>
              <w:left w:val="single" w:color="000000" w:sz="4"/>
              <w:bottom w:val="single" w:color="000000" w:sz="4"/>
              <w:right w:val="single" w:color="000000" w:sz="4"/>
            </w:tcBorders>
            <w:shd w:color="auto" w:fill="d9e1f2"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r>
      <w:tr>
        <w:trPr>
          <w:trHeight w:val="16" w:hRule="auto"/>
          <w:jc w:val="left"/>
        </w:trPr>
        <w:tc>
          <w:tcPr>
            <w:tcW w:w="2854" w:type="dxa"/>
            <w:gridSpan w:val="2"/>
            <w:tcBorders>
              <w:top w:val="single" w:color="000000" w:sz="4"/>
              <w:left w:val="single" w:color="000000" w:sz="4"/>
              <w:bottom w:val="single" w:color="000000" w:sz="4"/>
              <w:right w:val="single" w:color="000000" w:sz="4"/>
            </w:tcBorders>
            <w:shd w:color="auto" w:fill="d9e1f2" w:val="clear"/>
            <w:tcMar>
              <w:left w:w="44" w:type="dxa"/>
              <w:right w:w="44" w:type="dxa"/>
            </w:tcMar>
            <w:vAlign w:val="bottom"/>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UKUPNO PO ENERGENTIMA</w:t>
            </w:r>
          </w:p>
        </w:tc>
        <w:tc>
          <w:tcPr>
            <w:tcW w:w="1270" w:type="dxa"/>
            <w:tcBorders>
              <w:top w:val="single" w:color="000000" w:sz="4"/>
              <w:left w:val="single" w:color="000000" w:sz="4"/>
              <w:bottom w:val="single" w:color="000000" w:sz="4"/>
              <w:right w:val="single" w:color="000000" w:sz="4"/>
            </w:tcBorders>
            <w:shd w:color="auto" w:fill="d9e1f2" w:val="clear"/>
            <w:tcMar>
              <w:left w:w="44" w:type="dxa"/>
              <w:right w:w="44" w:type="dxa"/>
            </w:tcMar>
            <w:vAlign w:val="bottom"/>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218,99</w:t>
            </w:r>
          </w:p>
        </w:tc>
        <w:tc>
          <w:tcPr>
            <w:tcW w:w="1112" w:type="dxa"/>
            <w:tcBorders>
              <w:top w:val="single" w:color="000000" w:sz="4"/>
              <w:left w:val="single" w:color="000000" w:sz="4"/>
              <w:bottom w:val="single" w:color="000000" w:sz="4"/>
              <w:right w:val="single" w:color="000000" w:sz="4"/>
            </w:tcBorders>
            <w:shd w:color="auto" w:fill="d9e1f2" w:val="clear"/>
            <w:tcMar>
              <w:left w:w="44" w:type="dxa"/>
              <w:right w:w="44" w:type="dxa"/>
            </w:tcMar>
            <w:vAlign w:val="bottom"/>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867,47</w:t>
            </w:r>
          </w:p>
        </w:tc>
        <w:tc>
          <w:tcPr>
            <w:tcW w:w="1112" w:type="dxa"/>
            <w:tcBorders>
              <w:top w:val="single" w:color="000000" w:sz="4"/>
              <w:left w:val="single" w:color="000000" w:sz="4"/>
              <w:bottom w:val="single" w:color="000000" w:sz="4"/>
              <w:right w:val="single" w:color="000000" w:sz="4"/>
            </w:tcBorders>
            <w:shd w:color="auto" w:fill="d9e1f2" w:val="clear"/>
            <w:tcMar>
              <w:left w:w="44" w:type="dxa"/>
              <w:right w:w="44" w:type="dxa"/>
            </w:tcMar>
            <w:vAlign w:val="bottom"/>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867,47</w:t>
            </w:r>
          </w:p>
        </w:tc>
        <w:tc>
          <w:tcPr>
            <w:tcW w:w="1432" w:type="dxa"/>
            <w:tcBorders>
              <w:top w:val="single" w:color="000000" w:sz="4"/>
              <w:left w:val="single" w:color="000000" w:sz="4"/>
              <w:bottom w:val="single" w:color="000000" w:sz="4"/>
              <w:right w:val="single" w:color="000000" w:sz="4"/>
            </w:tcBorders>
            <w:shd w:color="auto" w:fill="d9e1f2" w:val="clear"/>
            <w:tcMar>
              <w:left w:w="44" w:type="dxa"/>
              <w:right w:w="44" w:type="dxa"/>
            </w:tcMar>
            <w:vAlign w:val="bottom"/>
          </w:tcPr>
          <w:p>
            <w:pPr>
              <w:keepNext w:val="true"/>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120,08</w:t>
            </w:r>
          </w:p>
        </w:tc>
        <w:tc>
          <w:tcPr>
            <w:tcW w:w="1595" w:type="dxa"/>
            <w:tcBorders>
              <w:top w:val="single" w:color="000000" w:sz="4"/>
              <w:left w:val="single" w:color="000000" w:sz="4"/>
              <w:bottom w:val="single" w:color="000000" w:sz="4"/>
              <w:right w:val="single" w:color="000000" w:sz="4"/>
            </w:tcBorders>
            <w:shd w:color="auto" w:fill="d9e1f2" w:val="clear"/>
            <w:tcMar>
              <w:left w:w="44" w:type="dxa"/>
              <w:right w:w="44" w:type="dxa"/>
            </w:tcMar>
            <w:vAlign w:val="bottom"/>
          </w:tcPr>
          <w:p>
            <w:pPr>
              <w:keepNext w:val="true"/>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2.074,02</w:t>
            </w:r>
          </w:p>
        </w:tc>
      </w:tr>
    </w:tbl>
    <w:p>
      <w:pPr>
        <w:spacing w:before="60" w:after="160" w:line="240"/>
        <w:ind w:right="0" w:left="0" w:firstLine="0"/>
        <w:jc w:val="center"/>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Tabela 53: Potrebna finalna energija za grijanje javnih zgrada u vlasništvu Op</w:t>
      </w:r>
      <w:r>
        <w:rPr>
          <w:rFonts w:ascii="Calibri" w:hAnsi="Calibri" w:cs="Calibri" w:eastAsia="Calibri"/>
          <w:color w:val="auto"/>
          <w:spacing w:val="0"/>
          <w:position w:val="0"/>
          <w:sz w:val="18"/>
          <w:shd w:fill="auto" w:val="clear"/>
        </w:rPr>
        <w:t xml:space="preserve">ćine u baznoj godini</w:t>
      </w:r>
    </w:p>
    <w:p>
      <w:pPr>
        <w:spacing w:before="12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Ukupna potrebna energija za grijanje zgrada u ovom podsektoru u 2010. godini iznosi 2.074,02 MWh. Iz tabele je evidentno da se najve</w:t>
      </w:r>
      <w:r>
        <w:rPr>
          <w:rFonts w:ascii="Calibri" w:hAnsi="Calibri" w:cs="Calibri" w:eastAsia="Calibri"/>
          <w:color w:val="auto"/>
          <w:spacing w:val="0"/>
          <w:position w:val="0"/>
          <w:sz w:val="20"/>
          <w:shd w:fill="auto" w:val="clear"/>
        </w:rPr>
        <w:t xml:space="preserve">ći udio ove energije odnosi na ugalj, dok su udjeli električne energije i biomase nešto manji u odnosu na ugalj. Procentualno učešće zastupljenih energenata za grijanje prikazano je na </w:t>
      </w:r>
      <w:r>
        <w:rPr>
          <w:rFonts w:ascii="Calibri" w:hAnsi="Calibri" w:cs="Calibri" w:eastAsia="Calibri"/>
          <w:i/>
          <w:color w:val="auto"/>
          <w:spacing w:val="0"/>
          <w:position w:val="0"/>
          <w:sz w:val="20"/>
          <w:shd w:fill="auto" w:val="clear"/>
        </w:rPr>
        <w:t xml:space="preserve">Dijagramu 5-1 </w:t>
      </w:r>
      <w:r>
        <w:rPr>
          <w:rFonts w:ascii="Calibri" w:hAnsi="Calibri" w:cs="Calibri" w:eastAsia="Calibri"/>
          <w:color w:val="auto"/>
          <w:spacing w:val="0"/>
          <w:position w:val="0"/>
          <w:sz w:val="20"/>
          <w:shd w:fill="auto" w:val="clear"/>
        </w:rPr>
        <w:t xml:space="preserve">u nastavku teksta.</w:t>
      </w:r>
    </w:p>
    <w:p>
      <w:pPr>
        <w:spacing w:before="60" w:after="12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Ukupne emisije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za podsektor javnih zgrada u vlasništvu Op</w:t>
      </w:r>
      <w:r>
        <w:rPr>
          <w:rFonts w:ascii="Calibri" w:hAnsi="Calibri" w:cs="Calibri" w:eastAsia="Calibri"/>
          <w:color w:val="auto"/>
          <w:spacing w:val="0"/>
          <w:position w:val="0"/>
          <w:sz w:val="20"/>
          <w:shd w:fill="auto" w:val="clear"/>
        </w:rPr>
        <w:t xml:space="preserve">ćine Doboj Istok u baznoj godini dobivene su kao proizvod potrebne finalne energije za grijanje i odgovarajućih emisionih faktora. Dobivene vrijednosti prikazane su u narednoj tabeli.</w:t>
      </w:r>
    </w:p>
    <w:tbl>
      <w:tblPr/>
      <w:tblGrid>
        <w:gridCol w:w="470"/>
        <w:gridCol w:w="2384"/>
        <w:gridCol w:w="1270"/>
        <w:gridCol w:w="1112"/>
        <w:gridCol w:w="1112"/>
        <w:gridCol w:w="1432"/>
        <w:gridCol w:w="1595"/>
      </w:tblGrid>
      <w:tr>
        <w:trPr>
          <w:trHeight w:val="326" w:hRule="auto"/>
          <w:jc w:val="left"/>
        </w:trPr>
        <w:tc>
          <w:tcPr>
            <w:tcW w:w="9375" w:type="dxa"/>
            <w:gridSpan w:val="7"/>
            <w:tcBorders>
              <w:top w:val="single" w:color="000000" w:sz="4"/>
              <w:left w:val="single" w:color="000000" w:sz="4"/>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EMISIJE CO</w:t>
            </w:r>
            <w:r>
              <w:rPr>
                <w:rFonts w:ascii="Calibri" w:hAnsi="Calibri" w:cs="Calibri" w:eastAsia="Calibri"/>
                <w:color w:val="000000"/>
                <w:spacing w:val="0"/>
                <w:position w:val="0"/>
                <w:sz w:val="18"/>
                <w:shd w:fill="auto" w:val="clear"/>
                <w:vertAlign w:val="subscript"/>
              </w:rPr>
              <w:t xml:space="preserve">2</w:t>
            </w:r>
            <w:r>
              <w:rPr>
                <w:rFonts w:ascii="Calibri" w:hAnsi="Calibri" w:cs="Calibri" w:eastAsia="Calibri"/>
                <w:color w:val="000000"/>
                <w:spacing w:val="0"/>
                <w:position w:val="0"/>
                <w:sz w:val="18"/>
                <w:shd w:fill="auto" w:val="clear"/>
              </w:rPr>
              <w:t xml:space="preserve">  [tCO</w:t>
            </w:r>
            <w:r>
              <w:rPr>
                <w:rFonts w:ascii="Calibri" w:hAnsi="Calibri" w:cs="Calibri" w:eastAsia="Calibri"/>
                <w:color w:val="000000"/>
                <w:spacing w:val="0"/>
                <w:position w:val="0"/>
                <w:sz w:val="18"/>
                <w:shd w:fill="auto" w:val="clear"/>
                <w:vertAlign w:val="subscript"/>
              </w:rPr>
              <w:t xml:space="preserve">2</w:t>
            </w:r>
            <w:r>
              <w:rPr>
                <w:rFonts w:ascii="Calibri" w:hAnsi="Calibri" w:cs="Calibri" w:eastAsia="Calibri"/>
                <w:color w:val="000000"/>
                <w:spacing w:val="0"/>
                <w:position w:val="0"/>
                <w:sz w:val="18"/>
                <w:shd w:fill="auto" w:val="clear"/>
              </w:rPr>
              <w:t xml:space="preserve">]</w:t>
            </w:r>
          </w:p>
        </w:tc>
      </w:tr>
      <w:tr>
        <w:trPr>
          <w:trHeight w:val="16" w:hRule="auto"/>
          <w:jc w:val="left"/>
        </w:trPr>
        <w:tc>
          <w:tcPr>
            <w:tcW w:w="2854" w:type="dxa"/>
            <w:gridSpan w:val="2"/>
            <w:vMerge w:val="restart"/>
            <w:tcBorders>
              <w:top w:val="single" w:color="000000" w:sz="4"/>
              <w:left w:val="single" w:color="000000" w:sz="4"/>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VRSTA ENERGENTA</w:t>
            </w:r>
          </w:p>
        </w:tc>
        <w:tc>
          <w:tcPr>
            <w:tcW w:w="1270" w:type="dxa"/>
            <w:vMerge w:val="restart"/>
            <w:tcBorders>
              <w:top w:val="single" w:color="000000" w:sz="4"/>
              <w:left w:val="single" w:color="000000" w:sz="4"/>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ELEKTRI</w:t>
            </w:r>
            <w:r>
              <w:rPr>
                <w:rFonts w:ascii="Calibri" w:hAnsi="Calibri" w:cs="Calibri" w:eastAsia="Calibri"/>
                <w:color w:val="000000"/>
                <w:spacing w:val="0"/>
                <w:position w:val="0"/>
                <w:sz w:val="18"/>
                <w:shd w:fill="auto" w:val="clear"/>
              </w:rPr>
              <w:t xml:space="preserve">ČNA ENERGIJA</w:t>
            </w:r>
          </w:p>
        </w:tc>
        <w:tc>
          <w:tcPr>
            <w:tcW w:w="2224" w:type="dxa"/>
            <w:gridSpan w:val="2"/>
            <w:tcBorders>
              <w:top w:val="single" w:color="000000" w:sz="4"/>
              <w:left w:val="single" w:color="000000" w:sz="4"/>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FOSILNA GORIVA</w:t>
            </w:r>
          </w:p>
        </w:tc>
        <w:tc>
          <w:tcPr>
            <w:tcW w:w="1432" w:type="dxa"/>
            <w:tcBorders>
              <w:top w:val="single" w:color="000000" w:sz="4"/>
              <w:left w:val="single" w:color="000000" w:sz="4"/>
              <w:bottom w:val="single" w:color="000000" w:sz="4"/>
              <w:right w:val="single" w:color="000000" w:sz="4"/>
            </w:tcBorders>
            <w:shd w:color="auto" w:fill="bdd7ee" w:val="clear"/>
            <w:tcMar>
              <w:left w:w="44" w:type="dxa"/>
              <w:right w:w="44"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OBNOVLJIVI IZVORI ENERGIJE</w:t>
            </w:r>
          </w:p>
        </w:tc>
        <w:tc>
          <w:tcPr>
            <w:tcW w:w="1595" w:type="dxa"/>
            <w:vMerge w:val="restart"/>
            <w:tcBorders>
              <w:top w:val="single" w:color="000000" w:sz="4"/>
              <w:left w:val="single" w:color="000000" w:sz="4"/>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UKUPNO PO NAMJENI ZGRADE</w:t>
            </w:r>
          </w:p>
        </w:tc>
      </w:tr>
      <w:tr>
        <w:trPr>
          <w:trHeight w:val="16" w:hRule="auto"/>
          <w:jc w:val="left"/>
        </w:trPr>
        <w:tc>
          <w:tcPr>
            <w:tcW w:w="2854" w:type="dxa"/>
            <w:gridSpan w:val="2"/>
            <w:vMerge/>
            <w:tcBorders>
              <w:top w:val="single" w:color="000000" w:sz="4"/>
              <w:left w:val="single" w:color="000000" w:sz="4"/>
              <w:bottom w:val="single" w:color="000000" w:sz="4"/>
              <w:right w:val="single" w:color="000000" w:sz="4"/>
            </w:tcBorders>
            <w:shd w:color="000000" w:fill="ffffff" w:val="clear"/>
            <w:tcMar>
              <w:left w:w="44" w:type="dxa"/>
              <w:right w:w="44"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270" w:type="dxa"/>
            <w:vMerge/>
            <w:tcBorders>
              <w:top w:val="single" w:color="000000" w:sz="4"/>
              <w:left w:val="single" w:color="000000" w:sz="4"/>
              <w:bottom w:val="single" w:color="000000" w:sz="4"/>
              <w:right w:val="single" w:color="000000" w:sz="4"/>
            </w:tcBorders>
            <w:shd w:color="000000" w:fill="ffffff" w:val="clear"/>
            <w:tcMar>
              <w:left w:w="44" w:type="dxa"/>
              <w:right w:w="44"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112" w:type="dxa"/>
            <w:tcBorders>
              <w:top w:val="single" w:color="000000" w:sz="4"/>
              <w:left w:val="single" w:color="000000" w:sz="4"/>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LIGNIT</w:t>
            </w:r>
          </w:p>
        </w:tc>
        <w:tc>
          <w:tcPr>
            <w:tcW w:w="1112" w:type="dxa"/>
            <w:tcBorders>
              <w:top w:val="single" w:color="000000" w:sz="4"/>
              <w:left w:val="single" w:color="000000" w:sz="4"/>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MRKI UGALJ</w:t>
            </w:r>
          </w:p>
        </w:tc>
        <w:tc>
          <w:tcPr>
            <w:tcW w:w="1432" w:type="dxa"/>
            <w:tcBorders>
              <w:top w:val="single" w:color="000000" w:sz="4"/>
              <w:left w:val="single" w:color="000000" w:sz="4"/>
              <w:bottom w:val="single" w:color="000000" w:sz="4"/>
              <w:right w:val="single" w:color="000000" w:sz="4"/>
            </w:tcBorders>
            <w:shd w:color="auto" w:fill="bdd6ee" w:val="clear"/>
            <w:tcMar>
              <w:left w:w="44" w:type="dxa"/>
              <w:right w:w="44"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BIOMASA</w:t>
            </w:r>
          </w:p>
        </w:tc>
        <w:tc>
          <w:tcPr>
            <w:tcW w:w="1595" w:type="dxa"/>
            <w:vMerge/>
            <w:tcBorders>
              <w:top w:val="single" w:color="000000" w:sz="4"/>
              <w:left w:val="single" w:color="000000" w:sz="4"/>
              <w:bottom w:val="single" w:color="000000" w:sz="4"/>
              <w:right w:val="single" w:color="000000" w:sz="4"/>
            </w:tcBorders>
            <w:shd w:color="000000" w:fill="ffffff" w:val="clear"/>
            <w:tcMar>
              <w:left w:w="44" w:type="dxa"/>
              <w:right w:w="44"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r>
      <w:tr>
        <w:trPr>
          <w:trHeight w:val="284" w:hRule="auto"/>
          <w:jc w:val="left"/>
        </w:trPr>
        <w:tc>
          <w:tcPr>
            <w:tcW w:w="470" w:type="dxa"/>
            <w:vMerge w:val="restart"/>
            <w:tcBorders>
              <w:top w:val="single" w:color="000000" w:sz="4"/>
              <w:left w:val="single" w:color="000000" w:sz="4"/>
              <w:bottom w:val="single" w:color="000000" w:sz="4"/>
              <w:right w:val="single" w:color="000000" w:sz="4"/>
            </w:tcBorders>
            <w:shd w:color="auto" w:fill="b4c6e7"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NAMJENA ZGRADE</w:t>
            </w:r>
          </w:p>
        </w:tc>
        <w:tc>
          <w:tcPr>
            <w:tcW w:w="2384" w:type="dxa"/>
            <w:tcBorders>
              <w:top w:val="single" w:color="000000" w:sz="4"/>
              <w:left w:val="single" w:color="000000" w:sz="4"/>
              <w:bottom w:val="single" w:color="000000" w:sz="4"/>
              <w:right w:val="single" w:color="000000" w:sz="4"/>
            </w:tcBorders>
            <w:shd w:color="auto" w:fill="b4c6e7" w:val="clear"/>
            <w:tcMar>
              <w:left w:w="44" w:type="dxa"/>
              <w:right w:w="44"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PREDŠKOLSKI ODGOJ</w:t>
            </w:r>
          </w:p>
        </w:tc>
        <w:tc>
          <w:tcPr>
            <w:tcW w:w="1270" w:type="dxa"/>
            <w:tcBorders>
              <w:top w:val="single" w:color="000000" w:sz="4"/>
              <w:left w:val="single" w:color="000000" w:sz="4"/>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112" w:type="dxa"/>
            <w:tcBorders>
              <w:top w:val="single" w:color="000000" w:sz="4"/>
              <w:left w:val="single" w:color="000000" w:sz="4"/>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20,03</w:t>
            </w:r>
          </w:p>
        </w:tc>
        <w:tc>
          <w:tcPr>
            <w:tcW w:w="1112" w:type="dxa"/>
            <w:tcBorders>
              <w:top w:val="single" w:color="000000" w:sz="4"/>
              <w:left w:val="single" w:color="000000" w:sz="4"/>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18,76</w:t>
            </w:r>
          </w:p>
        </w:tc>
        <w:tc>
          <w:tcPr>
            <w:tcW w:w="1432" w:type="dxa"/>
            <w:tcBorders>
              <w:top w:val="single" w:color="000000" w:sz="4"/>
              <w:left w:val="single" w:color="000000" w:sz="4"/>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595" w:type="dxa"/>
            <w:tcBorders>
              <w:top w:val="single" w:color="000000" w:sz="4"/>
              <w:left w:val="single" w:color="000000" w:sz="4"/>
              <w:bottom w:val="single" w:color="000000" w:sz="4"/>
              <w:right w:val="single" w:color="000000" w:sz="4"/>
            </w:tcBorders>
            <w:shd w:color="auto" w:fill="d9e1f2" w:val="clear"/>
            <w:tcMar>
              <w:left w:w="44" w:type="dxa"/>
              <w:right w:w="44" w:type="dxa"/>
            </w:tcMar>
            <w:vAlign w:val="bottom"/>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38,79</w:t>
            </w:r>
          </w:p>
        </w:tc>
      </w:tr>
      <w:tr>
        <w:trPr>
          <w:trHeight w:val="284" w:hRule="auto"/>
          <w:jc w:val="left"/>
        </w:trPr>
        <w:tc>
          <w:tcPr>
            <w:tcW w:w="470" w:type="dxa"/>
            <w:vMerge/>
            <w:tcBorders>
              <w:top w:val="single" w:color="000000" w:sz="4"/>
              <w:left w:val="single" w:color="000000" w:sz="4"/>
              <w:bottom w:val="single" w:color="000000" w:sz="4"/>
              <w:right w:val="single" w:color="000000" w:sz="4"/>
            </w:tcBorders>
            <w:shd w:color="000000" w:fill="ffffff" w:val="clear"/>
            <w:tcMar>
              <w:left w:w="44" w:type="dxa"/>
              <w:right w:w="44"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2384" w:type="dxa"/>
            <w:tcBorders>
              <w:top w:val="single" w:color="000000" w:sz="4"/>
              <w:left w:val="single" w:color="000000" w:sz="4"/>
              <w:bottom w:val="single" w:color="000000" w:sz="4"/>
              <w:right w:val="single" w:color="000000" w:sz="4"/>
            </w:tcBorders>
            <w:shd w:color="auto" w:fill="b4c6e7" w:val="clear"/>
            <w:tcMar>
              <w:left w:w="44" w:type="dxa"/>
              <w:right w:w="44"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OBRAZOVANJE</w:t>
            </w:r>
          </w:p>
        </w:tc>
        <w:tc>
          <w:tcPr>
            <w:tcW w:w="1270" w:type="dxa"/>
            <w:tcBorders>
              <w:top w:val="single" w:color="000000" w:sz="4"/>
              <w:left w:val="single" w:color="000000" w:sz="4"/>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112" w:type="dxa"/>
            <w:tcBorders>
              <w:top w:val="single" w:color="000000" w:sz="4"/>
              <w:left w:val="single" w:color="000000" w:sz="4"/>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112" w:type="dxa"/>
            <w:tcBorders>
              <w:top w:val="single" w:color="000000" w:sz="4"/>
              <w:left w:val="single" w:color="000000" w:sz="4"/>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432" w:type="dxa"/>
            <w:tcBorders>
              <w:top w:val="single" w:color="000000" w:sz="4"/>
              <w:left w:val="single" w:color="000000" w:sz="4"/>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595" w:type="dxa"/>
            <w:tcBorders>
              <w:top w:val="single" w:color="000000" w:sz="4"/>
              <w:left w:val="single" w:color="000000" w:sz="4"/>
              <w:bottom w:val="single" w:color="000000" w:sz="4"/>
              <w:right w:val="single" w:color="000000" w:sz="4"/>
            </w:tcBorders>
            <w:shd w:color="auto" w:fill="d9e1f2"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r>
      <w:tr>
        <w:trPr>
          <w:trHeight w:val="284" w:hRule="auto"/>
          <w:jc w:val="left"/>
        </w:trPr>
        <w:tc>
          <w:tcPr>
            <w:tcW w:w="470" w:type="dxa"/>
            <w:vMerge/>
            <w:tcBorders>
              <w:top w:val="single" w:color="000000" w:sz="4"/>
              <w:left w:val="single" w:color="000000" w:sz="4"/>
              <w:bottom w:val="single" w:color="000000" w:sz="4"/>
              <w:right w:val="single" w:color="000000" w:sz="4"/>
            </w:tcBorders>
            <w:shd w:color="000000" w:fill="ffffff" w:val="clear"/>
            <w:tcMar>
              <w:left w:w="44" w:type="dxa"/>
              <w:right w:w="44"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2384" w:type="dxa"/>
            <w:tcBorders>
              <w:top w:val="single" w:color="000000" w:sz="4"/>
              <w:left w:val="single" w:color="000000" w:sz="4"/>
              <w:bottom w:val="single" w:color="000000" w:sz="4"/>
              <w:right w:val="single" w:color="000000" w:sz="4"/>
            </w:tcBorders>
            <w:shd w:color="auto" w:fill="b4c6e7" w:val="clear"/>
            <w:tcMar>
              <w:left w:w="44" w:type="dxa"/>
              <w:right w:w="44"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ZDRAVSTVO</w:t>
            </w:r>
          </w:p>
        </w:tc>
        <w:tc>
          <w:tcPr>
            <w:tcW w:w="1270" w:type="dxa"/>
            <w:tcBorders>
              <w:top w:val="single" w:color="000000" w:sz="4"/>
              <w:left w:val="single" w:color="000000" w:sz="4"/>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112" w:type="dxa"/>
            <w:tcBorders>
              <w:top w:val="single" w:color="000000" w:sz="4"/>
              <w:left w:val="single" w:color="000000" w:sz="4"/>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87,71</w:t>
            </w:r>
          </w:p>
        </w:tc>
        <w:tc>
          <w:tcPr>
            <w:tcW w:w="1112" w:type="dxa"/>
            <w:tcBorders>
              <w:top w:val="single" w:color="000000" w:sz="4"/>
              <w:left w:val="single" w:color="000000" w:sz="4"/>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82,17</w:t>
            </w:r>
          </w:p>
        </w:tc>
        <w:tc>
          <w:tcPr>
            <w:tcW w:w="1432" w:type="dxa"/>
            <w:tcBorders>
              <w:top w:val="single" w:color="000000" w:sz="4"/>
              <w:left w:val="single" w:color="000000" w:sz="4"/>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1,65</w:t>
            </w:r>
          </w:p>
        </w:tc>
        <w:tc>
          <w:tcPr>
            <w:tcW w:w="1595" w:type="dxa"/>
            <w:tcBorders>
              <w:top w:val="single" w:color="000000" w:sz="4"/>
              <w:left w:val="single" w:color="000000" w:sz="4"/>
              <w:bottom w:val="single" w:color="000000" w:sz="4"/>
              <w:right w:val="single" w:color="000000" w:sz="4"/>
            </w:tcBorders>
            <w:shd w:color="auto" w:fill="d9e1f2" w:val="clear"/>
            <w:tcMar>
              <w:left w:w="44" w:type="dxa"/>
              <w:right w:w="44" w:type="dxa"/>
            </w:tcMar>
            <w:vAlign w:val="bottom"/>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171,53</w:t>
            </w:r>
          </w:p>
        </w:tc>
      </w:tr>
      <w:tr>
        <w:trPr>
          <w:trHeight w:val="284" w:hRule="auto"/>
          <w:jc w:val="left"/>
        </w:trPr>
        <w:tc>
          <w:tcPr>
            <w:tcW w:w="470" w:type="dxa"/>
            <w:vMerge/>
            <w:tcBorders>
              <w:top w:val="single" w:color="000000" w:sz="4"/>
              <w:left w:val="single" w:color="000000" w:sz="4"/>
              <w:bottom w:val="single" w:color="000000" w:sz="4"/>
              <w:right w:val="single" w:color="000000" w:sz="4"/>
            </w:tcBorders>
            <w:shd w:color="000000" w:fill="ffffff" w:val="clear"/>
            <w:tcMar>
              <w:left w:w="44" w:type="dxa"/>
              <w:right w:w="44"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2384" w:type="dxa"/>
            <w:tcBorders>
              <w:top w:val="single" w:color="000000" w:sz="4"/>
              <w:left w:val="single" w:color="000000" w:sz="4"/>
              <w:bottom w:val="single" w:color="000000" w:sz="4"/>
              <w:right w:val="single" w:color="000000" w:sz="4"/>
            </w:tcBorders>
            <w:shd w:color="auto" w:fill="b4c6e7" w:val="clear"/>
            <w:tcMar>
              <w:left w:w="44" w:type="dxa"/>
              <w:right w:w="44"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SPORT</w:t>
            </w:r>
          </w:p>
        </w:tc>
        <w:tc>
          <w:tcPr>
            <w:tcW w:w="1270" w:type="dxa"/>
            <w:tcBorders>
              <w:top w:val="single" w:color="000000" w:sz="4"/>
              <w:left w:val="single" w:color="000000" w:sz="4"/>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112" w:type="dxa"/>
            <w:tcBorders>
              <w:top w:val="single" w:color="000000" w:sz="4"/>
              <w:left w:val="single" w:color="000000" w:sz="4"/>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112" w:type="dxa"/>
            <w:tcBorders>
              <w:top w:val="single" w:color="000000" w:sz="4"/>
              <w:left w:val="single" w:color="000000" w:sz="4"/>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432" w:type="dxa"/>
            <w:tcBorders>
              <w:top w:val="single" w:color="000000" w:sz="4"/>
              <w:left w:val="single" w:color="000000" w:sz="4"/>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595" w:type="dxa"/>
            <w:tcBorders>
              <w:top w:val="single" w:color="000000" w:sz="4"/>
              <w:left w:val="single" w:color="000000" w:sz="4"/>
              <w:bottom w:val="single" w:color="000000" w:sz="4"/>
              <w:right w:val="single" w:color="000000" w:sz="4"/>
            </w:tcBorders>
            <w:shd w:color="auto" w:fill="d9e1f2"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r>
      <w:tr>
        <w:trPr>
          <w:trHeight w:val="284" w:hRule="auto"/>
          <w:jc w:val="left"/>
        </w:trPr>
        <w:tc>
          <w:tcPr>
            <w:tcW w:w="470" w:type="dxa"/>
            <w:vMerge/>
            <w:tcBorders>
              <w:top w:val="single" w:color="000000" w:sz="4"/>
              <w:left w:val="single" w:color="000000" w:sz="4"/>
              <w:bottom w:val="single" w:color="000000" w:sz="4"/>
              <w:right w:val="single" w:color="000000" w:sz="4"/>
            </w:tcBorders>
            <w:shd w:color="000000" w:fill="ffffff" w:val="clear"/>
            <w:tcMar>
              <w:left w:w="44" w:type="dxa"/>
              <w:right w:w="44"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2384" w:type="dxa"/>
            <w:tcBorders>
              <w:top w:val="single" w:color="000000" w:sz="4"/>
              <w:left w:val="single" w:color="000000" w:sz="4"/>
              <w:bottom w:val="single" w:color="000000" w:sz="4"/>
              <w:right w:val="single" w:color="000000" w:sz="4"/>
            </w:tcBorders>
            <w:shd w:color="auto" w:fill="b4c6e7" w:val="clear"/>
            <w:tcMar>
              <w:left w:w="44" w:type="dxa"/>
              <w:right w:w="44"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KULTURA</w:t>
            </w:r>
          </w:p>
        </w:tc>
        <w:tc>
          <w:tcPr>
            <w:tcW w:w="1270" w:type="dxa"/>
            <w:tcBorders>
              <w:top w:val="single" w:color="000000" w:sz="4"/>
              <w:left w:val="single" w:color="000000" w:sz="4"/>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56,79</w:t>
            </w:r>
          </w:p>
        </w:tc>
        <w:tc>
          <w:tcPr>
            <w:tcW w:w="1112" w:type="dxa"/>
            <w:tcBorders>
              <w:top w:val="single" w:color="000000" w:sz="4"/>
              <w:left w:val="single" w:color="000000" w:sz="4"/>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37,09</w:t>
            </w:r>
          </w:p>
        </w:tc>
        <w:tc>
          <w:tcPr>
            <w:tcW w:w="1112" w:type="dxa"/>
            <w:tcBorders>
              <w:top w:val="single" w:color="000000" w:sz="4"/>
              <w:left w:val="single" w:color="000000" w:sz="4"/>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34,75</w:t>
            </w:r>
          </w:p>
        </w:tc>
        <w:tc>
          <w:tcPr>
            <w:tcW w:w="1432" w:type="dxa"/>
            <w:tcBorders>
              <w:top w:val="single" w:color="000000" w:sz="4"/>
              <w:left w:val="single" w:color="000000" w:sz="4"/>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46,74</w:t>
            </w:r>
          </w:p>
        </w:tc>
        <w:tc>
          <w:tcPr>
            <w:tcW w:w="1595" w:type="dxa"/>
            <w:tcBorders>
              <w:top w:val="single" w:color="000000" w:sz="4"/>
              <w:left w:val="single" w:color="000000" w:sz="4"/>
              <w:bottom w:val="single" w:color="000000" w:sz="4"/>
              <w:right w:val="single" w:color="000000" w:sz="4"/>
            </w:tcBorders>
            <w:shd w:color="auto" w:fill="d9e1f2" w:val="clear"/>
            <w:tcMar>
              <w:left w:w="44" w:type="dxa"/>
              <w:right w:w="44" w:type="dxa"/>
            </w:tcMar>
            <w:vAlign w:val="bottom"/>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175,37</w:t>
            </w:r>
          </w:p>
        </w:tc>
      </w:tr>
      <w:tr>
        <w:trPr>
          <w:trHeight w:val="284" w:hRule="auto"/>
          <w:jc w:val="left"/>
        </w:trPr>
        <w:tc>
          <w:tcPr>
            <w:tcW w:w="470" w:type="dxa"/>
            <w:vMerge/>
            <w:tcBorders>
              <w:top w:val="single" w:color="000000" w:sz="4"/>
              <w:left w:val="single" w:color="000000" w:sz="4"/>
              <w:bottom w:val="single" w:color="000000" w:sz="4"/>
              <w:right w:val="single" w:color="000000" w:sz="4"/>
            </w:tcBorders>
            <w:shd w:color="000000" w:fill="ffffff" w:val="clear"/>
            <w:tcMar>
              <w:left w:w="44" w:type="dxa"/>
              <w:right w:w="44"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2384" w:type="dxa"/>
            <w:tcBorders>
              <w:top w:val="single" w:color="000000" w:sz="4"/>
              <w:left w:val="single" w:color="000000" w:sz="4"/>
              <w:bottom w:val="single" w:color="000000" w:sz="4"/>
              <w:right w:val="single" w:color="000000" w:sz="4"/>
            </w:tcBorders>
            <w:shd w:color="auto" w:fill="b4c6e7" w:val="clear"/>
            <w:tcMar>
              <w:left w:w="44" w:type="dxa"/>
              <w:right w:w="44"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KANCELARIJSKE ZGRADE</w:t>
            </w:r>
          </w:p>
        </w:tc>
        <w:tc>
          <w:tcPr>
            <w:tcW w:w="1270" w:type="dxa"/>
            <w:tcBorders>
              <w:top w:val="single" w:color="000000" w:sz="4"/>
              <w:left w:val="single" w:color="000000" w:sz="4"/>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109,64</w:t>
            </w:r>
          </w:p>
        </w:tc>
        <w:tc>
          <w:tcPr>
            <w:tcW w:w="1112" w:type="dxa"/>
            <w:tcBorders>
              <w:top w:val="single" w:color="000000" w:sz="4"/>
              <w:left w:val="single" w:color="000000" w:sz="4"/>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170,93</w:t>
            </w:r>
          </w:p>
        </w:tc>
        <w:tc>
          <w:tcPr>
            <w:tcW w:w="1112" w:type="dxa"/>
            <w:tcBorders>
              <w:top w:val="single" w:color="000000" w:sz="4"/>
              <w:left w:val="single" w:color="000000" w:sz="4"/>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160,13</w:t>
            </w:r>
          </w:p>
        </w:tc>
        <w:tc>
          <w:tcPr>
            <w:tcW w:w="1432" w:type="dxa"/>
            <w:tcBorders>
              <w:top w:val="single" w:color="000000" w:sz="4"/>
              <w:left w:val="single" w:color="000000" w:sz="4"/>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595" w:type="dxa"/>
            <w:tcBorders>
              <w:top w:val="single" w:color="000000" w:sz="4"/>
              <w:left w:val="single" w:color="000000" w:sz="4"/>
              <w:bottom w:val="single" w:color="000000" w:sz="4"/>
              <w:right w:val="single" w:color="000000" w:sz="4"/>
            </w:tcBorders>
            <w:shd w:color="auto" w:fill="d9e1f2" w:val="clear"/>
            <w:tcMar>
              <w:left w:w="44" w:type="dxa"/>
              <w:right w:w="44" w:type="dxa"/>
            </w:tcMar>
            <w:vAlign w:val="bottom"/>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440,71</w:t>
            </w:r>
          </w:p>
        </w:tc>
      </w:tr>
      <w:tr>
        <w:trPr>
          <w:trHeight w:val="255" w:hRule="auto"/>
          <w:jc w:val="left"/>
        </w:trPr>
        <w:tc>
          <w:tcPr>
            <w:tcW w:w="470" w:type="dxa"/>
            <w:vMerge/>
            <w:tcBorders>
              <w:top w:val="single" w:color="000000" w:sz="4"/>
              <w:left w:val="single" w:color="000000" w:sz="4"/>
              <w:bottom w:val="single" w:color="000000" w:sz="4"/>
              <w:right w:val="single" w:color="000000" w:sz="4"/>
            </w:tcBorders>
            <w:shd w:color="000000" w:fill="ffffff" w:val="clear"/>
            <w:tcMar>
              <w:left w:w="44" w:type="dxa"/>
              <w:right w:w="44"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2384" w:type="dxa"/>
            <w:tcBorders>
              <w:top w:val="single" w:color="000000" w:sz="4"/>
              <w:left w:val="single" w:color="000000" w:sz="4"/>
              <w:bottom w:val="single" w:color="000000" w:sz="4"/>
              <w:right w:val="single" w:color="000000" w:sz="4"/>
            </w:tcBorders>
            <w:shd w:color="auto" w:fill="b4c6e7" w:val="clear"/>
            <w:tcMar>
              <w:left w:w="44" w:type="dxa"/>
              <w:right w:w="44"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CJELODNEVNI BORAVAK</w:t>
            </w:r>
          </w:p>
        </w:tc>
        <w:tc>
          <w:tcPr>
            <w:tcW w:w="1270" w:type="dxa"/>
            <w:tcBorders>
              <w:top w:val="single" w:color="000000" w:sz="4"/>
              <w:left w:val="single" w:color="000000" w:sz="4"/>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112" w:type="dxa"/>
            <w:tcBorders>
              <w:top w:val="single" w:color="000000" w:sz="4"/>
              <w:left w:val="single" w:color="000000" w:sz="4"/>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112" w:type="dxa"/>
            <w:tcBorders>
              <w:top w:val="single" w:color="000000" w:sz="4"/>
              <w:left w:val="single" w:color="000000" w:sz="4"/>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432" w:type="dxa"/>
            <w:tcBorders>
              <w:top w:val="single" w:color="000000" w:sz="4"/>
              <w:left w:val="single" w:color="000000" w:sz="4"/>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595" w:type="dxa"/>
            <w:tcBorders>
              <w:top w:val="single" w:color="000000" w:sz="4"/>
              <w:left w:val="single" w:color="000000" w:sz="4"/>
              <w:bottom w:val="single" w:color="000000" w:sz="4"/>
              <w:right w:val="single" w:color="000000" w:sz="4"/>
            </w:tcBorders>
            <w:shd w:color="auto" w:fill="d9e1f2"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r>
      <w:tr>
        <w:trPr>
          <w:trHeight w:val="284" w:hRule="auto"/>
          <w:jc w:val="left"/>
        </w:trPr>
        <w:tc>
          <w:tcPr>
            <w:tcW w:w="2854" w:type="dxa"/>
            <w:gridSpan w:val="2"/>
            <w:tcBorders>
              <w:top w:val="single" w:color="000000" w:sz="4"/>
              <w:left w:val="single" w:color="000000" w:sz="4"/>
              <w:bottom w:val="single" w:color="000000" w:sz="4"/>
              <w:right w:val="single" w:color="000000" w:sz="4"/>
            </w:tcBorders>
            <w:shd w:color="auto" w:fill="d9e1f2" w:val="clear"/>
            <w:tcMar>
              <w:left w:w="44" w:type="dxa"/>
              <w:right w:w="44" w:type="dxa"/>
            </w:tcMar>
            <w:vAlign w:val="bottom"/>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UKUPNO PO ENERGENTIMA</w:t>
            </w:r>
          </w:p>
        </w:tc>
        <w:tc>
          <w:tcPr>
            <w:tcW w:w="1270" w:type="dxa"/>
            <w:tcBorders>
              <w:top w:val="single" w:color="000000" w:sz="4"/>
              <w:left w:val="single" w:color="000000" w:sz="4"/>
              <w:bottom w:val="single" w:color="000000" w:sz="4"/>
              <w:right w:val="single" w:color="000000" w:sz="4"/>
            </w:tcBorders>
            <w:shd w:color="auto" w:fill="d9e1f2" w:val="clear"/>
            <w:tcMar>
              <w:left w:w="44" w:type="dxa"/>
              <w:right w:w="44" w:type="dxa"/>
            </w:tcMar>
            <w:vAlign w:val="bottom"/>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166,43</w:t>
            </w:r>
          </w:p>
        </w:tc>
        <w:tc>
          <w:tcPr>
            <w:tcW w:w="1112" w:type="dxa"/>
            <w:tcBorders>
              <w:top w:val="single" w:color="000000" w:sz="4"/>
              <w:left w:val="single" w:color="000000" w:sz="4"/>
              <w:bottom w:val="single" w:color="000000" w:sz="4"/>
              <w:right w:val="single" w:color="000000" w:sz="4"/>
            </w:tcBorders>
            <w:shd w:color="auto" w:fill="d9e1f2" w:val="clear"/>
            <w:tcMar>
              <w:left w:w="44" w:type="dxa"/>
              <w:right w:w="44" w:type="dxa"/>
            </w:tcMar>
            <w:vAlign w:val="bottom"/>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315,76</w:t>
            </w:r>
          </w:p>
        </w:tc>
        <w:tc>
          <w:tcPr>
            <w:tcW w:w="1112" w:type="dxa"/>
            <w:tcBorders>
              <w:top w:val="single" w:color="000000" w:sz="4"/>
              <w:left w:val="single" w:color="000000" w:sz="4"/>
              <w:bottom w:val="single" w:color="000000" w:sz="4"/>
              <w:right w:val="single" w:color="000000" w:sz="4"/>
            </w:tcBorders>
            <w:shd w:color="auto" w:fill="d9e1f2" w:val="clear"/>
            <w:tcMar>
              <w:left w:w="44" w:type="dxa"/>
              <w:right w:w="44" w:type="dxa"/>
            </w:tcMar>
            <w:vAlign w:val="bottom"/>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295,81</w:t>
            </w:r>
          </w:p>
        </w:tc>
        <w:tc>
          <w:tcPr>
            <w:tcW w:w="1432" w:type="dxa"/>
            <w:tcBorders>
              <w:top w:val="single" w:color="000000" w:sz="4"/>
              <w:left w:val="single" w:color="000000" w:sz="4"/>
              <w:bottom w:val="single" w:color="000000" w:sz="4"/>
              <w:right w:val="single" w:color="000000" w:sz="4"/>
            </w:tcBorders>
            <w:shd w:color="auto" w:fill="d9e1f2" w:val="clear"/>
            <w:tcMar>
              <w:left w:w="44" w:type="dxa"/>
              <w:right w:w="44" w:type="dxa"/>
            </w:tcMar>
            <w:vAlign w:val="bottom"/>
          </w:tcPr>
          <w:p>
            <w:pPr>
              <w:keepNext w:val="true"/>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48,39</w:t>
            </w:r>
          </w:p>
        </w:tc>
        <w:tc>
          <w:tcPr>
            <w:tcW w:w="1595" w:type="dxa"/>
            <w:tcBorders>
              <w:top w:val="single" w:color="000000" w:sz="4"/>
              <w:left w:val="single" w:color="000000" w:sz="4"/>
              <w:bottom w:val="single" w:color="000000" w:sz="4"/>
              <w:right w:val="single" w:color="000000" w:sz="4"/>
            </w:tcBorders>
            <w:shd w:color="auto" w:fill="d9e1f2" w:val="clear"/>
            <w:tcMar>
              <w:left w:w="44" w:type="dxa"/>
              <w:right w:w="44" w:type="dxa"/>
            </w:tcMar>
            <w:vAlign w:val="bottom"/>
          </w:tcPr>
          <w:p>
            <w:pPr>
              <w:keepNext w:val="true"/>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826,39</w:t>
            </w:r>
          </w:p>
        </w:tc>
      </w:tr>
    </w:tbl>
    <w:p>
      <w:pPr>
        <w:spacing w:before="60" w:after="160" w:line="240"/>
        <w:ind w:right="0" w:left="0" w:firstLine="0"/>
        <w:jc w:val="center"/>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Tabela 54: Godišnje emisije CO</w:t>
      </w:r>
      <w:r>
        <w:rPr>
          <w:rFonts w:ascii="Calibri" w:hAnsi="Calibri" w:cs="Calibri" w:eastAsia="Calibri"/>
          <w:color w:val="auto"/>
          <w:spacing w:val="0"/>
          <w:position w:val="0"/>
          <w:sz w:val="18"/>
          <w:shd w:fill="auto" w:val="clear"/>
          <w:vertAlign w:val="subscript"/>
        </w:rPr>
        <w:t xml:space="preserve">2</w:t>
      </w:r>
      <w:r>
        <w:rPr>
          <w:rFonts w:ascii="Calibri" w:hAnsi="Calibri" w:cs="Calibri" w:eastAsia="Calibri"/>
          <w:color w:val="auto"/>
          <w:spacing w:val="0"/>
          <w:position w:val="0"/>
          <w:sz w:val="18"/>
          <w:shd w:fill="auto" w:val="clear"/>
        </w:rPr>
        <w:t xml:space="preserve"> iz podsektora javnih zgrada u vlasništvu Op</w:t>
      </w:r>
      <w:r>
        <w:rPr>
          <w:rFonts w:ascii="Calibri" w:hAnsi="Calibri" w:cs="Calibri" w:eastAsia="Calibri"/>
          <w:color w:val="auto"/>
          <w:spacing w:val="0"/>
          <w:position w:val="0"/>
          <w:sz w:val="18"/>
          <w:shd w:fill="auto" w:val="clear"/>
        </w:rPr>
        <w:t xml:space="preserve">ćine u baznoj godini</w:t>
      </w:r>
    </w:p>
    <w:p>
      <w:pPr>
        <w:spacing w:before="60" w:after="12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0"/>
          <w:shd w:fill="auto" w:val="clear"/>
        </w:rPr>
        <w:t xml:space="preserve">Ukupna prora</w:t>
      </w:r>
      <w:r>
        <w:rPr>
          <w:rFonts w:ascii="Calibri" w:hAnsi="Calibri" w:cs="Calibri" w:eastAsia="Calibri"/>
          <w:color w:val="auto"/>
          <w:spacing w:val="0"/>
          <w:position w:val="0"/>
          <w:sz w:val="20"/>
          <w:shd w:fill="auto" w:val="clear"/>
        </w:rPr>
        <w:t xml:space="preserve">čunata vrijednost godišnjih emisija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iz ovog podsektora u baznoj 2010. godini iznosi 826,39 t, što predstavja 2,72% od ukupnih emisija CO</w:t>
      </w:r>
      <w:r>
        <w:rPr>
          <w:rFonts w:ascii="Calibri" w:hAnsi="Calibri" w:cs="Calibri" w:eastAsia="Calibri"/>
          <w:color w:val="auto"/>
          <w:spacing w:val="0"/>
          <w:position w:val="0"/>
          <w:sz w:val="20"/>
          <w:shd w:fill="auto" w:val="clear"/>
          <w:vertAlign w:val="subscript"/>
        </w:rPr>
        <w:t xml:space="preserve">2 </w:t>
      </w:r>
      <w:r>
        <w:rPr>
          <w:rFonts w:ascii="Calibri" w:hAnsi="Calibri" w:cs="Calibri" w:eastAsia="Calibri"/>
          <w:color w:val="auto"/>
          <w:spacing w:val="0"/>
          <w:position w:val="0"/>
          <w:sz w:val="20"/>
          <w:shd w:fill="auto" w:val="clear"/>
        </w:rPr>
        <w:t xml:space="preserve">u baznoj godini iz svih razmatranih sektora. Iz ove tabele se vidi da je 2010. godine najveći udio emisija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iz ovog podsektora dolazio kao rezultat korištenja uglja (lignit i mrki ugalj), zatim slijede emisije iz korištenja električne energije, dok je učešće biomase minimalno. Procentualno učešće razmatranih energenata u ukupnim emisijama iz ovog podsektora u baznoj 2010. godini prikazano je na </w:t>
      </w:r>
      <w:r>
        <w:rPr>
          <w:rFonts w:ascii="Calibri" w:hAnsi="Calibri" w:cs="Calibri" w:eastAsia="Calibri"/>
          <w:i/>
          <w:color w:val="auto"/>
          <w:spacing w:val="0"/>
          <w:position w:val="0"/>
          <w:sz w:val="20"/>
          <w:shd w:fill="auto" w:val="clear"/>
        </w:rPr>
        <w:t xml:space="preserve">Dijagramu 5-2</w:t>
      </w:r>
      <w:r>
        <w:rPr>
          <w:rFonts w:ascii="Calibri" w:hAnsi="Calibri" w:cs="Calibri" w:eastAsia="Calibri"/>
          <w:color w:val="auto"/>
          <w:spacing w:val="0"/>
          <w:position w:val="0"/>
          <w:sz w:val="20"/>
          <w:shd w:fill="auto" w:val="clear"/>
        </w:rPr>
        <w:t xml:space="preserve"> u nastavku teksta.</w:t>
      </w:r>
    </w:p>
    <w:tbl>
      <w:tblPr/>
      <w:tblGrid>
        <w:gridCol w:w="5076"/>
        <w:gridCol w:w="5076"/>
      </w:tblGrid>
      <w:tr>
        <w:trPr>
          <w:trHeight w:val="4118" w:hRule="auto"/>
          <w:jc w:val="left"/>
        </w:trPr>
        <w:tc>
          <w:tcPr>
            <w:tcW w:w="5076"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p>
            <w:pPr>
              <w:spacing w:before="60" w:after="16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Dijagram 51: Udio razmatranih energenata u potrebnoj finalnoj energiji za grijanje javnih zgrada u vlasništvu Op</w:t>
            </w:r>
            <w:r>
              <w:rPr>
                <w:rFonts w:ascii="Calibri" w:hAnsi="Calibri" w:cs="Calibri" w:eastAsia="Calibri"/>
                <w:color w:val="auto"/>
                <w:spacing w:val="0"/>
                <w:position w:val="0"/>
                <w:sz w:val="18"/>
                <w:shd w:fill="auto" w:val="clear"/>
              </w:rPr>
              <w:t xml:space="preserve">ćine u baznoj godini</w:t>
            </w:r>
          </w:p>
        </w:tc>
        <w:tc>
          <w:tcPr>
            <w:tcW w:w="5076"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p>
            <w:pPr>
              <w:spacing w:before="60" w:after="16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Dijagram 52: Udio razmatranih energenata u godišnjim emisijama CO</w:t>
            </w:r>
            <w:r>
              <w:rPr>
                <w:rFonts w:ascii="Calibri" w:hAnsi="Calibri" w:cs="Calibri" w:eastAsia="Calibri"/>
                <w:color w:val="auto"/>
                <w:spacing w:val="0"/>
                <w:position w:val="0"/>
                <w:sz w:val="18"/>
                <w:shd w:fill="auto" w:val="clear"/>
                <w:vertAlign w:val="subscript"/>
              </w:rPr>
              <w:t xml:space="preserve">2</w:t>
            </w:r>
            <w:r>
              <w:rPr>
                <w:rFonts w:ascii="Calibri" w:hAnsi="Calibri" w:cs="Calibri" w:eastAsia="Calibri"/>
                <w:color w:val="auto"/>
                <w:spacing w:val="0"/>
                <w:position w:val="0"/>
                <w:sz w:val="18"/>
                <w:shd w:fill="auto" w:val="clear"/>
              </w:rPr>
              <w:t xml:space="preserve"> iz podsektora </w:t>
            </w:r>
            <w:r>
              <w:rPr>
                <w:rFonts w:ascii="Calibri" w:hAnsi="Calibri" w:cs="Calibri" w:eastAsia="Calibri"/>
                <w:color w:val="auto"/>
                <w:spacing w:val="0"/>
                <w:position w:val="0"/>
                <w:sz w:val="18"/>
                <w:shd w:fill="auto" w:val="clear"/>
                <w:vertAlign w:val="subscript"/>
              </w:rPr>
              <w:t xml:space="preserve"> </w:t>
            </w:r>
            <w:r>
              <w:rPr>
                <w:rFonts w:ascii="Calibri" w:hAnsi="Calibri" w:cs="Calibri" w:eastAsia="Calibri"/>
                <w:color w:val="auto"/>
                <w:spacing w:val="0"/>
                <w:position w:val="0"/>
                <w:sz w:val="18"/>
                <w:shd w:fill="auto" w:val="clear"/>
              </w:rPr>
              <w:t xml:space="preserve">javnih zgrada u vlasništvu Op</w:t>
            </w:r>
            <w:r>
              <w:rPr>
                <w:rFonts w:ascii="Calibri" w:hAnsi="Calibri" w:cs="Calibri" w:eastAsia="Calibri"/>
                <w:color w:val="auto"/>
                <w:spacing w:val="0"/>
                <w:position w:val="0"/>
                <w:sz w:val="18"/>
                <w:shd w:fill="auto" w:val="clear"/>
              </w:rPr>
              <w:t xml:space="preserve">ćine u baznoj godini</w:t>
            </w:r>
          </w:p>
        </w:tc>
      </w:tr>
    </w:tbl>
    <w:p>
      <w:pPr>
        <w:keepNext w:val="true"/>
        <w:keepLines w:val="true"/>
        <w:numPr>
          <w:ilvl w:val="0"/>
          <w:numId w:val="685"/>
        </w:numPr>
        <w:spacing w:before="120" w:after="0" w:line="240"/>
        <w:ind w:right="0" w:left="862" w:hanging="862"/>
        <w:jc w:val="both"/>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Emisije CO</w:t>
      </w:r>
      <w:r>
        <w:rPr>
          <w:rFonts w:ascii="Calibri" w:hAnsi="Calibri" w:cs="Calibri" w:eastAsia="Calibri"/>
          <w:b/>
          <w:color w:val="auto"/>
          <w:spacing w:val="0"/>
          <w:position w:val="0"/>
          <w:sz w:val="22"/>
          <w:shd w:fill="auto" w:val="clear"/>
          <w:vertAlign w:val="subscript"/>
        </w:rPr>
        <w:t xml:space="preserve">2 </w:t>
      </w:r>
      <w:r>
        <w:rPr>
          <w:rFonts w:ascii="Calibri" w:hAnsi="Calibri" w:cs="Calibri" w:eastAsia="Calibri"/>
          <w:b/>
          <w:color w:val="auto"/>
          <w:spacing w:val="0"/>
          <w:position w:val="0"/>
          <w:sz w:val="22"/>
          <w:shd w:fill="auto" w:val="clear"/>
        </w:rPr>
        <w:t xml:space="preserve"> u baznoj godini iz podsektora javnih zgrada koje nisu u vlasništvu Op</w:t>
      </w:r>
      <w:r>
        <w:rPr>
          <w:rFonts w:ascii="Calibri" w:hAnsi="Calibri" w:cs="Calibri" w:eastAsia="Calibri"/>
          <w:b/>
          <w:color w:val="auto"/>
          <w:spacing w:val="0"/>
          <w:position w:val="0"/>
          <w:sz w:val="22"/>
          <w:shd w:fill="auto" w:val="clear"/>
        </w:rPr>
        <w:t xml:space="preserve">ćine</w:t>
      </w:r>
    </w:p>
    <w:p>
      <w:pPr>
        <w:spacing w:before="60" w:after="12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Ukupna grijana površina 9 javnih zgrada koje nisu u vlasništvu Op</w:t>
      </w:r>
      <w:r>
        <w:rPr>
          <w:rFonts w:ascii="Calibri" w:hAnsi="Calibri" w:cs="Calibri" w:eastAsia="Calibri"/>
          <w:color w:val="auto"/>
          <w:spacing w:val="0"/>
          <w:position w:val="0"/>
          <w:sz w:val="20"/>
          <w:shd w:fill="auto" w:val="clear"/>
        </w:rPr>
        <w:t xml:space="preserve">ćine, a locirane su na području Doboj Istoka, dobivena je na osnovu prikupljenih ulaznih podataka o njihovim opštim, građevinskim i energetskim karakteristikama. Vrijednosti dobivenih grijanih površina za ovaj podsektor, razvrstane prema namjeni zgrada i energentima koji su u 2010. godini korišteni za njihovo zagrijavanje, date su u narednoj tabeli.</w:t>
      </w:r>
    </w:p>
    <w:tbl>
      <w:tblPr/>
      <w:tblGrid>
        <w:gridCol w:w="470"/>
        <w:gridCol w:w="2384"/>
        <w:gridCol w:w="1270"/>
        <w:gridCol w:w="1112"/>
        <w:gridCol w:w="1112"/>
        <w:gridCol w:w="1432"/>
        <w:gridCol w:w="1595"/>
      </w:tblGrid>
      <w:tr>
        <w:trPr>
          <w:trHeight w:val="326" w:hRule="auto"/>
          <w:jc w:val="left"/>
        </w:trPr>
        <w:tc>
          <w:tcPr>
            <w:tcW w:w="9375" w:type="dxa"/>
            <w:gridSpan w:val="7"/>
            <w:tcBorders>
              <w:top w:val="single" w:color="000000" w:sz="4"/>
              <w:left w:val="single" w:color="000000" w:sz="4"/>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GRIJANA POVRŠINA [m</w:t>
            </w:r>
            <w:r>
              <w:rPr>
                <w:rFonts w:ascii="Calibri" w:hAnsi="Calibri" w:cs="Calibri" w:eastAsia="Calibri"/>
                <w:color w:val="000000"/>
                <w:spacing w:val="0"/>
                <w:position w:val="0"/>
                <w:sz w:val="18"/>
                <w:shd w:fill="auto" w:val="clear"/>
                <w:vertAlign w:val="superscript"/>
              </w:rPr>
              <w:t xml:space="preserve">2</w:t>
            </w:r>
            <w:r>
              <w:rPr>
                <w:rFonts w:ascii="Calibri" w:hAnsi="Calibri" w:cs="Calibri" w:eastAsia="Calibri"/>
                <w:color w:val="000000"/>
                <w:spacing w:val="0"/>
                <w:position w:val="0"/>
                <w:sz w:val="18"/>
                <w:shd w:fill="auto" w:val="clear"/>
              </w:rPr>
              <w:t xml:space="preserve">]</w:t>
            </w:r>
          </w:p>
        </w:tc>
      </w:tr>
      <w:tr>
        <w:trPr>
          <w:trHeight w:val="16" w:hRule="auto"/>
          <w:jc w:val="left"/>
        </w:trPr>
        <w:tc>
          <w:tcPr>
            <w:tcW w:w="2854" w:type="dxa"/>
            <w:gridSpan w:val="2"/>
            <w:vMerge w:val="restart"/>
            <w:tcBorders>
              <w:top w:val="single" w:color="000000" w:sz="4"/>
              <w:left w:val="single" w:color="000000" w:sz="4"/>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VRSTA ENERGENTA</w:t>
            </w:r>
          </w:p>
        </w:tc>
        <w:tc>
          <w:tcPr>
            <w:tcW w:w="1270" w:type="dxa"/>
            <w:vMerge w:val="restart"/>
            <w:tcBorders>
              <w:top w:val="single" w:color="000000" w:sz="0"/>
              <w:left w:val="single" w:color="000000" w:sz="4"/>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ELEKTRI</w:t>
            </w:r>
            <w:r>
              <w:rPr>
                <w:rFonts w:ascii="Calibri" w:hAnsi="Calibri" w:cs="Calibri" w:eastAsia="Calibri"/>
                <w:color w:val="000000"/>
                <w:spacing w:val="0"/>
                <w:position w:val="0"/>
                <w:sz w:val="18"/>
                <w:shd w:fill="auto" w:val="clear"/>
              </w:rPr>
              <w:t xml:space="preserve">ČNA ENERGIJA</w:t>
            </w:r>
          </w:p>
        </w:tc>
        <w:tc>
          <w:tcPr>
            <w:tcW w:w="2224" w:type="dxa"/>
            <w:gridSpan w:val="2"/>
            <w:tcBorders>
              <w:top w:val="single" w:color="000000" w:sz="0"/>
              <w:left w:val="single" w:color="000000" w:sz="0"/>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FOSILNA GORIVA</w:t>
            </w:r>
          </w:p>
        </w:tc>
        <w:tc>
          <w:tcPr>
            <w:tcW w:w="1432" w:type="dxa"/>
            <w:tcBorders>
              <w:top w:val="single" w:color="000000" w:sz="0"/>
              <w:left w:val="single" w:color="000000" w:sz="4"/>
              <w:bottom w:val="single" w:color="000000" w:sz="4"/>
              <w:right w:val="single" w:color="000000" w:sz="4"/>
            </w:tcBorders>
            <w:shd w:color="auto" w:fill="bdd7ee" w:val="clear"/>
            <w:tcMar>
              <w:left w:w="44" w:type="dxa"/>
              <w:right w:w="44"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OBNOVLJIVI IZVORI ENERGIJE</w:t>
            </w:r>
          </w:p>
        </w:tc>
        <w:tc>
          <w:tcPr>
            <w:tcW w:w="1595" w:type="dxa"/>
            <w:vMerge w:val="restart"/>
            <w:tcBorders>
              <w:top w:val="single" w:color="000000" w:sz="0"/>
              <w:left w:val="single" w:color="000000" w:sz="4"/>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UKUPNO PO NAMJENI ZGRADE</w:t>
            </w:r>
          </w:p>
        </w:tc>
      </w:tr>
      <w:tr>
        <w:trPr>
          <w:trHeight w:val="16" w:hRule="auto"/>
          <w:jc w:val="left"/>
        </w:trPr>
        <w:tc>
          <w:tcPr>
            <w:tcW w:w="2854" w:type="dxa"/>
            <w:gridSpan w:val="2"/>
            <w:vMerge/>
            <w:tcBorders>
              <w:top w:val="single" w:color="000000" w:sz="4"/>
              <w:left w:val="single" w:color="000000" w:sz="4"/>
              <w:bottom w:val="single" w:color="000000" w:sz="4"/>
              <w:right w:val="single" w:color="000000" w:sz="4"/>
            </w:tcBorders>
            <w:shd w:color="000000" w:fill="ffffff" w:val="clear"/>
            <w:tcMar>
              <w:left w:w="44" w:type="dxa"/>
              <w:right w:w="44"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270" w:type="dxa"/>
            <w:vMerge/>
            <w:tcBorders>
              <w:top w:val="single" w:color="000000" w:sz="0"/>
              <w:left w:val="single" w:color="000000" w:sz="4"/>
              <w:bottom w:val="single" w:color="000000" w:sz="4"/>
              <w:right w:val="single" w:color="000000" w:sz="4"/>
            </w:tcBorders>
            <w:shd w:color="000000" w:fill="ffffff" w:val="clear"/>
            <w:tcMar>
              <w:left w:w="44" w:type="dxa"/>
              <w:right w:w="44"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112" w:type="dxa"/>
            <w:tcBorders>
              <w:top w:val="single" w:color="000000" w:sz="0"/>
              <w:left w:val="single" w:color="000000" w:sz="0"/>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LIGNIT</w:t>
            </w:r>
          </w:p>
        </w:tc>
        <w:tc>
          <w:tcPr>
            <w:tcW w:w="1112" w:type="dxa"/>
            <w:tcBorders>
              <w:top w:val="single" w:color="000000" w:sz="0"/>
              <w:left w:val="single" w:color="000000" w:sz="0"/>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MRKI UGALJ</w:t>
            </w:r>
          </w:p>
        </w:tc>
        <w:tc>
          <w:tcPr>
            <w:tcW w:w="1432" w:type="dxa"/>
            <w:tcBorders>
              <w:top w:val="single" w:color="000000" w:sz="0"/>
              <w:left w:val="single" w:color="000000" w:sz="4"/>
              <w:bottom w:val="single" w:color="000000" w:sz="4"/>
              <w:right w:val="single" w:color="000000" w:sz="4"/>
            </w:tcBorders>
            <w:shd w:color="auto" w:fill="bdd6ee" w:val="clear"/>
            <w:tcMar>
              <w:left w:w="44" w:type="dxa"/>
              <w:right w:w="44"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BIOMASA</w:t>
            </w:r>
          </w:p>
        </w:tc>
        <w:tc>
          <w:tcPr>
            <w:tcW w:w="1595" w:type="dxa"/>
            <w:vMerge/>
            <w:tcBorders>
              <w:top w:val="single" w:color="000000" w:sz="0"/>
              <w:left w:val="single" w:color="000000" w:sz="4"/>
              <w:bottom w:val="single" w:color="000000" w:sz="4"/>
              <w:right w:val="single" w:color="000000" w:sz="4"/>
            </w:tcBorders>
            <w:shd w:color="000000" w:fill="ffffff" w:val="clear"/>
            <w:tcMar>
              <w:left w:w="44" w:type="dxa"/>
              <w:right w:w="44"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r>
      <w:tr>
        <w:trPr>
          <w:trHeight w:val="255" w:hRule="auto"/>
          <w:jc w:val="left"/>
        </w:trPr>
        <w:tc>
          <w:tcPr>
            <w:tcW w:w="470" w:type="dxa"/>
            <w:vMerge w:val="restart"/>
            <w:tcBorders>
              <w:top w:val="single" w:color="000000" w:sz="0"/>
              <w:left w:val="single" w:color="000000" w:sz="4"/>
              <w:bottom w:val="single" w:color="000000" w:sz="4"/>
              <w:right w:val="single" w:color="000000" w:sz="4"/>
            </w:tcBorders>
            <w:shd w:color="auto" w:fill="b4c6e7"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NAMJENA ZGRADE</w:t>
            </w:r>
          </w:p>
        </w:tc>
        <w:tc>
          <w:tcPr>
            <w:tcW w:w="2384" w:type="dxa"/>
            <w:tcBorders>
              <w:top w:val="single" w:color="000000" w:sz="0"/>
              <w:left w:val="single" w:color="000000" w:sz="0"/>
              <w:bottom w:val="single" w:color="000000" w:sz="4"/>
              <w:right w:val="single" w:color="000000" w:sz="4"/>
            </w:tcBorders>
            <w:shd w:color="auto" w:fill="b4c6e7" w:val="clear"/>
            <w:tcMar>
              <w:left w:w="44" w:type="dxa"/>
              <w:right w:w="44"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PREDŠKOLSKI ODGOJ</w:t>
            </w:r>
          </w:p>
        </w:tc>
        <w:tc>
          <w:tcPr>
            <w:tcW w:w="1270" w:type="dxa"/>
            <w:tcBorders>
              <w:top w:val="single" w:color="000000" w:sz="4"/>
              <w:left w:val="single" w:color="000000" w:sz="4"/>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112" w:type="dxa"/>
            <w:tcBorders>
              <w:top w:val="single" w:color="000000" w:sz="4"/>
              <w:left w:val="single" w:color="000000" w:sz="4"/>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112" w:type="dxa"/>
            <w:tcBorders>
              <w:top w:val="single" w:color="000000" w:sz="4"/>
              <w:left w:val="single" w:color="000000" w:sz="0"/>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432" w:type="dxa"/>
            <w:tcBorders>
              <w:top w:val="single" w:color="000000" w:sz="4"/>
              <w:left w:val="single" w:color="000000" w:sz="0"/>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595" w:type="dxa"/>
            <w:tcBorders>
              <w:top w:val="single" w:color="000000" w:sz="4"/>
              <w:left w:val="single" w:color="000000" w:sz="4"/>
              <w:bottom w:val="single" w:color="000000" w:sz="4"/>
              <w:right w:val="single" w:color="000000" w:sz="4"/>
            </w:tcBorders>
            <w:shd w:color="auto" w:fill="d9e2f3"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r>
      <w:tr>
        <w:trPr>
          <w:trHeight w:val="255" w:hRule="auto"/>
          <w:jc w:val="left"/>
        </w:trPr>
        <w:tc>
          <w:tcPr>
            <w:tcW w:w="470" w:type="dxa"/>
            <w:vMerge/>
            <w:tcBorders>
              <w:top w:val="single" w:color="000000" w:sz="0"/>
              <w:left w:val="single" w:color="000000" w:sz="4"/>
              <w:bottom w:val="single" w:color="000000" w:sz="4"/>
              <w:right w:val="single" w:color="000000" w:sz="4"/>
            </w:tcBorders>
            <w:shd w:color="000000" w:fill="ffffff" w:val="clear"/>
            <w:tcMar>
              <w:left w:w="44" w:type="dxa"/>
              <w:right w:w="44"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2384" w:type="dxa"/>
            <w:tcBorders>
              <w:top w:val="single" w:color="000000" w:sz="0"/>
              <w:left w:val="single" w:color="000000" w:sz="0"/>
              <w:bottom w:val="single" w:color="000000" w:sz="4"/>
              <w:right w:val="single" w:color="000000" w:sz="4"/>
            </w:tcBorders>
            <w:shd w:color="auto" w:fill="b4c6e7" w:val="clear"/>
            <w:tcMar>
              <w:left w:w="44" w:type="dxa"/>
              <w:right w:w="44"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OBRAZOVANJE</w:t>
            </w:r>
          </w:p>
        </w:tc>
        <w:tc>
          <w:tcPr>
            <w:tcW w:w="1270" w:type="dxa"/>
            <w:tcBorders>
              <w:top w:val="single" w:color="000000" w:sz="0"/>
              <w:left w:val="single" w:color="000000" w:sz="4"/>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112" w:type="dxa"/>
            <w:tcBorders>
              <w:top w:val="single" w:color="000000" w:sz="0"/>
              <w:left w:val="single" w:color="000000" w:sz="4"/>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2.323,50</w:t>
            </w:r>
          </w:p>
        </w:tc>
        <w:tc>
          <w:tcPr>
            <w:tcW w:w="1112" w:type="dxa"/>
            <w:tcBorders>
              <w:top w:val="single" w:color="000000" w:sz="0"/>
              <w:left w:val="single" w:color="000000" w:sz="0"/>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2.323,50</w:t>
            </w:r>
          </w:p>
        </w:tc>
        <w:tc>
          <w:tcPr>
            <w:tcW w:w="1432" w:type="dxa"/>
            <w:tcBorders>
              <w:top w:val="single" w:color="000000" w:sz="0"/>
              <w:left w:val="single" w:color="000000" w:sz="0"/>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595" w:type="dxa"/>
            <w:tcBorders>
              <w:top w:val="single" w:color="000000" w:sz="0"/>
              <w:left w:val="single" w:color="000000" w:sz="4"/>
              <w:bottom w:val="single" w:color="000000" w:sz="4"/>
              <w:right w:val="single" w:color="000000" w:sz="4"/>
            </w:tcBorders>
            <w:shd w:color="auto" w:fill="d9e2f3" w:val="clear"/>
            <w:tcMar>
              <w:left w:w="44" w:type="dxa"/>
              <w:right w:w="44" w:type="dxa"/>
            </w:tcMar>
            <w:vAlign w:val="bottom"/>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4.647,00</w:t>
            </w:r>
          </w:p>
        </w:tc>
      </w:tr>
      <w:tr>
        <w:trPr>
          <w:trHeight w:val="255" w:hRule="auto"/>
          <w:jc w:val="left"/>
        </w:trPr>
        <w:tc>
          <w:tcPr>
            <w:tcW w:w="470" w:type="dxa"/>
            <w:vMerge/>
            <w:tcBorders>
              <w:top w:val="single" w:color="000000" w:sz="0"/>
              <w:left w:val="single" w:color="000000" w:sz="4"/>
              <w:bottom w:val="single" w:color="000000" w:sz="4"/>
              <w:right w:val="single" w:color="000000" w:sz="4"/>
            </w:tcBorders>
            <w:shd w:color="000000" w:fill="ffffff" w:val="clear"/>
            <w:tcMar>
              <w:left w:w="44" w:type="dxa"/>
              <w:right w:w="44"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2384" w:type="dxa"/>
            <w:tcBorders>
              <w:top w:val="single" w:color="000000" w:sz="0"/>
              <w:left w:val="single" w:color="000000" w:sz="0"/>
              <w:bottom w:val="single" w:color="000000" w:sz="4"/>
              <w:right w:val="single" w:color="000000" w:sz="4"/>
            </w:tcBorders>
            <w:shd w:color="auto" w:fill="b4c6e7" w:val="clear"/>
            <w:tcMar>
              <w:left w:w="44" w:type="dxa"/>
              <w:right w:w="44"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ZDRAVSTVO</w:t>
            </w:r>
          </w:p>
        </w:tc>
        <w:tc>
          <w:tcPr>
            <w:tcW w:w="1270" w:type="dxa"/>
            <w:tcBorders>
              <w:top w:val="single" w:color="000000" w:sz="0"/>
              <w:left w:val="single" w:color="000000" w:sz="4"/>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112" w:type="dxa"/>
            <w:tcBorders>
              <w:top w:val="single" w:color="000000" w:sz="0"/>
              <w:left w:val="single" w:color="000000" w:sz="4"/>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112" w:type="dxa"/>
            <w:tcBorders>
              <w:top w:val="single" w:color="000000" w:sz="0"/>
              <w:left w:val="single" w:color="000000" w:sz="0"/>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432" w:type="dxa"/>
            <w:tcBorders>
              <w:top w:val="single" w:color="000000" w:sz="0"/>
              <w:left w:val="single" w:color="000000" w:sz="0"/>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595" w:type="dxa"/>
            <w:tcBorders>
              <w:top w:val="single" w:color="000000" w:sz="0"/>
              <w:left w:val="single" w:color="000000" w:sz="4"/>
              <w:bottom w:val="single" w:color="000000" w:sz="4"/>
              <w:right w:val="single" w:color="000000" w:sz="4"/>
            </w:tcBorders>
            <w:shd w:color="auto" w:fill="d9e2f3"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r>
      <w:tr>
        <w:trPr>
          <w:trHeight w:val="255" w:hRule="auto"/>
          <w:jc w:val="left"/>
        </w:trPr>
        <w:tc>
          <w:tcPr>
            <w:tcW w:w="470" w:type="dxa"/>
            <w:vMerge/>
            <w:tcBorders>
              <w:top w:val="single" w:color="000000" w:sz="0"/>
              <w:left w:val="single" w:color="000000" w:sz="4"/>
              <w:bottom w:val="single" w:color="000000" w:sz="4"/>
              <w:right w:val="single" w:color="000000" w:sz="4"/>
            </w:tcBorders>
            <w:shd w:color="000000" w:fill="ffffff" w:val="clear"/>
            <w:tcMar>
              <w:left w:w="44" w:type="dxa"/>
              <w:right w:w="44"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2384" w:type="dxa"/>
            <w:tcBorders>
              <w:top w:val="single" w:color="000000" w:sz="0"/>
              <w:left w:val="single" w:color="000000" w:sz="0"/>
              <w:bottom w:val="single" w:color="000000" w:sz="4"/>
              <w:right w:val="single" w:color="000000" w:sz="4"/>
            </w:tcBorders>
            <w:shd w:color="auto" w:fill="b4c6e7" w:val="clear"/>
            <w:tcMar>
              <w:left w:w="44" w:type="dxa"/>
              <w:right w:w="44"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SPORT</w:t>
            </w:r>
          </w:p>
        </w:tc>
        <w:tc>
          <w:tcPr>
            <w:tcW w:w="1270" w:type="dxa"/>
            <w:tcBorders>
              <w:top w:val="single" w:color="000000" w:sz="0"/>
              <w:left w:val="single" w:color="000000" w:sz="4"/>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112" w:type="dxa"/>
            <w:tcBorders>
              <w:top w:val="single" w:color="000000" w:sz="0"/>
              <w:left w:val="single" w:color="000000" w:sz="4"/>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350,00</w:t>
            </w:r>
          </w:p>
        </w:tc>
        <w:tc>
          <w:tcPr>
            <w:tcW w:w="1112" w:type="dxa"/>
            <w:tcBorders>
              <w:top w:val="single" w:color="000000" w:sz="0"/>
              <w:left w:val="single" w:color="000000" w:sz="0"/>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350,00</w:t>
            </w:r>
          </w:p>
        </w:tc>
        <w:tc>
          <w:tcPr>
            <w:tcW w:w="1432" w:type="dxa"/>
            <w:tcBorders>
              <w:top w:val="single" w:color="000000" w:sz="0"/>
              <w:left w:val="single" w:color="000000" w:sz="0"/>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595" w:type="dxa"/>
            <w:tcBorders>
              <w:top w:val="single" w:color="000000" w:sz="0"/>
              <w:left w:val="single" w:color="000000" w:sz="4"/>
              <w:bottom w:val="single" w:color="000000" w:sz="4"/>
              <w:right w:val="single" w:color="000000" w:sz="4"/>
            </w:tcBorders>
            <w:shd w:color="auto" w:fill="d9e2f3" w:val="clear"/>
            <w:tcMar>
              <w:left w:w="44" w:type="dxa"/>
              <w:right w:w="44" w:type="dxa"/>
            </w:tcMar>
            <w:vAlign w:val="bottom"/>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700,00</w:t>
            </w:r>
          </w:p>
        </w:tc>
      </w:tr>
      <w:tr>
        <w:trPr>
          <w:trHeight w:val="255" w:hRule="auto"/>
          <w:jc w:val="left"/>
        </w:trPr>
        <w:tc>
          <w:tcPr>
            <w:tcW w:w="470" w:type="dxa"/>
            <w:vMerge/>
            <w:tcBorders>
              <w:top w:val="single" w:color="000000" w:sz="0"/>
              <w:left w:val="single" w:color="000000" w:sz="4"/>
              <w:bottom w:val="single" w:color="000000" w:sz="4"/>
              <w:right w:val="single" w:color="000000" w:sz="4"/>
            </w:tcBorders>
            <w:shd w:color="000000" w:fill="ffffff" w:val="clear"/>
            <w:tcMar>
              <w:left w:w="44" w:type="dxa"/>
              <w:right w:w="44"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2384" w:type="dxa"/>
            <w:tcBorders>
              <w:top w:val="single" w:color="000000" w:sz="0"/>
              <w:left w:val="single" w:color="000000" w:sz="0"/>
              <w:bottom w:val="single" w:color="000000" w:sz="4"/>
              <w:right w:val="single" w:color="000000" w:sz="4"/>
            </w:tcBorders>
            <w:shd w:color="auto" w:fill="b4c6e7" w:val="clear"/>
            <w:tcMar>
              <w:left w:w="44" w:type="dxa"/>
              <w:right w:w="44"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KULTURA</w:t>
            </w:r>
          </w:p>
        </w:tc>
        <w:tc>
          <w:tcPr>
            <w:tcW w:w="1270" w:type="dxa"/>
            <w:tcBorders>
              <w:top w:val="single" w:color="000000" w:sz="0"/>
              <w:left w:val="single" w:color="000000" w:sz="4"/>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112" w:type="dxa"/>
            <w:tcBorders>
              <w:top w:val="single" w:color="000000" w:sz="0"/>
              <w:left w:val="single" w:color="000000" w:sz="4"/>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112" w:type="dxa"/>
            <w:tcBorders>
              <w:top w:val="single" w:color="000000" w:sz="0"/>
              <w:left w:val="single" w:color="000000" w:sz="0"/>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432" w:type="dxa"/>
            <w:tcBorders>
              <w:top w:val="single" w:color="000000" w:sz="0"/>
              <w:left w:val="single" w:color="000000" w:sz="0"/>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595" w:type="dxa"/>
            <w:tcBorders>
              <w:top w:val="single" w:color="000000" w:sz="0"/>
              <w:left w:val="single" w:color="000000" w:sz="4"/>
              <w:bottom w:val="single" w:color="000000" w:sz="4"/>
              <w:right w:val="single" w:color="000000" w:sz="4"/>
            </w:tcBorders>
            <w:shd w:color="auto" w:fill="d9e2f3"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r>
      <w:tr>
        <w:trPr>
          <w:trHeight w:val="255" w:hRule="auto"/>
          <w:jc w:val="left"/>
        </w:trPr>
        <w:tc>
          <w:tcPr>
            <w:tcW w:w="470" w:type="dxa"/>
            <w:vMerge/>
            <w:tcBorders>
              <w:top w:val="single" w:color="000000" w:sz="0"/>
              <w:left w:val="single" w:color="000000" w:sz="4"/>
              <w:bottom w:val="single" w:color="000000" w:sz="4"/>
              <w:right w:val="single" w:color="000000" w:sz="4"/>
            </w:tcBorders>
            <w:shd w:color="000000" w:fill="ffffff" w:val="clear"/>
            <w:tcMar>
              <w:left w:w="44" w:type="dxa"/>
              <w:right w:w="44"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2384" w:type="dxa"/>
            <w:tcBorders>
              <w:top w:val="single" w:color="000000" w:sz="0"/>
              <w:left w:val="single" w:color="000000" w:sz="0"/>
              <w:bottom w:val="single" w:color="000000" w:sz="4"/>
              <w:right w:val="single" w:color="000000" w:sz="4"/>
            </w:tcBorders>
            <w:shd w:color="auto" w:fill="b4c6e7" w:val="clear"/>
            <w:tcMar>
              <w:left w:w="44" w:type="dxa"/>
              <w:right w:w="44"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KANCELARIJSKE ZGRADE</w:t>
            </w:r>
          </w:p>
        </w:tc>
        <w:tc>
          <w:tcPr>
            <w:tcW w:w="1270" w:type="dxa"/>
            <w:tcBorders>
              <w:top w:val="single" w:color="000000" w:sz="0"/>
              <w:left w:val="single" w:color="000000" w:sz="4"/>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80,00</w:t>
            </w:r>
          </w:p>
        </w:tc>
        <w:tc>
          <w:tcPr>
            <w:tcW w:w="1112" w:type="dxa"/>
            <w:tcBorders>
              <w:top w:val="single" w:color="000000" w:sz="0"/>
              <w:left w:val="single" w:color="000000" w:sz="4"/>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112" w:type="dxa"/>
            <w:tcBorders>
              <w:top w:val="single" w:color="000000" w:sz="0"/>
              <w:left w:val="single" w:color="000000" w:sz="0"/>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432" w:type="dxa"/>
            <w:tcBorders>
              <w:top w:val="single" w:color="000000" w:sz="0"/>
              <w:left w:val="single" w:color="000000" w:sz="0"/>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595" w:type="dxa"/>
            <w:tcBorders>
              <w:top w:val="single" w:color="000000" w:sz="0"/>
              <w:left w:val="single" w:color="000000" w:sz="4"/>
              <w:bottom w:val="single" w:color="000000" w:sz="4"/>
              <w:right w:val="single" w:color="000000" w:sz="4"/>
            </w:tcBorders>
            <w:shd w:color="auto" w:fill="d9e2f3" w:val="clear"/>
            <w:tcMar>
              <w:left w:w="44" w:type="dxa"/>
              <w:right w:w="44" w:type="dxa"/>
            </w:tcMar>
            <w:vAlign w:val="bottom"/>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80,00</w:t>
            </w:r>
          </w:p>
        </w:tc>
      </w:tr>
      <w:tr>
        <w:trPr>
          <w:trHeight w:val="255" w:hRule="auto"/>
          <w:jc w:val="left"/>
        </w:trPr>
        <w:tc>
          <w:tcPr>
            <w:tcW w:w="470" w:type="dxa"/>
            <w:vMerge/>
            <w:tcBorders>
              <w:top w:val="single" w:color="000000" w:sz="0"/>
              <w:left w:val="single" w:color="000000" w:sz="4"/>
              <w:bottom w:val="single" w:color="000000" w:sz="4"/>
              <w:right w:val="single" w:color="000000" w:sz="4"/>
            </w:tcBorders>
            <w:shd w:color="000000" w:fill="ffffff" w:val="clear"/>
            <w:tcMar>
              <w:left w:w="44" w:type="dxa"/>
              <w:right w:w="44"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2384" w:type="dxa"/>
            <w:tcBorders>
              <w:top w:val="single" w:color="000000" w:sz="0"/>
              <w:left w:val="single" w:color="000000" w:sz="0"/>
              <w:bottom w:val="single" w:color="000000" w:sz="4"/>
              <w:right w:val="single" w:color="000000" w:sz="4"/>
            </w:tcBorders>
            <w:shd w:color="auto" w:fill="b4c6e7" w:val="clear"/>
            <w:tcMar>
              <w:left w:w="44" w:type="dxa"/>
              <w:right w:w="44"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CJELODNEVNI BORAVAK</w:t>
            </w:r>
          </w:p>
        </w:tc>
        <w:tc>
          <w:tcPr>
            <w:tcW w:w="1270" w:type="dxa"/>
            <w:tcBorders>
              <w:top w:val="single" w:color="000000" w:sz="0"/>
              <w:left w:val="single" w:color="000000" w:sz="4"/>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112" w:type="dxa"/>
            <w:tcBorders>
              <w:top w:val="single" w:color="000000" w:sz="0"/>
              <w:left w:val="single" w:color="000000" w:sz="4"/>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112" w:type="dxa"/>
            <w:tcBorders>
              <w:top w:val="single" w:color="000000" w:sz="0"/>
              <w:left w:val="single" w:color="000000" w:sz="0"/>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432" w:type="dxa"/>
            <w:tcBorders>
              <w:top w:val="single" w:color="000000" w:sz="0"/>
              <w:left w:val="single" w:color="000000" w:sz="0"/>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595" w:type="dxa"/>
            <w:tcBorders>
              <w:top w:val="single" w:color="000000" w:sz="0"/>
              <w:left w:val="single" w:color="000000" w:sz="4"/>
              <w:bottom w:val="single" w:color="000000" w:sz="4"/>
              <w:right w:val="single" w:color="000000" w:sz="4"/>
            </w:tcBorders>
            <w:shd w:color="auto" w:fill="d9e2f3"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r>
      <w:tr>
        <w:trPr>
          <w:trHeight w:val="255" w:hRule="auto"/>
          <w:jc w:val="left"/>
        </w:trPr>
        <w:tc>
          <w:tcPr>
            <w:tcW w:w="2854" w:type="dxa"/>
            <w:gridSpan w:val="2"/>
            <w:tcBorders>
              <w:top w:val="single" w:color="000000" w:sz="4"/>
              <w:left w:val="single" w:color="000000" w:sz="4"/>
              <w:bottom w:val="single" w:color="000000" w:sz="4"/>
              <w:right w:val="single" w:color="000000" w:sz="4"/>
            </w:tcBorders>
            <w:shd w:color="auto" w:fill="d9e1f2" w:val="clear"/>
            <w:tcMar>
              <w:left w:w="44" w:type="dxa"/>
              <w:right w:w="44" w:type="dxa"/>
            </w:tcMar>
            <w:vAlign w:val="bottom"/>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UKUPNO PO ENERGENTIMA</w:t>
            </w:r>
          </w:p>
        </w:tc>
        <w:tc>
          <w:tcPr>
            <w:tcW w:w="1270" w:type="dxa"/>
            <w:tcBorders>
              <w:top w:val="single" w:color="000000" w:sz="4"/>
              <w:left w:val="single" w:color="000000" w:sz="4"/>
              <w:bottom w:val="single" w:color="000000" w:sz="4"/>
              <w:right w:val="single" w:color="000000" w:sz="4"/>
            </w:tcBorders>
            <w:shd w:color="auto" w:fill="d9e1f2" w:val="clear"/>
            <w:tcMar>
              <w:left w:w="44" w:type="dxa"/>
              <w:right w:w="44" w:type="dxa"/>
            </w:tcMar>
            <w:vAlign w:val="bottom"/>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80,00</w:t>
            </w:r>
          </w:p>
        </w:tc>
        <w:tc>
          <w:tcPr>
            <w:tcW w:w="1112" w:type="dxa"/>
            <w:tcBorders>
              <w:top w:val="single" w:color="000000" w:sz="4"/>
              <w:left w:val="single" w:color="000000" w:sz="4"/>
              <w:bottom w:val="single" w:color="000000" w:sz="4"/>
              <w:right w:val="single" w:color="000000" w:sz="4"/>
            </w:tcBorders>
            <w:shd w:color="auto" w:fill="d9e1f2" w:val="clear"/>
            <w:tcMar>
              <w:left w:w="44" w:type="dxa"/>
              <w:right w:w="44" w:type="dxa"/>
            </w:tcMar>
            <w:vAlign w:val="bottom"/>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2.673,50</w:t>
            </w:r>
          </w:p>
        </w:tc>
        <w:tc>
          <w:tcPr>
            <w:tcW w:w="1112" w:type="dxa"/>
            <w:tcBorders>
              <w:top w:val="single" w:color="000000" w:sz="4"/>
              <w:left w:val="single" w:color="000000" w:sz="0"/>
              <w:bottom w:val="single" w:color="000000" w:sz="4"/>
              <w:right w:val="single" w:color="000000" w:sz="4"/>
            </w:tcBorders>
            <w:shd w:color="auto" w:fill="d9e1f2" w:val="clear"/>
            <w:tcMar>
              <w:left w:w="44" w:type="dxa"/>
              <w:right w:w="44" w:type="dxa"/>
            </w:tcMar>
            <w:vAlign w:val="bottom"/>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2.673,50</w:t>
            </w:r>
          </w:p>
        </w:tc>
        <w:tc>
          <w:tcPr>
            <w:tcW w:w="1432" w:type="dxa"/>
            <w:tcBorders>
              <w:top w:val="single" w:color="000000" w:sz="4"/>
              <w:left w:val="single" w:color="000000" w:sz="0"/>
              <w:bottom w:val="single" w:color="000000" w:sz="4"/>
              <w:right w:val="single" w:color="000000" w:sz="4"/>
            </w:tcBorders>
            <w:shd w:color="auto" w:fill="d9e1f2" w:val="clear"/>
            <w:tcMar>
              <w:left w:w="44" w:type="dxa"/>
              <w:right w:w="44" w:type="dxa"/>
            </w:tcMar>
            <w:vAlign w:val="bottom"/>
          </w:tcPr>
          <w:p>
            <w:pPr>
              <w:keepNext w:val="true"/>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595" w:type="dxa"/>
            <w:tcBorders>
              <w:top w:val="single" w:color="000000" w:sz="4"/>
              <w:left w:val="single" w:color="000000" w:sz="4"/>
              <w:bottom w:val="single" w:color="000000" w:sz="4"/>
              <w:right w:val="single" w:color="000000" w:sz="4"/>
            </w:tcBorders>
            <w:shd w:color="auto" w:fill="d9e1f2" w:val="clear"/>
            <w:tcMar>
              <w:left w:w="44" w:type="dxa"/>
              <w:right w:w="44" w:type="dxa"/>
            </w:tcMar>
            <w:vAlign w:val="center"/>
          </w:tcPr>
          <w:p>
            <w:pPr>
              <w:keepNext w:val="true"/>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5.427,00</w:t>
            </w:r>
          </w:p>
        </w:tc>
      </w:tr>
    </w:tbl>
    <w:p>
      <w:pPr>
        <w:spacing w:before="60" w:after="160" w:line="240"/>
        <w:ind w:right="0" w:left="0" w:firstLine="0"/>
        <w:jc w:val="center"/>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Tabela 55: Grijana površina javnih zgrada koje nisu u vlasništvu Op</w:t>
      </w:r>
      <w:r>
        <w:rPr>
          <w:rFonts w:ascii="Calibri" w:hAnsi="Calibri" w:cs="Calibri" w:eastAsia="Calibri"/>
          <w:color w:val="auto"/>
          <w:spacing w:val="0"/>
          <w:position w:val="0"/>
          <w:sz w:val="18"/>
          <w:shd w:fill="auto" w:val="clear"/>
        </w:rPr>
        <w:t xml:space="preserve">ćine u baznoj godini</w:t>
      </w:r>
    </w:p>
    <w:p>
      <w:pPr>
        <w:spacing w:before="60" w:after="0" w:line="240"/>
        <w:ind w:right="0" w:left="0" w:firstLine="0"/>
        <w:jc w:val="both"/>
        <w:rPr>
          <w:rFonts w:ascii="Calibri" w:hAnsi="Calibri" w:cs="Calibri" w:eastAsia="Calibri"/>
          <w:color w:val="auto"/>
          <w:spacing w:val="0"/>
          <w:position w:val="0"/>
          <w:sz w:val="20"/>
          <w:shd w:fill="FFFF00" w:val="clear"/>
        </w:rPr>
      </w:pPr>
      <w:r>
        <w:rPr>
          <w:rFonts w:ascii="Calibri" w:hAnsi="Calibri" w:cs="Calibri" w:eastAsia="Calibri"/>
          <w:color w:val="auto"/>
          <w:spacing w:val="0"/>
          <w:position w:val="0"/>
          <w:sz w:val="20"/>
          <w:shd w:fill="auto" w:val="clear"/>
        </w:rPr>
        <w:t xml:space="preserve">Ukupna grijana površina zgrada u ovom podsektoru iznosi 5.427,00 m</w:t>
      </w:r>
      <w:r>
        <w:rPr>
          <w:rFonts w:ascii="Calibri" w:hAnsi="Calibri" w:cs="Calibri" w:eastAsia="Calibri"/>
          <w:color w:val="auto"/>
          <w:spacing w:val="0"/>
          <w:position w:val="0"/>
          <w:sz w:val="20"/>
          <w:shd w:fill="auto" w:val="clear"/>
          <w:vertAlign w:val="superscript"/>
        </w:rPr>
        <w:t xml:space="preserve">2</w:t>
      </w:r>
      <w:r>
        <w:rPr>
          <w:rFonts w:ascii="Calibri" w:hAnsi="Calibri" w:cs="Calibri" w:eastAsia="Calibri"/>
          <w:color w:val="auto"/>
          <w:spacing w:val="0"/>
          <w:position w:val="0"/>
          <w:sz w:val="20"/>
          <w:shd w:fill="auto" w:val="clear"/>
        </w:rPr>
        <w:t xml:space="preserve">. Iz tabele je evidentno da u ukupnoj površini najve</w:t>
      </w:r>
      <w:r>
        <w:rPr>
          <w:rFonts w:ascii="Calibri" w:hAnsi="Calibri" w:cs="Calibri" w:eastAsia="Calibri"/>
          <w:color w:val="auto"/>
          <w:spacing w:val="0"/>
          <w:position w:val="0"/>
          <w:sz w:val="20"/>
          <w:shd w:fill="auto" w:val="clear"/>
        </w:rPr>
        <w:t xml:space="preserve">ći udio imaju zgrade u oblasti obrazovanja, zatim sporta, dok najmanji udio imaju kancelarijske zgrade. Zgrade u oblasti predškolskog odgoja, zdravstva i kulture nisu zastupljene, jer su one u potpunosti u nadležnosti Općine, dok zgrade namjenjene za cjelodnevni boravak na području općine Doboj Istok ne postoje. Takođe je evidentno da se najviše zgrada iz ovog podsektora (oko 99% od ukupne površine zgrada u ovom podsektoru) zagrijava korištenjem fosilnih goriva (mrki ugalj i lignit), dok se preostalih 1% zagrijava korištenjem električne energije. Što se tiče biomase, njeno korištenje u ovom podsektoru nije zastupljeno. </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Podaci o specifi</w:t>
      </w:r>
      <w:r>
        <w:rPr>
          <w:rFonts w:ascii="Calibri" w:hAnsi="Calibri" w:cs="Calibri" w:eastAsia="Calibri"/>
          <w:color w:val="auto"/>
          <w:spacing w:val="0"/>
          <w:position w:val="0"/>
          <w:sz w:val="20"/>
          <w:shd w:fill="auto" w:val="clear"/>
        </w:rPr>
        <w:t xml:space="preserve">čnoj godišnjoj potrošnji energije za grijanje javnih zgrada po m</w:t>
      </w:r>
      <w:r>
        <w:rPr>
          <w:rFonts w:ascii="Calibri" w:hAnsi="Calibri" w:cs="Calibri" w:eastAsia="Calibri"/>
          <w:color w:val="auto"/>
          <w:spacing w:val="0"/>
          <w:position w:val="0"/>
          <w:sz w:val="20"/>
          <w:shd w:fill="auto" w:val="clear"/>
          <w:vertAlign w:val="superscript"/>
        </w:rPr>
        <w:t xml:space="preserve">2</w:t>
      </w:r>
      <w:r>
        <w:rPr>
          <w:rFonts w:ascii="Calibri" w:hAnsi="Calibri" w:cs="Calibri" w:eastAsia="Calibri"/>
          <w:color w:val="auto"/>
          <w:spacing w:val="0"/>
          <w:position w:val="0"/>
          <w:sz w:val="20"/>
          <w:shd w:fill="auto" w:val="clear"/>
        </w:rPr>
        <w:t xml:space="preserve"> njihove grijane površine, preuzeti su iz </w:t>
      </w:r>
      <w:r>
        <w:rPr>
          <w:rFonts w:ascii="Calibri" w:hAnsi="Calibri" w:cs="Calibri" w:eastAsia="Calibri"/>
          <w:i/>
          <w:color w:val="auto"/>
          <w:spacing w:val="0"/>
          <w:position w:val="0"/>
          <w:sz w:val="20"/>
          <w:shd w:fill="auto" w:val="clear"/>
        </w:rPr>
        <w:t xml:space="preserve">Tipologije javnih zgrada u Bosni i Hercegovini</w:t>
      </w:r>
      <w:r>
        <w:rPr>
          <w:rFonts w:ascii="Calibri" w:hAnsi="Calibri" w:cs="Calibri" w:eastAsia="Calibri"/>
          <w:color w:val="auto"/>
          <w:spacing w:val="0"/>
          <w:position w:val="0"/>
          <w:sz w:val="20"/>
          <w:shd w:fill="auto" w:val="clear"/>
        </w:rPr>
        <w:t xml:space="preserve">, i dati su u </w:t>
      </w:r>
      <w:r>
        <w:rPr>
          <w:rFonts w:ascii="Calibri" w:hAnsi="Calibri" w:cs="Calibri" w:eastAsia="Calibri"/>
          <w:i/>
          <w:color w:val="auto"/>
          <w:spacing w:val="0"/>
          <w:position w:val="0"/>
          <w:sz w:val="20"/>
          <w:shd w:fill="auto" w:val="clear"/>
        </w:rPr>
        <w:t xml:space="preserve">Tabeli 5-2</w:t>
      </w:r>
      <w:r>
        <w:rPr>
          <w:rFonts w:ascii="Calibri" w:hAnsi="Calibri" w:cs="Calibri" w:eastAsia="Calibri"/>
          <w:color w:val="auto"/>
          <w:spacing w:val="0"/>
          <w:position w:val="0"/>
          <w:sz w:val="20"/>
          <w:shd w:fill="auto" w:val="clear"/>
        </w:rPr>
        <w:t xml:space="preserve"> u prethodnom poglavlju. </w:t>
      </w:r>
    </w:p>
    <w:p>
      <w:pPr>
        <w:spacing w:before="60" w:after="12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U narednoj tabeli dat je pregled vrijednosti potrebne finalne energije za grijanje javnih zgrada koje nisu u vlasništvu Op</w:t>
      </w:r>
      <w:r>
        <w:rPr>
          <w:rFonts w:ascii="Calibri" w:hAnsi="Calibri" w:cs="Calibri" w:eastAsia="Calibri"/>
          <w:color w:val="auto"/>
          <w:spacing w:val="0"/>
          <w:position w:val="0"/>
          <w:sz w:val="20"/>
          <w:shd w:fill="auto" w:val="clear"/>
        </w:rPr>
        <w:t xml:space="preserve">ćine u 2010. godini, koje su dobivene kao proizvod grijane površine ovih zgrada i odgovarajućih vrijednosti specifične godišnje potrošnje energije.</w:t>
      </w:r>
    </w:p>
    <w:tbl>
      <w:tblPr/>
      <w:tblGrid>
        <w:gridCol w:w="470"/>
        <w:gridCol w:w="2384"/>
        <w:gridCol w:w="1270"/>
        <w:gridCol w:w="1112"/>
        <w:gridCol w:w="1112"/>
        <w:gridCol w:w="1432"/>
        <w:gridCol w:w="1595"/>
      </w:tblGrid>
      <w:tr>
        <w:trPr>
          <w:trHeight w:val="326" w:hRule="auto"/>
          <w:jc w:val="left"/>
        </w:trPr>
        <w:tc>
          <w:tcPr>
            <w:tcW w:w="9375" w:type="dxa"/>
            <w:gridSpan w:val="7"/>
            <w:tcBorders>
              <w:top w:val="single" w:color="000000" w:sz="4"/>
              <w:left w:val="single" w:color="000000" w:sz="4"/>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FINALNA ENERGIJA [MWh]</w:t>
            </w:r>
          </w:p>
        </w:tc>
      </w:tr>
      <w:tr>
        <w:trPr>
          <w:trHeight w:val="16" w:hRule="auto"/>
          <w:jc w:val="left"/>
        </w:trPr>
        <w:tc>
          <w:tcPr>
            <w:tcW w:w="2854" w:type="dxa"/>
            <w:gridSpan w:val="2"/>
            <w:vMerge w:val="restart"/>
            <w:tcBorders>
              <w:top w:val="single" w:color="000000" w:sz="4"/>
              <w:left w:val="single" w:color="000000" w:sz="4"/>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VRSTA ENERGENTA</w:t>
            </w:r>
          </w:p>
        </w:tc>
        <w:tc>
          <w:tcPr>
            <w:tcW w:w="1270" w:type="dxa"/>
            <w:vMerge w:val="restart"/>
            <w:tcBorders>
              <w:top w:val="single" w:color="000000" w:sz="0"/>
              <w:left w:val="single" w:color="000000" w:sz="4"/>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ELEKTRI</w:t>
            </w:r>
            <w:r>
              <w:rPr>
                <w:rFonts w:ascii="Calibri" w:hAnsi="Calibri" w:cs="Calibri" w:eastAsia="Calibri"/>
                <w:color w:val="000000"/>
                <w:spacing w:val="0"/>
                <w:position w:val="0"/>
                <w:sz w:val="18"/>
                <w:shd w:fill="auto" w:val="clear"/>
              </w:rPr>
              <w:t xml:space="preserve">ČNA ENERGIJA</w:t>
            </w:r>
          </w:p>
        </w:tc>
        <w:tc>
          <w:tcPr>
            <w:tcW w:w="2224" w:type="dxa"/>
            <w:gridSpan w:val="2"/>
            <w:tcBorders>
              <w:top w:val="single" w:color="000000" w:sz="0"/>
              <w:left w:val="single" w:color="000000" w:sz="0"/>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FOSILNA GORIVA</w:t>
            </w:r>
          </w:p>
        </w:tc>
        <w:tc>
          <w:tcPr>
            <w:tcW w:w="1432" w:type="dxa"/>
            <w:tcBorders>
              <w:top w:val="single" w:color="000000" w:sz="0"/>
              <w:left w:val="single" w:color="000000" w:sz="4"/>
              <w:bottom w:val="single" w:color="000000" w:sz="4"/>
              <w:right w:val="single" w:color="000000" w:sz="4"/>
            </w:tcBorders>
            <w:shd w:color="auto" w:fill="bdd7ee" w:val="clear"/>
            <w:tcMar>
              <w:left w:w="44" w:type="dxa"/>
              <w:right w:w="44"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OBNOVLJIVI IZVORI ENERGIJE</w:t>
            </w:r>
          </w:p>
        </w:tc>
        <w:tc>
          <w:tcPr>
            <w:tcW w:w="1595" w:type="dxa"/>
            <w:vMerge w:val="restart"/>
            <w:tcBorders>
              <w:top w:val="single" w:color="000000" w:sz="0"/>
              <w:left w:val="single" w:color="000000" w:sz="4"/>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UKUPNO PO NAMJENI ZGRADE</w:t>
            </w:r>
          </w:p>
        </w:tc>
      </w:tr>
      <w:tr>
        <w:trPr>
          <w:trHeight w:val="16" w:hRule="auto"/>
          <w:jc w:val="left"/>
        </w:trPr>
        <w:tc>
          <w:tcPr>
            <w:tcW w:w="2854" w:type="dxa"/>
            <w:gridSpan w:val="2"/>
            <w:vMerge/>
            <w:tcBorders>
              <w:top w:val="single" w:color="000000" w:sz="4"/>
              <w:left w:val="single" w:color="000000" w:sz="4"/>
              <w:bottom w:val="single" w:color="000000" w:sz="4"/>
              <w:right w:val="single" w:color="000000" w:sz="4"/>
            </w:tcBorders>
            <w:shd w:color="000000" w:fill="ffffff" w:val="clear"/>
            <w:tcMar>
              <w:left w:w="44" w:type="dxa"/>
              <w:right w:w="44"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270" w:type="dxa"/>
            <w:vMerge/>
            <w:tcBorders>
              <w:top w:val="single" w:color="000000" w:sz="0"/>
              <w:left w:val="single" w:color="000000" w:sz="4"/>
              <w:bottom w:val="single" w:color="000000" w:sz="4"/>
              <w:right w:val="single" w:color="000000" w:sz="4"/>
            </w:tcBorders>
            <w:shd w:color="000000" w:fill="ffffff" w:val="clear"/>
            <w:tcMar>
              <w:left w:w="44" w:type="dxa"/>
              <w:right w:w="44"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112" w:type="dxa"/>
            <w:tcBorders>
              <w:top w:val="single" w:color="000000" w:sz="0"/>
              <w:left w:val="single" w:color="000000" w:sz="0"/>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LIGNIT</w:t>
            </w:r>
          </w:p>
        </w:tc>
        <w:tc>
          <w:tcPr>
            <w:tcW w:w="1112" w:type="dxa"/>
            <w:tcBorders>
              <w:top w:val="single" w:color="000000" w:sz="0"/>
              <w:left w:val="single" w:color="000000" w:sz="0"/>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MRKI UGALJ</w:t>
            </w:r>
          </w:p>
        </w:tc>
        <w:tc>
          <w:tcPr>
            <w:tcW w:w="1432" w:type="dxa"/>
            <w:tcBorders>
              <w:top w:val="single" w:color="000000" w:sz="0"/>
              <w:left w:val="single" w:color="000000" w:sz="4"/>
              <w:bottom w:val="single" w:color="000000" w:sz="4"/>
              <w:right w:val="single" w:color="000000" w:sz="4"/>
            </w:tcBorders>
            <w:shd w:color="auto" w:fill="bdd6ee" w:val="clear"/>
            <w:tcMar>
              <w:left w:w="44" w:type="dxa"/>
              <w:right w:w="44"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BIOMASA</w:t>
            </w:r>
          </w:p>
        </w:tc>
        <w:tc>
          <w:tcPr>
            <w:tcW w:w="1595" w:type="dxa"/>
            <w:vMerge/>
            <w:tcBorders>
              <w:top w:val="single" w:color="000000" w:sz="0"/>
              <w:left w:val="single" w:color="000000" w:sz="4"/>
              <w:bottom w:val="single" w:color="000000" w:sz="4"/>
              <w:right w:val="single" w:color="000000" w:sz="4"/>
            </w:tcBorders>
            <w:shd w:color="000000" w:fill="ffffff" w:val="clear"/>
            <w:tcMar>
              <w:left w:w="44" w:type="dxa"/>
              <w:right w:w="44"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r>
      <w:tr>
        <w:trPr>
          <w:trHeight w:val="16" w:hRule="auto"/>
          <w:jc w:val="left"/>
        </w:trPr>
        <w:tc>
          <w:tcPr>
            <w:tcW w:w="470" w:type="dxa"/>
            <w:vMerge w:val="restart"/>
            <w:tcBorders>
              <w:top w:val="single" w:color="000000" w:sz="0"/>
              <w:left w:val="single" w:color="000000" w:sz="4"/>
              <w:bottom w:val="single" w:color="000000" w:sz="4"/>
              <w:right w:val="single" w:color="000000" w:sz="4"/>
            </w:tcBorders>
            <w:shd w:color="auto" w:fill="b4c6e7"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NAMJENA ZGRADE</w:t>
            </w:r>
          </w:p>
        </w:tc>
        <w:tc>
          <w:tcPr>
            <w:tcW w:w="2384" w:type="dxa"/>
            <w:tcBorders>
              <w:top w:val="single" w:color="000000" w:sz="0"/>
              <w:left w:val="single" w:color="000000" w:sz="0"/>
              <w:bottom w:val="single" w:color="000000" w:sz="4"/>
              <w:right w:val="single" w:color="000000" w:sz="4"/>
            </w:tcBorders>
            <w:shd w:color="auto" w:fill="b4c6e7" w:val="clear"/>
            <w:tcMar>
              <w:left w:w="44" w:type="dxa"/>
              <w:right w:w="44"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PREDŠKOLSKI ODGOJ</w:t>
            </w:r>
          </w:p>
        </w:tc>
        <w:tc>
          <w:tcPr>
            <w:tcW w:w="1270" w:type="dxa"/>
            <w:tcBorders>
              <w:top w:val="single" w:color="000000" w:sz="4"/>
              <w:left w:val="single" w:color="000000" w:sz="4"/>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112" w:type="dxa"/>
            <w:tcBorders>
              <w:top w:val="single" w:color="000000" w:sz="4"/>
              <w:left w:val="single" w:color="000000" w:sz="0"/>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112" w:type="dxa"/>
            <w:tcBorders>
              <w:top w:val="single" w:color="000000" w:sz="4"/>
              <w:left w:val="single" w:color="000000" w:sz="0"/>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432" w:type="dxa"/>
            <w:tcBorders>
              <w:top w:val="single" w:color="000000" w:sz="4"/>
              <w:left w:val="single" w:color="000000" w:sz="0"/>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595" w:type="dxa"/>
            <w:tcBorders>
              <w:top w:val="single" w:color="000000" w:sz="4"/>
              <w:left w:val="single" w:color="000000" w:sz="4"/>
              <w:bottom w:val="single" w:color="000000" w:sz="4"/>
              <w:right w:val="single" w:color="000000" w:sz="4"/>
            </w:tcBorders>
            <w:shd w:color="auto" w:fill="d9e1f2"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r>
      <w:tr>
        <w:trPr>
          <w:trHeight w:val="16" w:hRule="auto"/>
          <w:jc w:val="left"/>
        </w:trPr>
        <w:tc>
          <w:tcPr>
            <w:tcW w:w="470" w:type="dxa"/>
            <w:vMerge/>
            <w:tcBorders>
              <w:top w:val="single" w:color="000000" w:sz="0"/>
              <w:left w:val="single" w:color="000000" w:sz="4"/>
              <w:bottom w:val="single" w:color="000000" w:sz="4"/>
              <w:right w:val="single" w:color="000000" w:sz="4"/>
            </w:tcBorders>
            <w:shd w:color="000000" w:fill="ffffff" w:val="clear"/>
            <w:tcMar>
              <w:left w:w="44" w:type="dxa"/>
              <w:right w:w="44"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2384" w:type="dxa"/>
            <w:tcBorders>
              <w:top w:val="single" w:color="000000" w:sz="0"/>
              <w:left w:val="single" w:color="000000" w:sz="0"/>
              <w:bottom w:val="single" w:color="000000" w:sz="4"/>
              <w:right w:val="single" w:color="000000" w:sz="4"/>
            </w:tcBorders>
            <w:shd w:color="auto" w:fill="b4c6e7" w:val="clear"/>
            <w:tcMar>
              <w:left w:w="44" w:type="dxa"/>
              <w:right w:w="44"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OBRAZOVANJE</w:t>
            </w:r>
          </w:p>
        </w:tc>
        <w:tc>
          <w:tcPr>
            <w:tcW w:w="1270" w:type="dxa"/>
            <w:tcBorders>
              <w:top w:val="single" w:color="000000" w:sz="0"/>
              <w:left w:val="single" w:color="000000" w:sz="4"/>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112" w:type="dxa"/>
            <w:tcBorders>
              <w:top w:val="single" w:color="000000" w:sz="0"/>
              <w:left w:val="single" w:color="000000" w:sz="0"/>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602,25</w:t>
            </w:r>
          </w:p>
        </w:tc>
        <w:tc>
          <w:tcPr>
            <w:tcW w:w="1112" w:type="dxa"/>
            <w:tcBorders>
              <w:top w:val="single" w:color="000000" w:sz="0"/>
              <w:left w:val="single" w:color="000000" w:sz="0"/>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602,25</w:t>
            </w:r>
          </w:p>
        </w:tc>
        <w:tc>
          <w:tcPr>
            <w:tcW w:w="1432" w:type="dxa"/>
            <w:tcBorders>
              <w:top w:val="single" w:color="000000" w:sz="0"/>
              <w:left w:val="single" w:color="000000" w:sz="0"/>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595" w:type="dxa"/>
            <w:tcBorders>
              <w:top w:val="single" w:color="000000" w:sz="0"/>
              <w:left w:val="single" w:color="000000" w:sz="4"/>
              <w:bottom w:val="single" w:color="000000" w:sz="4"/>
              <w:right w:val="single" w:color="000000" w:sz="4"/>
            </w:tcBorders>
            <w:shd w:color="auto" w:fill="d9e1f2" w:val="clear"/>
            <w:tcMar>
              <w:left w:w="44" w:type="dxa"/>
              <w:right w:w="44" w:type="dxa"/>
            </w:tcMar>
            <w:vAlign w:val="bottom"/>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1.204,50</w:t>
            </w:r>
          </w:p>
        </w:tc>
      </w:tr>
      <w:tr>
        <w:trPr>
          <w:trHeight w:val="16" w:hRule="auto"/>
          <w:jc w:val="left"/>
        </w:trPr>
        <w:tc>
          <w:tcPr>
            <w:tcW w:w="470" w:type="dxa"/>
            <w:vMerge/>
            <w:tcBorders>
              <w:top w:val="single" w:color="000000" w:sz="0"/>
              <w:left w:val="single" w:color="000000" w:sz="4"/>
              <w:bottom w:val="single" w:color="000000" w:sz="4"/>
              <w:right w:val="single" w:color="000000" w:sz="4"/>
            </w:tcBorders>
            <w:shd w:color="000000" w:fill="ffffff" w:val="clear"/>
            <w:tcMar>
              <w:left w:w="44" w:type="dxa"/>
              <w:right w:w="44"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2384" w:type="dxa"/>
            <w:tcBorders>
              <w:top w:val="single" w:color="000000" w:sz="0"/>
              <w:left w:val="single" w:color="000000" w:sz="0"/>
              <w:bottom w:val="single" w:color="000000" w:sz="4"/>
              <w:right w:val="single" w:color="000000" w:sz="4"/>
            </w:tcBorders>
            <w:shd w:color="auto" w:fill="b4c6e7" w:val="clear"/>
            <w:tcMar>
              <w:left w:w="44" w:type="dxa"/>
              <w:right w:w="44"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ZDRAVSTVO</w:t>
            </w:r>
          </w:p>
        </w:tc>
        <w:tc>
          <w:tcPr>
            <w:tcW w:w="1270" w:type="dxa"/>
            <w:tcBorders>
              <w:top w:val="single" w:color="000000" w:sz="0"/>
              <w:left w:val="single" w:color="000000" w:sz="4"/>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112" w:type="dxa"/>
            <w:tcBorders>
              <w:top w:val="single" w:color="000000" w:sz="0"/>
              <w:left w:val="single" w:color="000000" w:sz="0"/>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112" w:type="dxa"/>
            <w:tcBorders>
              <w:top w:val="single" w:color="000000" w:sz="0"/>
              <w:left w:val="single" w:color="000000" w:sz="0"/>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432" w:type="dxa"/>
            <w:tcBorders>
              <w:top w:val="single" w:color="000000" w:sz="0"/>
              <w:left w:val="single" w:color="000000" w:sz="0"/>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595" w:type="dxa"/>
            <w:tcBorders>
              <w:top w:val="single" w:color="000000" w:sz="0"/>
              <w:left w:val="single" w:color="000000" w:sz="4"/>
              <w:bottom w:val="single" w:color="000000" w:sz="4"/>
              <w:right w:val="single" w:color="000000" w:sz="4"/>
            </w:tcBorders>
            <w:shd w:color="auto" w:fill="d9e1f2"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r>
      <w:tr>
        <w:trPr>
          <w:trHeight w:val="16" w:hRule="auto"/>
          <w:jc w:val="left"/>
        </w:trPr>
        <w:tc>
          <w:tcPr>
            <w:tcW w:w="470" w:type="dxa"/>
            <w:vMerge/>
            <w:tcBorders>
              <w:top w:val="single" w:color="000000" w:sz="0"/>
              <w:left w:val="single" w:color="000000" w:sz="4"/>
              <w:bottom w:val="single" w:color="000000" w:sz="4"/>
              <w:right w:val="single" w:color="000000" w:sz="4"/>
            </w:tcBorders>
            <w:shd w:color="000000" w:fill="ffffff" w:val="clear"/>
            <w:tcMar>
              <w:left w:w="44" w:type="dxa"/>
              <w:right w:w="44"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2384" w:type="dxa"/>
            <w:tcBorders>
              <w:top w:val="single" w:color="000000" w:sz="0"/>
              <w:left w:val="single" w:color="000000" w:sz="0"/>
              <w:bottom w:val="single" w:color="000000" w:sz="4"/>
              <w:right w:val="single" w:color="000000" w:sz="4"/>
            </w:tcBorders>
            <w:shd w:color="auto" w:fill="b4c6e7" w:val="clear"/>
            <w:tcMar>
              <w:left w:w="44" w:type="dxa"/>
              <w:right w:w="44"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SPORT</w:t>
            </w:r>
          </w:p>
        </w:tc>
        <w:tc>
          <w:tcPr>
            <w:tcW w:w="1270" w:type="dxa"/>
            <w:tcBorders>
              <w:top w:val="single" w:color="000000" w:sz="0"/>
              <w:left w:val="single" w:color="000000" w:sz="4"/>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112" w:type="dxa"/>
            <w:tcBorders>
              <w:top w:val="single" w:color="000000" w:sz="0"/>
              <w:left w:val="single" w:color="000000" w:sz="0"/>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154,72</w:t>
            </w:r>
          </w:p>
        </w:tc>
        <w:tc>
          <w:tcPr>
            <w:tcW w:w="1112" w:type="dxa"/>
            <w:tcBorders>
              <w:top w:val="single" w:color="000000" w:sz="0"/>
              <w:left w:val="single" w:color="000000" w:sz="0"/>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154,72</w:t>
            </w:r>
          </w:p>
        </w:tc>
        <w:tc>
          <w:tcPr>
            <w:tcW w:w="1432" w:type="dxa"/>
            <w:tcBorders>
              <w:top w:val="single" w:color="000000" w:sz="0"/>
              <w:left w:val="single" w:color="000000" w:sz="0"/>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595" w:type="dxa"/>
            <w:tcBorders>
              <w:top w:val="single" w:color="000000" w:sz="0"/>
              <w:left w:val="single" w:color="000000" w:sz="4"/>
              <w:bottom w:val="single" w:color="000000" w:sz="4"/>
              <w:right w:val="single" w:color="000000" w:sz="4"/>
            </w:tcBorders>
            <w:shd w:color="auto" w:fill="d9e1f2" w:val="clear"/>
            <w:tcMar>
              <w:left w:w="44" w:type="dxa"/>
              <w:right w:w="44" w:type="dxa"/>
            </w:tcMar>
            <w:vAlign w:val="bottom"/>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309,44</w:t>
            </w:r>
          </w:p>
        </w:tc>
      </w:tr>
      <w:tr>
        <w:trPr>
          <w:trHeight w:val="255" w:hRule="auto"/>
          <w:jc w:val="left"/>
        </w:trPr>
        <w:tc>
          <w:tcPr>
            <w:tcW w:w="470" w:type="dxa"/>
            <w:vMerge/>
            <w:tcBorders>
              <w:top w:val="single" w:color="000000" w:sz="0"/>
              <w:left w:val="single" w:color="000000" w:sz="4"/>
              <w:bottom w:val="single" w:color="000000" w:sz="4"/>
              <w:right w:val="single" w:color="000000" w:sz="4"/>
            </w:tcBorders>
            <w:shd w:color="000000" w:fill="ffffff" w:val="clear"/>
            <w:tcMar>
              <w:left w:w="44" w:type="dxa"/>
              <w:right w:w="44"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2384" w:type="dxa"/>
            <w:tcBorders>
              <w:top w:val="single" w:color="000000" w:sz="0"/>
              <w:left w:val="single" w:color="000000" w:sz="0"/>
              <w:bottom w:val="single" w:color="000000" w:sz="4"/>
              <w:right w:val="single" w:color="000000" w:sz="4"/>
            </w:tcBorders>
            <w:shd w:color="auto" w:fill="b4c6e7" w:val="clear"/>
            <w:tcMar>
              <w:left w:w="44" w:type="dxa"/>
              <w:right w:w="44"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KULTURA</w:t>
            </w:r>
          </w:p>
        </w:tc>
        <w:tc>
          <w:tcPr>
            <w:tcW w:w="1270" w:type="dxa"/>
            <w:tcBorders>
              <w:top w:val="single" w:color="000000" w:sz="0"/>
              <w:left w:val="single" w:color="000000" w:sz="4"/>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112" w:type="dxa"/>
            <w:tcBorders>
              <w:top w:val="single" w:color="000000" w:sz="0"/>
              <w:left w:val="single" w:color="000000" w:sz="0"/>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112" w:type="dxa"/>
            <w:tcBorders>
              <w:top w:val="single" w:color="000000" w:sz="0"/>
              <w:left w:val="single" w:color="000000" w:sz="0"/>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432" w:type="dxa"/>
            <w:tcBorders>
              <w:top w:val="single" w:color="000000" w:sz="0"/>
              <w:left w:val="single" w:color="000000" w:sz="0"/>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595" w:type="dxa"/>
            <w:tcBorders>
              <w:top w:val="single" w:color="000000" w:sz="0"/>
              <w:left w:val="single" w:color="000000" w:sz="4"/>
              <w:bottom w:val="single" w:color="000000" w:sz="4"/>
              <w:right w:val="single" w:color="000000" w:sz="4"/>
            </w:tcBorders>
            <w:shd w:color="auto" w:fill="d9e1f2"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r>
      <w:tr>
        <w:trPr>
          <w:trHeight w:val="16" w:hRule="auto"/>
          <w:jc w:val="left"/>
        </w:trPr>
        <w:tc>
          <w:tcPr>
            <w:tcW w:w="470" w:type="dxa"/>
            <w:vMerge/>
            <w:tcBorders>
              <w:top w:val="single" w:color="000000" w:sz="0"/>
              <w:left w:val="single" w:color="000000" w:sz="4"/>
              <w:bottom w:val="single" w:color="000000" w:sz="4"/>
              <w:right w:val="single" w:color="000000" w:sz="4"/>
            </w:tcBorders>
            <w:shd w:color="000000" w:fill="ffffff" w:val="clear"/>
            <w:tcMar>
              <w:left w:w="44" w:type="dxa"/>
              <w:right w:w="44"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2384" w:type="dxa"/>
            <w:tcBorders>
              <w:top w:val="single" w:color="000000" w:sz="0"/>
              <w:left w:val="single" w:color="000000" w:sz="0"/>
              <w:bottom w:val="single" w:color="000000" w:sz="4"/>
              <w:right w:val="single" w:color="000000" w:sz="4"/>
            </w:tcBorders>
            <w:shd w:color="auto" w:fill="b4c6e7" w:val="clear"/>
            <w:tcMar>
              <w:left w:w="44" w:type="dxa"/>
              <w:right w:w="44"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KANCELARIJSKE ZGRADE</w:t>
            </w:r>
          </w:p>
        </w:tc>
        <w:tc>
          <w:tcPr>
            <w:tcW w:w="1270" w:type="dxa"/>
            <w:tcBorders>
              <w:top w:val="single" w:color="000000" w:sz="0"/>
              <w:left w:val="single" w:color="000000" w:sz="4"/>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14,48</w:t>
            </w:r>
          </w:p>
        </w:tc>
        <w:tc>
          <w:tcPr>
            <w:tcW w:w="1112" w:type="dxa"/>
            <w:tcBorders>
              <w:top w:val="single" w:color="000000" w:sz="0"/>
              <w:left w:val="single" w:color="000000" w:sz="0"/>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112" w:type="dxa"/>
            <w:tcBorders>
              <w:top w:val="single" w:color="000000" w:sz="0"/>
              <w:left w:val="single" w:color="000000" w:sz="0"/>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432" w:type="dxa"/>
            <w:tcBorders>
              <w:top w:val="single" w:color="000000" w:sz="0"/>
              <w:left w:val="single" w:color="000000" w:sz="0"/>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595" w:type="dxa"/>
            <w:tcBorders>
              <w:top w:val="single" w:color="000000" w:sz="0"/>
              <w:left w:val="single" w:color="000000" w:sz="4"/>
              <w:bottom w:val="single" w:color="000000" w:sz="4"/>
              <w:right w:val="single" w:color="000000" w:sz="4"/>
            </w:tcBorders>
            <w:shd w:color="auto" w:fill="d9e1f2" w:val="clear"/>
            <w:tcMar>
              <w:left w:w="44" w:type="dxa"/>
              <w:right w:w="44" w:type="dxa"/>
            </w:tcMar>
            <w:vAlign w:val="bottom"/>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14,48</w:t>
            </w:r>
          </w:p>
        </w:tc>
      </w:tr>
      <w:tr>
        <w:trPr>
          <w:trHeight w:val="16" w:hRule="auto"/>
          <w:jc w:val="left"/>
        </w:trPr>
        <w:tc>
          <w:tcPr>
            <w:tcW w:w="470" w:type="dxa"/>
            <w:vMerge/>
            <w:tcBorders>
              <w:top w:val="single" w:color="000000" w:sz="0"/>
              <w:left w:val="single" w:color="000000" w:sz="4"/>
              <w:bottom w:val="single" w:color="000000" w:sz="4"/>
              <w:right w:val="single" w:color="000000" w:sz="4"/>
            </w:tcBorders>
            <w:shd w:color="000000" w:fill="ffffff" w:val="clear"/>
            <w:tcMar>
              <w:left w:w="44" w:type="dxa"/>
              <w:right w:w="44"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2384" w:type="dxa"/>
            <w:tcBorders>
              <w:top w:val="single" w:color="000000" w:sz="0"/>
              <w:left w:val="single" w:color="000000" w:sz="0"/>
              <w:bottom w:val="single" w:color="000000" w:sz="4"/>
              <w:right w:val="single" w:color="000000" w:sz="4"/>
            </w:tcBorders>
            <w:shd w:color="auto" w:fill="b4c6e7" w:val="clear"/>
            <w:tcMar>
              <w:left w:w="44" w:type="dxa"/>
              <w:right w:w="44"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CJELODNEVNI BORAVAK</w:t>
            </w:r>
          </w:p>
        </w:tc>
        <w:tc>
          <w:tcPr>
            <w:tcW w:w="1270" w:type="dxa"/>
            <w:tcBorders>
              <w:top w:val="single" w:color="000000" w:sz="0"/>
              <w:left w:val="single" w:color="000000" w:sz="4"/>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112" w:type="dxa"/>
            <w:tcBorders>
              <w:top w:val="single" w:color="000000" w:sz="0"/>
              <w:left w:val="single" w:color="000000" w:sz="0"/>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112" w:type="dxa"/>
            <w:tcBorders>
              <w:top w:val="single" w:color="000000" w:sz="0"/>
              <w:left w:val="single" w:color="000000" w:sz="0"/>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432" w:type="dxa"/>
            <w:tcBorders>
              <w:top w:val="single" w:color="000000" w:sz="0"/>
              <w:left w:val="single" w:color="000000" w:sz="0"/>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595" w:type="dxa"/>
            <w:tcBorders>
              <w:top w:val="single" w:color="000000" w:sz="0"/>
              <w:left w:val="single" w:color="000000" w:sz="4"/>
              <w:bottom w:val="single" w:color="000000" w:sz="4"/>
              <w:right w:val="single" w:color="000000" w:sz="4"/>
            </w:tcBorders>
            <w:shd w:color="auto" w:fill="d9e1f2"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r>
      <w:tr>
        <w:trPr>
          <w:trHeight w:val="16" w:hRule="auto"/>
          <w:jc w:val="left"/>
        </w:trPr>
        <w:tc>
          <w:tcPr>
            <w:tcW w:w="2854" w:type="dxa"/>
            <w:gridSpan w:val="2"/>
            <w:tcBorders>
              <w:top w:val="single" w:color="000000" w:sz="4"/>
              <w:left w:val="single" w:color="000000" w:sz="4"/>
              <w:bottom w:val="single" w:color="000000" w:sz="4"/>
              <w:right w:val="single" w:color="000000" w:sz="4"/>
            </w:tcBorders>
            <w:shd w:color="auto" w:fill="d9e1f2" w:val="clear"/>
            <w:tcMar>
              <w:left w:w="44" w:type="dxa"/>
              <w:right w:w="44" w:type="dxa"/>
            </w:tcMar>
            <w:vAlign w:val="bottom"/>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UKUPNO PO ENERGENTIMA</w:t>
            </w:r>
          </w:p>
        </w:tc>
        <w:tc>
          <w:tcPr>
            <w:tcW w:w="1270" w:type="dxa"/>
            <w:tcBorders>
              <w:top w:val="single" w:color="000000" w:sz="4"/>
              <w:left w:val="single" w:color="000000" w:sz="4"/>
              <w:bottom w:val="single" w:color="000000" w:sz="4"/>
              <w:right w:val="single" w:color="000000" w:sz="4"/>
            </w:tcBorders>
            <w:shd w:color="auto" w:fill="d9e1f2" w:val="clear"/>
            <w:tcMar>
              <w:left w:w="44" w:type="dxa"/>
              <w:right w:w="44" w:type="dxa"/>
            </w:tcMar>
            <w:vAlign w:val="bottom"/>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14,48</w:t>
            </w:r>
          </w:p>
        </w:tc>
        <w:tc>
          <w:tcPr>
            <w:tcW w:w="1112" w:type="dxa"/>
            <w:tcBorders>
              <w:top w:val="single" w:color="000000" w:sz="4"/>
              <w:left w:val="single" w:color="000000" w:sz="0"/>
              <w:bottom w:val="single" w:color="000000" w:sz="4"/>
              <w:right w:val="single" w:color="000000" w:sz="4"/>
            </w:tcBorders>
            <w:shd w:color="auto" w:fill="d9e1f2" w:val="clear"/>
            <w:tcMar>
              <w:left w:w="44" w:type="dxa"/>
              <w:right w:w="44" w:type="dxa"/>
            </w:tcMar>
            <w:vAlign w:val="bottom"/>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756,97</w:t>
            </w:r>
          </w:p>
        </w:tc>
        <w:tc>
          <w:tcPr>
            <w:tcW w:w="1112" w:type="dxa"/>
            <w:tcBorders>
              <w:top w:val="single" w:color="000000" w:sz="4"/>
              <w:left w:val="single" w:color="000000" w:sz="0"/>
              <w:bottom w:val="single" w:color="000000" w:sz="4"/>
              <w:right w:val="single" w:color="000000" w:sz="4"/>
            </w:tcBorders>
            <w:shd w:color="auto" w:fill="d9e1f2" w:val="clear"/>
            <w:tcMar>
              <w:left w:w="44" w:type="dxa"/>
              <w:right w:w="44" w:type="dxa"/>
            </w:tcMar>
            <w:vAlign w:val="bottom"/>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756,97</w:t>
            </w:r>
          </w:p>
        </w:tc>
        <w:tc>
          <w:tcPr>
            <w:tcW w:w="1432" w:type="dxa"/>
            <w:tcBorders>
              <w:top w:val="single" w:color="000000" w:sz="4"/>
              <w:left w:val="single" w:color="000000" w:sz="0"/>
              <w:bottom w:val="single" w:color="000000" w:sz="4"/>
              <w:right w:val="single" w:color="000000" w:sz="4"/>
            </w:tcBorders>
            <w:shd w:color="auto" w:fill="d9e1f2" w:val="clear"/>
            <w:tcMar>
              <w:left w:w="44" w:type="dxa"/>
              <w:right w:w="44" w:type="dxa"/>
            </w:tcMar>
            <w:vAlign w:val="bottom"/>
          </w:tcPr>
          <w:p>
            <w:pPr>
              <w:keepNext w:val="true"/>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595" w:type="dxa"/>
            <w:tcBorders>
              <w:top w:val="single" w:color="000000" w:sz="4"/>
              <w:left w:val="single" w:color="000000" w:sz="0"/>
              <w:bottom w:val="single" w:color="000000" w:sz="4"/>
              <w:right w:val="single" w:color="000000" w:sz="4"/>
            </w:tcBorders>
            <w:shd w:color="auto" w:fill="d9e1f2" w:val="clear"/>
            <w:tcMar>
              <w:left w:w="44" w:type="dxa"/>
              <w:right w:w="44" w:type="dxa"/>
            </w:tcMar>
            <w:vAlign w:val="bottom"/>
          </w:tcPr>
          <w:p>
            <w:pPr>
              <w:keepNext w:val="true"/>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1.528,42</w:t>
            </w:r>
          </w:p>
        </w:tc>
      </w:tr>
    </w:tbl>
    <w:p>
      <w:pPr>
        <w:spacing w:before="60" w:after="160" w:line="240"/>
        <w:ind w:right="0" w:left="0" w:firstLine="0"/>
        <w:jc w:val="center"/>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Tabela 56: Potrebna finalna energija za grijanje javnih zgrada koje nisu u vlasništvu Op</w:t>
      </w:r>
      <w:r>
        <w:rPr>
          <w:rFonts w:ascii="Calibri" w:hAnsi="Calibri" w:cs="Calibri" w:eastAsia="Calibri"/>
          <w:color w:val="auto"/>
          <w:spacing w:val="0"/>
          <w:position w:val="0"/>
          <w:sz w:val="18"/>
          <w:shd w:fill="auto" w:val="clear"/>
        </w:rPr>
        <w:t xml:space="preserve">ćine u baznoj godini</w:t>
      </w:r>
    </w:p>
    <w:p>
      <w:pPr>
        <w:spacing w:before="12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Ukupna potrebna finalna energija za grijanje zgrada u ovom podsektoru u 2010. godini, iznosi 1.528,42 MWh. Iz tabele je evidentno da se najve</w:t>
      </w:r>
      <w:r>
        <w:rPr>
          <w:rFonts w:ascii="Calibri" w:hAnsi="Calibri" w:cs="Calibri" w:eastAsia="Calibri"/>
          <w:color w:val="auto"/>
          <w:spacing w:val="0"/>
          <w:position w:val="0"/>
          <w:sz w:val="20"/>
          <w:shd w:fill="auto" w:val="clear"/>
        </w:rPr>
        <w:t xml:space="preserve">ći udio od oko 99% ove energije odnosi na fosilna goriva, sa jednakom zastupljenošću lignita i mrkog uglja, dok se preostalih 1% odnosi na električne energiju. Energija iz biomase nije zastupljena u ovom podsektoru zgrada. Procentualno učešće zastupljenih energenata za grijanje prikazano je na </w:t>
      </w:r>
      <w:r>
        <w:rPr>
          <w:rFonts w:ascii="Calibri" w:hAnsi="Calibri" w:cs="Calibri" w:eastAsia="Calibri"/>
          <w:i/>
          <w:color w:val="auto"/>
          <w:spacing w:val="0"/>
          <w:position w:val="0"/>
          <w:sz w:val="20"/>
          <w:shd w:fill="auto" w:val="clear"/>
        </w:rPr>
        <w:t xml:space="preserve">Dijagramu 5-3</w:t>
      </w:r>
      <w:r>
        <w:rPr>
          <w:rFonts w:ascii="Calibri" w:hAnsi="Calibri" w:cs="Calibri" w:eastAsia="Calibri"/>
          <w:color w:val="auto"/>
          <w:spacing w:val="0"/>
          <w:position w:val="0"/>
          <w:sz w:val="20"/>
          <w:shd w:fill="auto" w:val="clear"/>
        </w:rPr>
        <w:t xml:space="preserve"> u nastavku teksta.</w:t>
      </w:r>
    </w:p>
    <w:p>
      <w:pPr>
        <w:spacing w:before="60" w:after="12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Ukupne emisije CO</w:t>
      </w:r>
      <w:r>
        <w:rPr>
          <w:rFonts w:ascii="Calibri" w:hAnsi="Calibri" w:cs="Calibri" w:eastAsia="Calibri"/>
          <w:color w:val="auto"/>
          <w:spacing w:val="0"/>
          <w:position w:val="0"/>
          <w:sz w:val="20"/>
          <w:shd w:fill="auto" w:val="clear"/>
          <w:vertAlign w:val="subscript"/>
        </w:rPr>
        <w:t xml:space="preserve">2 </w:t>
      </w:r>
      <w:r>
        <w:rPr>
          <w:rFonts w:ascii="Calibri" w:hAnsi="Calibri" w:cs="Calibri" w:eastAsia="Calibri"/>
          <w:color w:val="auto"/>
          <w:spacing w:val="0"/>
          <w:position w:val="0"/>
          <w:sz w:val="20"/>
          <w:shd w:fill="auto" w:val="clear"/>
        </w:rPr>
        <w:t xml:space="preserve">za podsektor javnih zgrada koje nisu u vlasništvu Op</w:t>
      </w:r>
      <w:r>
        <w:rPr>
          <w:rFonts w:ascii="Calibri" w:hAnsi="Calibri" w:cs="Calibri" w:eastAsia="Calibri"/>
          <w:color w:val="auto"/>
          <w:spacing w:val="0"/>
          <w:position w:val="0"/>
          <w:sz w:val="20"/>
          <w:shd w:fill="auto" w:val="clear"/>
        </w:rPr>
        <w:t xml:space="preserve">ćine u baznoj godini dobivene su kao proizvod potrebne finalne energije za grijanje i odgovarajućih emisionih faktora. Dobivene brijednosti su prikazane u narednoj tabeli. </w:t>
      </w:r>
    </w:p>
    <w:tbl>
      <w:tblPr/>
      <w:tblGrid>
        <w:gridCol w:w="470"/>
        <w:gridCol w:w="2384"/>
        <w:gridCol w:w="1270"/>
        <w:gridCol w:w="1112"/>
        <w:gridCol w:w="1112"/>
        <w:gridCol w:w="1432"/>
        <w:gridCol w:w="1595"/>
      </w:tblGrid>
      <w:tr>
        <w:trPr>
          <w:trHeight w:val="326" w:hRule="auto"/>
          <w:jc w:val="left"/>
        </w:trPr>
        <w:tc>
          <w:tcPr>
            <w:tcW w:w="9375" w:type="dxa"/>
            <w:gridSpan w:val="7"/>
            <w:tcBorders>
              <w:top w:val="single" w:color="000000" w:sz="4"/>
              <w:left w:val="single" w:color="000000" w:sz="4"/>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EMISIJE CO</w:t>
            </w:r>
            <w:r>
              <w:rPr>
                <w:rFonts w:ascii="Calibri" w:hAnsi="Calibri" w:cs="Calibri" w:eastAsia="Calibri"/>
                <w:color w:val="000000"/>
                <w:spacing w:val="0"/>
                <w:position w:val="0"/>
                <w:sz w:val="18"/>
                <w:shd w:fill="auto" w:val="clear"/>
                <w:vertAlign w:val="subscript"/>
              </w:rPr>
              <w:t xml:space="preserve">2</w:t>
            </w:r>
            <w:r>
              <w:rPr>
                <w:rFonts w:ascii="Calibri" w:hAnsi="Calibri" w:cs="Calibri" w:eastAsia="Calibri"/>
                <w:color w:val="000000"/>
                <w:spacing w:val="0"/>
                <w:position w:val="0"/>
                <w:sz w:val="18"/>
                <w:shd w:fill="auto" w:val="clear"/>
              </w:rPr>
              <w:t xml:space="preserve"> [tCO</w:t>
            </w:r>
            <w:r>
              <w:rPr>
                <w:rFonts w:ascii="Calibri" w:hAnsi="Calibri" w:cs="Calibri" w:eastAsia="Calibri"/>
                <w:color w:val="000000"/>
                <w:spacing w:val="0"/>
                <w:position w:val="0"/>
                <w:sz w:val="18"/>
                <w:shd w:fill="auto" w:val="clear"/>
                <w:vertAlign w:val="subscript"/>
              </w:rPr>
              <w:t xml:space="preserve">2</w:t>
            </w:r>
            <w:r>
              <w:rPr>
                <w:rFonts w:ascii="Calibri" w:hAnsi="Calibri" w:cs="Calibri" w:eastAsia="Calibri"/>
                <w:color w:val="000000"/>
                <w:spacing w:val="0"/>
                <w:position w:val="0"/>
                <w:sz w:val="18"/>
                <w:shd w:fill="auto" w:val="clear"/>
              </w:rPr>
              <w:t xml:space="preserve">]</w:t>
            </w:r>
          </w:p>
        </w:tc>
      </w:tr>
      <w:tr>
        <w:trPr>
          <w:trHeight w:val="16" w:hRule="auto"/>
          <w:jc w:val="left"/>
        </w:trPr>
        <w:tc>
          <w:tcPr>
            <w:tcW w:w="2854" w:type="dxa"/>
            <w:gridSpan w:val="2"/>
            <w:vMerge w:val="restart"/>
            <w:tcBorders>
              <w:top w:val="single" w:color="000000" w:sz="4"/>
              <w:left w:val="single" w:color="000000" w:sz="4"/>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VRSTA ENERGENTA</w:t>
            </w:r>
          </w:p>
        </w:tc>
        <w:tc>
          <w:tcPr>
            <w:tcW w:w="1270" w:type="dxa"/>
            <w:vMerge w:val="restart"/>
            <w:tcBorders>
              <w:top w:val="single" w:color="000000" w:sz="0"/>
              <w:left w:val="single" w:color="000000" w:sz="4"/>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ELEKTRI</w:t>
            </w:r>
            <w:r>
              <w:rPr>
                <w:rFonts w:ascii="Calibri" w:hAnsi="Calibri" w:cs="Calibri" w:eastAsia="Calibri"/>
                <w:color w:val="000000"/>
                <w:spacing w:val="0"/>
                <w:position w:val="0"/>
                <w:sz w:val="18"/>
                <w:shd w:fill="auto" w:val="clear"/>
              </w:rPr>
              <w:t xml:space="preserve">ČNA ENERGIJA</w:t>
            </w:r>
          </w:p>
        </w:tc>
        <w:tc>
          <w:tcPr>
            <w:tcW w:w="2224" w:type="dxa"/>
            <w:gridSpan w:val="2"/>
            <w:tcBorders>
              <w:top w:val="single" w:color="000000" w:sz="0"/>
              <w:left w:val="single" w:color="000000" w:sz="0"/>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FOSILNA GORIVA</w:t>
            </w:r>
          </w:p>
        </w:tc>
        <w:tc>
          <w:tcPr>
            <w:tcW w:w="1432" w:type="dxa"/>
            <w:tcBorders>
              <w:top w:val="single" w:color="000000" w:sz="0"/>
              <w:left w:val="single" w:color="000000" w:sz="4"/>
              <w:bottom w:val="single" w:color="000000" w:sz="4"/>
              <w:right w:val="single" w:color="000000" w:sz="4"/>
            </w:tcBorders>
            <w:shd w:color="auto" w:fill="bdd7ee" w:val="clear"/>
            <w:tcMar>
              <w:left w:w="44" w:type="dxa"/>
              <w:right w:w="44"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OBNOVLJIVI IZVORI ENERGIJE</w:t>
            </w:r>
          </w:p>
        </w:tc>
        <w:tc>
          <w:tcPr>
            <w:tcW w:w="1595" w:type="dxa"/>
            <w:vMerge w:val="restart"/>
            <w:tcBorders>
              <w:top w:val="single" w:color="000000" w:sz="0"/>
              <w:left w:val="single" w:color="000000" w:sz="4"/>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UKUPNO PO NAMJENI ZGRADE</w:t>
            </w:r>
          </w:p>
        </w:tc>
      </w:tr>
      <w:tr>
        <w:trPr>
          <w:trHeight w:val="16" w:hRule="auto"/>
          <w:jc w:val="left"/>
        </w:trPr>
        <w:tc>
          <w:tcPr>
            <w:tcW w:w="2854" w:type="dxa"/>
            <w:gridSpan w:val="2"/>
            <w:vMerge/>
            <w:tcBorders>
              <w:top w:val="single" w:color="000000" w:sz="4"/>
              <w:left w:val="single" w:color="000000" w:sz="4"/>
              <w:bottom w:val="single" w:color="000000" w:sz="4"/>
              <w:right w:val="single" w:color="000000" w:sz="4"/>
            </w:tcBorders>
            <w:shd w:color="000000" w:fill="ffffff" w:val="clear"/>
            <w:tcMar>
              <w:left w:w="44" w:type="dxa"/>
              <w:right w:w="44"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270" w:type="dxa"/>
            <w:vMerge/>
            <w:tcBorders>
              <w:top w:val="single" w:color="000000" w:sz="0"/>
              <w:left w:val="single" w:color="000000" w:sz="4"/>
              <w:bottom w:val="single" w:color="000000" w:sz="4"/>
              <w:right w:val="single" w:color="000000" w:sz="4"/>
            </w:tcBorders>
            <w:shd w:color="000000" w:fill="ffffff" w:val="clear"/>
            <w:tcMar>
              <w:left w:w="44" w:type="dxa"/>
              <w:right w:w="44"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112" w:type="dxa"/>
            <w:tcBorders>
              <w:top w:val="single" w:color="000000" w:sz="0"/>
              <w:left w:val="single" w:color="000000" w:sz="0"/>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LIGNIT</w:t>
            </w:r>
          </w:p>
        </w:tc>
        <w:tc>
          <w:tcPr>
            <w:tcW w:w="1112" w:type="dxa"/>
            <w:tcBorders>
              <w:top w:val="single" w:color="000000" w:sz="0"/>
              <w:left w:val="single" w:color="000000" w:sz="0"/>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MRKI UGALJ</w:t>
            </w:r>
          </w:p>
        </w:tc>
        <w:tc>
          <w:tcPr>
            <w:tcW w:w="1432" w:type="dxa"/>
            <w:tcBorders>
              <w:top w:val="single" w:color="000000" w:sz="0"/>
              <w:left w:val="single" w:color="000000" w:sz="4"/>
              <w:bottom w:val="single" w:color="000000" w:sz="4"/>
              <w:right w:val="single" w:color="000000" w:sz="4"/>
            </w:tcBorders>
            <w:shd w:color="auto" w:fill="bdd6ee" w:val="clear"/>
            <w:tcMar>
              <w:left w:w="44" w:type="dxa"/>
              <w:right w:w="44"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BIOMASA</w:t>
            </w:r>
          </w:p>
        </w:tc>
        <w:tc>
          <w:tcPr>
            <w:tcW w:w="1595" w:type="dxa"/>
            <w:vMerge/>
            <w:tcBorders>
              <w:top w:val="single" w:color="000000" w:sz="0"/>
              <w:left w:val="single" w:color="000000" w:sz="4"/>
              <w:bottom w:val="single" w:color="000000" w:sz="4"/>
              <w:right w:val="single" w:color="000000" w:sz="4"/>
            </w:tcBorders>
            <w:shd w:color="000000" w:fill="ffffff" w:val="clear"/>
            <w:tcMar>
              <w:left w:w="44" w:type="dxa"/>
              <w:right w:w="44"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r>
      <w:tr>
        <w:trPr>
          <w:trHeight w:val="255" w:hRule="auto"/>
          <w:jc w:val="left"/>
        </w:trPr>
        <w:tc>
          <w:tcPr>
            <w:tcW w:w="470" w:type="dxa"/>
            <w:vMerge w:val="restart"/>
            <w:tcBorders>
              <w:top w:val="single" w:color="000000" w:sz="0"/>
              <w:left w:val="single" w:color="000000" w:sz="4"/>
              <w:bottom w:val="single" w:color="000000" w:sz="4"/>
              <w:right w:val="single" w:color="000000" w:sz="4"/>
            </w:tcBorders>
            <w:shd w:color="auto" w:fill="b4c6e7"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NAMJENA ZGRADE</w:t>
            </w:r>
          </w:p>
        </w:tc>
        <w:tc>
          <w:tcPr>
            <w:tcW w:w="2384" w:type="dxa"/>
            <w:tcBorders>
              <w:top w:val="single" w:color="000000" w:sz="0"/>
              <w:left w:val="single" w:color="000000" w:sz="0"/>
              <w:bottom w:val="single" w:color="000000" w:sz="4"/>
              <w:right w:val="single" w:color="000000" w:sz="4"/>
            </w:tcBorders>
            <w:shd w:color="auto" w:fill="b4c6e7" w:val="clear"/>
            <w:tcMar>
              <w:left w:w="44" w:type="dxa"/>
              <w:right w:w="44"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PREDŠKOLSKI ODGOJ</w:t>
            </w:r>
          </w:p>
        </w:tc>
        <w:tc>
          <w:tcPr>
            <w:tcW w:w="1270" w:type="dxa"/>
            <w:tcBorders>
              <w:top w:val="single" w:color="000000" w:sz="4"/>
              <w:left w:val="single" w:color="000000" w:sz="4"/>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112" w:type="dxa"/>
            <w:tcBorders>
              <w:top w:val="single" w:color="000000" w:sz="4"/>
              <w:left w:val="single" w:color="000000" w:sz="0"/>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112" w:type="dxa"/>
            <w:tcBorders>
              <w:top w:val="single" w:color="000000" w:sz="4"/>
              <w:left w:val="single" w:color="000000" w:sz="0"/>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432" w:type="dxa"/>
            <w:tcBorders>
              <w:top w:val="single" w:color="000000" w:sz="4"/>
              <w:left w:val="single" w:color="000000" w:sz="0"/>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595" w:type="dxa"/>
            <w:tcBorders>
              <w:top w:val="single" w:color="000000" w:sz="4"/>
              <w:left w:val="single" w:color="000000" w:sz="4"/>
              <w:bottom w:val="single" w:color="000000" w:sz="4"/>
              <w:right w:val="single" w:color="000000" w:sz="4"/>
            </w:tcBorders>
            <w:shd w:color="auto" w:fill="d9e1f2"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r>
      <w:tr>
        <w:trPr>
          <w:trHeight w:val="255" w:hRule="auto"/>
          <w:jc w:val="left"/>
        </w:trPr>
        <w:tc>
          <w:tcPr>
            <w:tcW w:w="470" w:type="dxa"/>
            <w:vMerge/>
            <w:tcBorders>
              <w:top w:val="single" w:color="000000" w:sz="0"/>
              <w:left w:val="single" w:color="000000" w:sz="4"/>
              <w:bottom w:val="single" w:color="000000" w:sz="4"/>
              <w:right w:val="single" w:color="000000" w:sz="4"/>
            </w:tcBorders>
            <w:shd w:color="000000" w:fill="ffffff" w:val="clear"/>
            <w:tcMar>
              <w:left w:w="44" w:type="dxa"/>
              <w:right w:w="44"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2384" w:type="dxa"/>
            <w:tcBorders>
              <w:top w:val="single" w:color="000000" w:sz="0"/>
              <w:left w:val="single" w:color="000000" w:sz="0"/>
              <w:bottom w:val="single" w:color="000000" w:sz="4"/>
              <w:right w:val="single" w:color="000000" w:sz="4"/>
            </w:tcBorders>
            <w:shd w:color="auto" w:fill="b4c6e7" w:val="clear"/>
            <w:tcMar>
              <w:left w:w="44" w:type="dxa"/>
              <w:right w:w="44"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OBRAZOVANJE</w:t>
            </w:r>
          </w:p>
        </w:tc>
        <w:tc>
          <w:tcPr>
            <w:tcW w:w="1270" w:type="dxa"/>
            <w:tcBorders>
              <w:top w:val="single" w:color="000000" w:sz="0"/>
              <w:left w:val="single" w:color="000000" w:sz="4"/>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112" w:type="dxa"/>
            <w:tcBorders>
              <w:top w:val="single" w:color="000000" w:sz="0"/>
              <w:left w:val="single" w:color="000000" w:sz="0"/>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219,22</w:t>
            </w:r>
          </w:p>
        </w:tc>
        <w:tc>
          <w:tcPr>
            <w:tcW w:w="1112" w:type="dxa"/>
            <w:tcBorders>
              <w:top w:val="single" w:color="000000" w:sz="0"/>
              <w:left w:val="single" w:color="000000" w:sz="0"/>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205,37</w:t>
            </w:r>
          </w:p>
        </w:tc>
        <w:tc>
          <w:tcPr>
            <w:tcW w:w="1432" w:type="dxa"/>
            <w:tcBorders>
              <w:top w:val="single" w:color="000000" w:sz="0"/>
              <w:left w:val="single" w:color="000000" w:sz="0"/>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595" w:type="dxa"/>
            <w:tcBorders>
              <w:top w:val="single" w:color="000000" w:sz="0"/>
              <w:left w:val="single" w:color="000000" w:sz="4"/>
              <w:bottom w:val="single" w:color="000000" w:sz="4"/>
              <w:right w:val="single" w:color="000000" w:sz="4"/>
            </w:tcBorders>
            <w:shd w:color="auto" w:fill="d9e1f2" w:val="clear"/>
            <w:tcMar>
              <w:left w:w="44" w:type="dxa"/>
              <w:right w:w="44" w:type="dxa"/>
            </w:tcMar>
            <w:vAlign w:val="bottom"/>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424,59</w:t>
            </w:r>
          </w:p>
        </w:tc>
      </w:tr>
      <w:tr>
        <w:trPr>
          <w:trHeight w:val="255" w:hRule="auto"/>
          <w:jc w:val="left"/>
        </w:trPr>
        <w:tc>
          <w:tcPr>
            <w:tcW w:w="470" w:type="dxa"/>
            <w:vMerge/>
            <w:tcBorders>
              <w:top w:val="single" w:color="000000" w:sz="0"/>
              <w:left w:val="single" w:color="000000" w:sz="4"/>
              <w:bottom w:val="single" w:color="000000" w:sz="4"/>
              <w:right w:val="single" w:color="000000" w:sz="4"/>
            </w:tcBorders>
            <w:shd w:color="000000" w:fill="ffffff" w:val="clear"/>
            <w:tcMar>
              <w:left w:w="44" w:type="dxa"/>
              <w:right w:w="44"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2384" w:type="dxa"/>
            <w:tcBorders>
              <w:top w:val="single" w:color="000000" w:sz="0"/>
              <w:left w:val="single" w:color="000000" w:sz="0"/>
              <w:bottom w:val="single" w:color="000000" w:sz="4"/>
              <w:right w:val="single" w:color="000000" w:sz="4"/>
            </w:tcBorders>
            <w:shd w:color="auto" w:fill="b4c6e7" w:val="clear"/>
            <w:tcMar>
              <w:left w:w="44" w:type="dxa"/>
              <w:right w:w="44"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ZDRAVSTVO</w:t>
            </w:r>
          </w:p>
        </w:tc>
        <w:tc>
          <w:tcPr>
            <w:tcW w:w="1270" w:type="dxa"/>
            <w:tcBorders>
              <w:top w:val="single" w:color="000000" w:sz="0"/>
              <w:left w:val="single" w:color="000000" w:sz="4"/>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112" w:type="dxa"/>
            <w:tcBorders>
              <w:top w:val="single" w:color="000000" w:sz="0"/>
              <w:left w:val="single" w:color="000000" w:sz="0"/>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112" w:type="dxa"/>
            <w:tcBorders>
              <w:top w:val="single" w:color="000000" w:sz="0"/>
              <w:left w:val="single" w:color="000000" w:sz="0"/>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432" w:type="dxa"/>
            <w:tcBorders>
              <w:top w:val="single" w:color="000000" w:sz="0"/>
              <w:left w:val="single" w:color="000000" w:sz="0"/>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595" w:type="dxa"/>
            <w:tcBorders>
              <w:top w:val="single" w:color="000000" w:sz="0"/>
              <w:left w:val="single" w:color="000000" w:sz="4"/>
              <w:bottom w:val="single" w:color="000000" w:sz="4"/>
              <w:right w:val="single" w:color="000000" w:sz="4"/>
            </w:tcBorders>
            <w:shd w:color="auto" w:fill="d9e1f2"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r>
      <w:tr>
        <w:trPr>
          <w:trHeight w:val="255" w:hRule="auto"/>
          <w:jc w:val="left"/>
        </w:trPr>
        <w:tc>
          <w:tcPr>
            <w:tcW w:w="470" w:type="dxa"/>
            <w:vMerge/>
            <w:tcBorders>
              <w:top w:val="single" w:color="000000" w:sz="0"/>
              <w:left w:val="single" w:color="000000" w:sz="4"/>
              <w:bottom w:val="single" w:color="000000" w:sz="4"/>
              <w:right w:val="single" w:color="000000" w:sz="4"/>
            </w:tcBorders>
            <w:shd w:color="000000" w:fill="ffffff" w:val="clear"/>
            <w:tcMar>
              <w:left w:w="44" w:type="dxa"/>
              <w:right w:w="44"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2384" w:type="dxa"/>
            <w:tcBorders>
              <w:top w:val="single" w:color="000000" w:sz="0"/>
              <w:left w:val="single" w:color="000000" w:sz="0"/>
              <w:bottom w:val="single" w:color="000000" w:sz="4"/>
              <w:right w:val="single" w:color="000000" w:sz="4"/>
            </w:tcBorders>
            <w:shd w:color="auto" w:fill="b4c6e7" w:val="clear"/>
            <w:tcMar>
              <w:left w:w="44" w:type="dxa"/>
              <w:right w:w="44"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SPORT</w:t>
            </w:r>
          </w:p>
        </w:tc>
        <w:tc>
          <w:tcPr>
            <w:tcW w:w="1270" w:type="dxa"/>
            <w:tcBorders>
              <w:top w:val="single" w:color="000000" w:sz="0"/>
              <w:left w:val="single" w:color="000000" w:sz="4"/>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112" w:type="dxa"/>
            <w:tcBorders>
              <w:top w:val="single" w:color="000000" w:sz="0"/>
              <w:left w:val="single" w:color="000000" w:sz="0"/>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56,32</w:t>
            </w:r>
          </w:p>
        </w:tc>
        <w:tc>
          <w:tcPr>
            <w:tcW w:w="1112" w:type="dxa"/>
            <w:tcBorders>
              <w:top w:val="single" w:color="000000" w:sz="0"/>
              <w:left w:val="single" w:color="000000" w:sz="0"/>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52,76</w:t>
            </w:r>
          </w:p>
        </w:tc>
        <w:tc>
          <w:tcPr>
            <w:tcW w:w="1432" w:type="dxa"/>
            <w:tcBorders>
              <w:top w:val="single" w:color="000000" w:sz="0"/>
              <w:left w:val="single" w:color="000000" w:sz="0"/>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595" w:type="dxa"/>
            <w:tcBorders>
              <w:top w:val="single" w:color="000000" w:sz="0"/>
              <w:left w:val="single" w:color="000000" w:sz="4"/>
              <w:bottom w:val="single" w:color="000000" w:sz="4"/>
              <w:right w:val="single" w:color="000000" w:sz="4"/>
            </w:tcBorders>
            <w:shd w:color="auto" w:fill="d9e1f2" w:val="clear"/>
            <w:tcMar>
              <w:left w:w="44" w:type="dxa"/>
              <w:right w:w="44" w:type="dxa"/>
            </w:tcMar>
            <w:vAlign w:val="bottom"/>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109,08</w:t>
            </w:r>
          </w:p>
        </w:tc>
      </w:tr>
      <w:tr>
        <w:trPr>
          <w:trHeight w:val="255" w:hRule="auto"/>
          <w:jc w:val="left"/>
        </w:trPr>
        <w:tc>
          <w:tcPr>
            <w:tcW w:w="470" w:type="dxa"/>
            <w:vMerge/>
            <w:tcBorders>
              <w:top w:val="single" w:color="000000" w:sz="0"/>
              <w:left w:val="single" w:color="000000" w:sz="4"/>
              <w:bottom w:val="single" w:color="000000" w:sz="4"/>
              <w:right w:val="single" w:color="000000" w:sz="4"/>
            </w:tcBorders>
            <w:shd w:color="000000" w:fill="ffffff" w:val="clear"/>
            <w:tcMar>
              <w:left w:w="44" w:type="dxa"/>
              <w:right w:w="44"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2384" w:type="dxa"/>
            <w:tcBorders>
              <w:top w:val="single" w:color="000000" w:sz="0"/>
              <w:left w:val="single" w:color="000000" w:sz="0"/>
              <w:bottom w:val="single" w:color="000000" w:sz="4"/>
              <w:right w:val="single" w:color="000000" w:sz="4"/>
            </w:tcBorders>
            <w:shd w:color="auto" w:fill="b4c6e7" w:val="clear"/>
            <w:tcMar>
              <w:left w:w="44" w:type="dxa"/>
              <w:right w:w="44"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KULTURA</w:t>
            </w:r>
          </w:p>
        </w:tc>
        <w:tc>
          <w:tcPr>
            <w:tcW w:w="1270" w:type="dxa"/>
            <w:tcBorders>
              <w:top w:val="single" w:color="000000" w:sz="0"/>
              <w:left w:val="single" w:color="000000" w:sz="4"/>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112" w:type="dxa"/>
            <w:tcBorders>
              <w:top w:val="single" w:color="000000" w:sz="0"/>
              <w:left w:val="single" w:color="000000" w:sz="0"/>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112" w:type="dxa"/>
            <w:tcBorders>
              <w:top w:val="single" w:color="000000" w:sz="0"/>
              <w:left w:val="single" w:color="000000" w:sz="0"/>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432" w:type="dxa"/>
            <w:tcBorders>
              <w:top w:val="single" w:color="000000" w:sz="0"/>
              <w:left w:val="single" w:color="000000" w:sz="0"/>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595" w:type="dxa"/>
            <w:tcBorders>
              <w:top w:val="single" w:color="000000" w:sz="0"/>
              <w:left w:val="single" w:color="000000" w:sz="4"/>
              <w:bottom w:val="single" w:color="000000" w:sz="4"/>
              <w:right w:val="single" w:color="000000" w:sz="4"/>
            </w:tcBorders>
            <w:shd w:color="auto" w:fill="d9e1f2"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r>
      <w:tr>
        <w:trPr>
          <w:trHeight w:val="255" w:hRule="auto"/>
          <w:jc w:val="left"/>
        </w:trPr>
        <w:tc>
          <w:tcPr>
            <w:tcW w:w="470" w:type="dxa"/>
            <w:vMerge/>
            <w:tcBorders>
              <w:top w:val="single" w:color="000000" w:sz="0"/>
              <w:left w:val="single" w:color="000000" w:sz="4"/>
              <w:bottom w:val="single" w:color="000000" w:sz="4"/>
              <w:right w:val="single" w:color="000000" w:sz="4"/>
            </w:tcBorders>
            <w:shd w:color="000000" w:fill="ffffff" w:val="clear"/>
            <w:tcMar>
              <w:left w:w="44" w:type="dxa"/>
              <w:right w:w="44"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2384" w:type="dxa"/>
            <w:tcBorders>
              <w:top w:val="single" w:color="000000" w:sz="0"/>
              <w:left w:val="single" w:color="000000" w:sz="0"/>
              <w:bottom w:val="single" w:color="000000" w:sz="4"/>
              <w:right w:val="single" w:color="000000" w:sz="4"/>
            </w:tcBorders>
            <w:shd w:color="auto" w:fill="b4c6e7" w:val="clear"/>
            <w:tcMar>
              <w:left w:w="44" w:type="dxa"/>
              <w:right w:w="44"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KANCELARIJSKE ZGRADE</w:t>
            </w:r>
          </w:p>
        </w:tc>
        <w:tc>
          <w:tcPr>
            <w:tcW w:w="1270" w:type="dxa"/>
            <w:tcBorders>
              <w:top w:val="single" w:color="000000" w:sz="0"/>
              <w:left w:val="single" w:color="000000" w:sz="4"/>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11,00</w:t>
            </w:r>
          </w:p>
        </w:tc>
        <w:tc>
          <w:tcPr>
            <w:tcW w:w="1112" w:type="dxa"/>
            <w:tcBorders>
              <w:top w:val="single" w:color="000000" w:sz="0"/>
              <w:left w:val="single" w:color="000000" w:sz="0"/>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112" w:type="dxa"/>
            <w:tcBorders>
              <w:top w:val="single" w:color="000000" w:sz="0"/>
              <w:left w:val="single" w:color="000000" w:sz="0"/>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432" w:type="dxa"/>
            <w:tcBorders>
              <w:top w:val="single" w:color="000000" w:sz="0"/>
              <w:left w:val="single" w:color="000000" w:sz="0"/>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595" w:type="dxa"/>
            <w:tcBorders>
              <w:top w:val="single" w:color="000000" w:sz="0"/>
              <w:left w:val="single" w:color="000000" w:sz="4"/>
              <w:bottom w:val="single" w:color="000000" w:sz="4"/>
              <w:right w:val="single" w:color="000000" w:sz="4"/>
            </w:tcBorders>
            <w:shd w:color="auto" w:fill="d9e1f2" w:val="clear"/>
            <w:tcMar>
              <w:left w:w="44" w:type="dxa"/>
              <w:right w:w="44" w:type="dxa"/>
            </w:tcMar>
            <w:vAlign w:val="bottom"/>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11,00</w:t>
            </w:r>
          </w:p>
        </w:tc>
      </w:tr>
      <w:tr>
        <w:trPr>
          <w:trHeight w:val="255" w:hRule="auto"/>
          <w:jc w:val="left"/>
        </w:trPr>
        <w:tc>
          <w:tcPr>
            <w:tcW w:w="470" w:type="dxa"/>
            <w:vMerge/>
            <w:tcBorders>
              <w:top w:val="single" w:color="000000" w:sz="0"/>
              <w:left w:val="single" w:color="000000" w:sz="4"/>
              <w:bottom w:val="single" w:color="000000" w:sz="4"/>
              <w:right w:val="single" w:color="000000" w:sz="4"/>
            </w:tcBorders>
            <w:shd w:color="000000" w:fill="ffffff" w:val="clear"/>
            <w:tcMar>
              <w:left w:w="44" w:type="dxa"/>
              <w:right w:w="44"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2384" w:type="dxa"/>
            <w:tcBorders>
              <w:top w:val="single" w:color="000000" w:sz="0"/>
              <w:left w:val="single" w:color="000000" w:sz="0"/>
              <w:bottom w:val="single" w:color="000000" w:sz="4"/>
              <w:right w:val="single" w:color="000000" w:sz="4"/>
            </w:tcBorders>
            <w:shd w:color="auto" w:fill="b4c6e7" w:val="clear"/>
            <w:tcMar>
              <w:left w:w="44" w:type="dxa"/>
              <w:right w:w="44"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CJELODNEVNI BORAVAK</w:t>
            </w:r>
          </w:p>
        </w:tc>
        <w:tc>
          <w:tcPr>
            <w:tcW w:w="1270" w:type="dxa"/>
            <w:tcBorders>
              <w:top w:val="single" w:color="000000" w:sz="0"/>
              <w:left w:val="single" w:color="000000" w:sz="4"/>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112" w:type="dxa"/>
            <w:tcBorders>
              <w:top w:val="single" w:color="000000" w:sz="0"/>
              <w:left w:val="single" w:color="000000" w:sz="0"/>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112" w:type="dxa"/>
            <w:tcBorders>
              <w:top w:val="single" w:color="000000" w:sz="0"/>
              <w:left w:val="single" w:color="000000" w:sz="0"/>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432" w:type="dxa"/>
            <w:tcBorders>
              <w:top w:val="single" w:color="000000" w:sz="0"/>
              <w:left w:val="single" w:color="000000" w:sz="0"/>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595" w:type="dxa"/>
            <w:tcBorders>
              <w:top w:val="single" w:color="000000" w:sz="0"/>
              <w:left w:val="single" w:color="000000" w:sz="4"/>
              <w:bottom w:val="single" w:color="000000" w:sz="4"/>
              <w:right w:val="single" w:color="000000" w:sz="4"/>
            </w:tcBorders>
            <w:shd w:color="auto" w:fill="d9e1f2"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r>
      <w:tr>
        <w:trPr>
          <w:trHeight w:val="255" w:hRule="auto"/>
          <w:jc w:val="left"/>
        </w:trPr>
        <w:tc>
          <w:tcPr>
            <w:tcW w:w="2854" w:type="dxa"/>
            <w:gridSpan w:val="2"/>
            <w:tcBorders>
              <w:top w:val="single" w:color="000000" w:sz="4"/>
              <w:left w:val="single" w:color="000000" w:sz="4"/>
              <w:bottom w:val="single" w:color="000000" w:sz="4"/>
              <w:right w:val="single" w:color="000000" w:sz="4"/>
            </w:tcBorders>
            <w:shd w:color="auto" w:fill="d9e1f2" w:val="clear"/>
            <w:tcMar>
              <w:left w:w="44" w:type="dxa"/>
              <w:right w:w="44" w:type="dxa"/>
            </w:tcMar>
            <w:vAlign w:val="bottom"/>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UKUPNO PO ENERGENTIMA</w:t>
            </w:r>
          </w:p>
        </w:tc>
        <w:tc>
          <w:tcPr>
            <w:tcW w:w="1270" w:type="dxa"/>
            <w:tcBorders>
              <w:top w:val="single" w:color="000000" w:sz="4"/>
              <w:left w:val="single" w:color="000000" w:sz="4"/>
              <w:bottom w:val="single" w:color="000000" w:sz="4"/>
              <w:right w:val="single" w:color="000000" w:sz="4"/>
            </w:tcBorders>
            <w:shd w:color="auto" w:fill="d9e1f2" w:val="clear"/>
            <w:tcMar>
              <w:left w:w="44" w:type="dxa"/>
              <w:right w:w="44" w:type="dxa"/>
            </w:tcMar>
            <w:vAlign w:val="bottom"/>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11,00</w:t>
            </w:r>
          </w:p>
        </w:tc>
        <w:tc>
          <w:tcPr>
            <w:tcW w:w="1112" w:type="dxa"/>
            <w:tcBorders>
              <w:top w:val="single" w:color="000000" w:sz="4"/>
              <w:left w:val="single" w:color="000000" w:sz="0"/>
              <w:bottom w:val="single" w:color="000000" w:sz="4"/>
              <w:right w:val="single" w:color="000000" w:sz="4"/>
            </w:tcBorders>
            <w:shd w:color="auto" w:fill="d9e1f2" w:val="clear"/>
            <w:tcMar>
              <w:left w:w="44" w:type="dxa"/>
              <w:right w:w="44" w:type="dxa"/>
            </w:tcMar>
            <w:vAlign w:val="bottom"/>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275,54</w:t>
            </w:r>
          </w:p>
        </w:tc>
        <w:tc>
          <w:tcPr>
            <w:tcW w:w="1112" w:type="dxa"/>
            <w:tcBorders>
              <w:top w:val="single" w:color="000000" w:sz="4"/>
              <w:left w:val="single" w:color="000000" w:sz="0"/>
              <w:bottom w:val="single" w:color="000000" w:sz="4"/>
              <w:right w:val="single" w:color="000000" w:sz="4"/>
            </w:tcBorders>
            <w:shd w:color="auto" w:fill="d9e1f2" w:val="clear"/>
            <w:tcMar>
              <w:left w:w="44" w:type="dxa"/>
              <w:right w:w="44" w:type="dxa"/>
            </w:tcMar>
            <w:vAlign w:val="bottom"/>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258,13</w:t>
            </w:r>
          </w:p>
        </w:tc>
        <w:tc>
          <w:tcPr>
            <w:tcW w:w="1432" w:type="dxa"/>
            <w:tcBorders>
              <w:top w:val="single" w:color="000000" w:sz="4"/>
              <w:left w:val="single" w:color="000000" w:sz="0"/>
              <w:bottom w:val="single" w:color="000000" w:sz="4"/>
              <w:right w:val="single" w:color="000000" w:sz="4"/>
            </w:tcBorders>
            <w:shd w:color="auto" w:fill="d9e1f2" w:val="clear"/>
            <w:tcMar>
              <w:left w:w="44" w:type="dxa"/>
              <w:right w:w="44" w:type="dxa"/>
            </w:tcMar>
            <w:vAlign w:val="bottom"/>
          </w:tcPr>
          <w:p>
            <w:pPr>
              <w:keepNext w:val="true"/>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595" w:type="dxa"/>
            <w:tcBorders>
              <w:top w:val="single" w:color="000000" w:sz="4"/>
              <w:left w:val="single" w:color="000000" w:sz="0"/>
              <w:bottom w:val="single" w:color="000000" w:sz="4"/>
              <w:right w:val="single" w:color="000000" w:sz="4"/>
            </w:tcBorders>
            <w:shd w:color="auto" w:fill="d9e1f2" w:val="clear"/>
            <w:tcMar>
              <w:left w:w="44" w:type="dxa"/>
              <w:right w:w="44" w:type="dxa"/>
            </w:tcMar>
            <w:vAlign w:val="bottom"/>
          </w:tcPr>
          <w:p>
            <w:pPr>
              <w:keepNext w:val="true"/>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544,67</w:t>
            </w:r>
          </w:p>
        </w:tc>
      </w:tr>
    </w:tbl>
    <w:p>
      <w:pPr>
        <w:spacing w:before="60" w:after="160" w:line="240"/>
        <w:ind w:right="0" w:left="0" w:firstLine="0"/>
        <w:jc w:val="center"/>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Tabela 57: Godišnje emisije CO</w:t>
      </w:r>
      <w:r>
        <w:rPr>
          <w:rFonts w:ascii="Calibri" w:hAnsi="Calibri" w:cs="Calibri" w:eastAsia="Calibri"/>
          <w:color w:val="auto"/>
          <w:spacing w:val="0"/>
          <w:position w:val="0"/>
          <w:sz w:val="18"/>
          <w:shd w:fill="auto" w:val="clear"/>
          <w:vertAlign w:val="subscript"/>
        </w:rPr>
        <w:t xml:space="preserve">2</w:t>
      </w:r>
      <w:r>
        <w:rPr>
          <w:rFonts w:ascii="Calibri" w:hAnsi="Calibri" w:cs="Calibri" w:eastAsia="Calibri"/>
          <w:color w:val="auto"/>
          <w:spacing w:val="0"/>
          <w:position w:val="0"/>
          <w:sz w:val="18"/>
          <w:shd w:fill="auto" w:val="clear"/>
        </w:rPr>
        <w:t xml:space="preserve"> iz podsektora javnih zgrada koje nisu u vlasništvu Op</w:t>
      </w:r>
      <w:r>
        <w:rPr>
          <w:rFonts w:ascii="Calibri" w:hAnsi="Calibri" w:cs="Calibri" w:eastAsia="Calibri"/>
          <w:color w:val="auto"/>
          <w:spacing w:val="0"/>
          <w:position w:val="0"/>
          <w:sz w:val="18"/>
          <w:shd w:fill="auto" w:val="clear"/>
        </w:rPr>
        <w:t xml:space="preserve">ćine u baznoj godini</w:t>
      </w:r>
    </w:p>
    <w:p>
      <w:pPr>
        <w:spacing w:before="120" w:after="12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0"/>
          <w:shd w:fill="auto" w:val="clear"/>
        </w:rPr>
        <w:t xml:space="preserve">Ukupna prora</w:t>
      </w:r>
      <w:r>
        <w:rPr>
          <w:rFonts w:ascii="Calibri" w:hAnsi="Calibri" w:cs="Calibri" w:eastAsia="Calibri"/>
          <w:color w:val="auto"/>
          <w:spacing w:val="0"/>
          <w:position w:val="0"/>
          <w:sz w:val="20"/>
          <w:shd w:fill="auto" w:val="clear"/>
        </w:rPr>
        <w:t xml:space="preserve">čunata vrijednost godišnje emisije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iz ovog podsektora zgrada u baznoj godini iznose 544,67 t, što predstavja 1,80% od ukupnih emisija CO</w:t>
      </w:r>
      <w:r>
        <w:rPr>
          <w:rFonts w:ascii="Calibri" w:hAnsi="Calibri" w:cs="Calibri" w:eastAsia="Calibri"/>
          <w:color w:val="auto"/>
          <w:spacing w:val="0"/>
          <w:position w:val="0"/>
          <w:sz w:val="20"/>
          <w:shd w:fill="auto" w:val="clear"/>
          <w:vertAlign w:val="subscript"/>
        </w:rPr>
        <w:t xml:space="preserve">2 </w:t>
      </w:r>
      <w:r>
        <w:rPr>
          <w:rFonts w:ascii="Calibri" w:hAnsi="Calibri" w:cs="Calibri" w:eastAsia="Calibri"/>
          <w:color w:val="auto"/>
          <w:spacing w:val="0"/>
          <w:position w:val="0"/>
          <w:sz w:val="20"/>
          <w:shd w:fill="auto" w:val="clear"/>
        </w:rPr>
        <w:t xml:space="preserve">u baznoj godini iz svih razmatranih sektora. Iz ove tabele se vidi da su 2010. godine emisije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iz ovog podsektora bile rezultat korištenja fosilnih goriva (lignita i mrkog uglja)ci električne energije. Procentualni udio razmatranih energenata u ukupnim emisijama iz ovog podsektora u baznoj 2010. godini prikazano je na </w:t>
      </w:r>
      <w:r>
        <w:rPr>
          <w:rFonts w:ascii="Calibri" w:hAnsi="Calibri" w:cs="Calibri" w:eastAsia="Calibri"/>
          <w:i/>
          <w:color w:val="auto"/>
          <w:spacing w:val="0"/>
          <w:position w:val="0"/>
          <w:sz w:val="20"/>
          <w:shd w:fill="auto" w:val="clear"/>
        </w:rPr>
        <w:t xml:space="preserve">Dijagramu 5-4</w:t>
      </w:r>
      <w:r>
        <w:rPr>
          <w:rFonts w:ascii="Calibri" w:hAnsi="Calibri" w:cs="Calibri" w:eastAsia="Calibri"/>
          <w:color w:val="auto"/>
          <w:spacing w:val="0"/>
          <w:position w:val="0"/>
          <w:sz w:val="20"/>
          <w:shd w:fill="auto" w:val="clear"/>
        </w:rPr>
        <w:t xml:space="preserve">. </w:t>
      </w:r>
    </w:p>
    <w:tbl>
      <w:tblPr/>
      <w:tblGrid>
        <w:gridCol w:w="5046"/>
        <w:gridCol w:w="5046"/>
      </w:tblGrid>
      <w:tr>
        <w:trPr>
          <w:trHeight w:val="1" w:hRule="atLeast"/>
          <w:jc w:val="left"/>
        </w:trPr>
        <w:tc>
          <w:tcPr>
            <w:tcW w:w="5046"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p>
            <w:pPr>
              <w:spacing w:before="60" w:after="16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Dijagram 53: Udio razmatranih energenata u potrebnoj finalnoj energiji za grijanje javnih zgrada koje nisu u vlasništvu Op</w:t>
            </w:r>
            <w:r>
              <w:rPr>
                <w:rFonts w:ascii="Calibri" w:hAnsi="Calibri" w:cs="Calibri" w:eastAsia="Calibri"/>
                <w:color w:val="auto"/>
                <w:spacing w:val="0"/>
                <w:position w:val="0"/>
                <w:sz w:val="18"/>
                <w:shd w:fill="auto" w:val="clear"/>
              </w:rPr>
              <w:t xml:space="preserve">ćine u baznoj godini</w:t>
            </w:r>
          </w:p>
        </w:tc>
        <w:tc>
          <w:tcPr>
            <w:tcW w:w="5046"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p>
            <w:pPr>
              <w:spacing w:before="60" w:after="16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Dijagram 54: Udio razmatranih energenata u godišnjim emisijama CO</w:t>
            </w:r>
            <w:r>
              <w:rPr>
                <w:rFonts w:ascii="Calibri" w:hAnsi="Calibri" w:cs="Calibri" w:eastAsia="Calibri"/>
                <w:color w:val="auto"/>
                <w:spacing w:val="0"/>
                <w:position w:val="0"/>
                <w:sz w:val="18"/>
                <w:shd w:fill="auto" w:val="clear"/>
                <w:vertAlign w:val="subscript"/>
              </w:rPr>
              <w:t xml:space="preserve">2 </w:t>
            </w:r>
            <w:r>
              <w:rPr>
                <w:rFonts w:ascii="Calibri" w:hAnsi="Calibri" w:cs="Calibri" w:eastAsia="Calibri"/>
                <w:color w:val="auto"/>
                <w:spacing w:val="0"/>
                <w:position w:val="0"/>
                <w:sz w:val="18"/>
                <w:shd w:fill="auto" w:val="clear"/>
              </w:rPr>
              <w:t xml:space="preserve">iz podsektora javnih zgrada koje nisu u vlasništvu Op</w:t>
            </w:r>
            <w:r>
              <w:rPr>
                <w:rFonts w:ascii="Calibri" w:hAnsi="Calibri" w:cs="Calibri" w:eastAsia="Calibri"/>
                <w:color w:val="auto"/>
                <w:spacing w:val="0"/>
                <w:position w:val="0"/>
                <w:sz w:val="18"/>
                <w:shd w:fill="auto" w:val="clear"/>
              </w:rPr>
              <w:t xml:space="preserve">ćine u baznoj godini</w:t>
            </w:r>
          </w:p>
        </w:tc>
      </w:tr>
    </w:tbl>
    <w:p>
      <w:pPr>
        <w:keepNext w:val="true"/>
        <w:keepLines w:val="true"/>
        <w:numPr>
          <w:ilvl w:val="0"/>
          <w:numId w:val="865"/>
        </w:numPr>
        <w:spacing w:before="120" w:after="0" w:line="240"/>
        <w:ind w:right="0" w:left="862" w:hanging="862"/>
        <w:jc w:val="both"/>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Emisije CO</w:t>
      </w:r>
      <w:r>
        <w:rPr>
          <w:rFonts w:ascii="Calibri" w:hAnsi="Calibri" w:cs="Calibri" w:eastAsia="Calibri"/>
          <w:b/>
          <w:color w:val="auto"/>
          <w:spacing w:val="0"/>
          <w:position w:val="0"/>
          <w:sz w:val="22"/>
          <w:shd w:fill="auto" w:val="clear"/>
          <w:vertAlign w:val="subscript"/>
        </w:rPr>
        <w:t xml:space="preserve">2 </w:t>
      </w:r>
      <w:r>
        <w:rPr>
          <w:rFonts w:ascii="Calibri" w:hAnsi="Calibri" w:cs="Calibri" w:eastAsia="Calibri"/>
          <w:b/>
          <w:color w:val="auto"/>
          <w:spacing w:val="0"/>
          <w:position w:val="0"/>
          <w:sz w:val="22"/>
          <w:shd w:fill="auto" w:val="clear"/>
        </w:rPr>
        <w:t xml:space="preserve">u baznoj godini iz podsektora stambenih zgrada </w:t>
      </w:r>
    </w:p>
    <w:p>
      <w:pPr>
        <w:spacing w:before="12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Ukupna korištena grijana površina svih stambenih zgrada na podru</w:t>
      </w:r>
      <w:r>
        <w:rPr>
          <w:rFonts w:ascii="Calibri" w:hAnsi="Calibri" w:cs="Calibri" w:eastAsia="Calibri"/>
          <w:color w:val="auto"/>
          <w:spacing w:val="0"/>
          <w:position w:val="0"/>
          <w:sz w:val="20"/>
          <w:shd w:fill="auto" w:val="clear"/>
        </w:rPr>
        <w:t xml:space="preserve">čju općine Doboj Istok je dobivena korištenjem podataka preuzetih iz </w:t>
      </w:r>
      <w:r>
        <w:rPr>
          <w:rFonts w:ascii="Calibri" w:hAnsi="Calibri" w:cs="Calibri" w:eastAsia="Calibri"/>
          <w:i/>
          <w:color w:val="auto"/>
          <w:spacing w:val="0"/>
          <w:position w:val="0"/>
          <w:sz w:val="20"/>
          <w:shd w:fill="auto" w:val="clear"/>
        </w:rPr>
        <w:t xml:space="preserve">Popisa stanovništva, domaćinstava i stanova u Bosni i Hercegovini</w:t>
      </w:r>
      <w:r>
        <w:rPr>
          <w:rFonts w:ascii="Calibri" w:hAnsi="Calibri" w:cs="Calibri" w:eastAsia="Calibri"/>
          <w:color w:val="auto"/>
          <w:spacing w:val="0"/>
          <w:position w:val="0"/>
          <w:sz w:val="20"/>
          <w:shd w:fill="auto" w:val="clear"/>
        </w:rPr>
        <w:t xml:space="preserve"> i iz </w:t>
      </w:r>
      <w:r>
        <w:rPr>
          <w:rFonts w:ascii="Calibri" w:hAnsi="Calibri" w:cs="Calibri" w:eastAsia="Calibri"/>
          <w:i/>
          <w:color w:val="auto"/>
          <w:spacing w:val="0"/>
          <w:position w:val="0"/>
          <w:sz w:val="20"/>
          <w:shd w:fill="auto" w:val="clear"/>
        </w:rPr>
        <w:t xml:space="preserve">Tipologije stambenih zgrada Bosne i Hercegovine</w:t>
      </w:r>
      <w:r>
        <w:rPr>
          <w:rFonts w:ascii="Calibri" w:hAnsi="Calibri" w:cs="Calibri" w:eastAsia="Calibri"/>
          <w:color w:val="auto"/>
          <w:spacing w:val="0"/>
          <w:position w:val="0"/>
          <w:sz w:val="20"/>
          <w:shd w:fill="auto" w:val="clear"/>
        </w:rPr>
        <w:t xml:space="preserve">. Ova površina određena je na slijedeći način:</w:t>
      </w:r>
    </w:p>
    <w:p>
      <w:pPr>
        <w:numPr>
          <w:ilvl w:val="0"/>
          <w:numId w:val="867"/>
        </w:numPr>
        <w:spacing w:before="60" w:after="0" w:line="240"/>
        <w:ind w:right="0" w:left="714" w:hanging="357"/>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Najprije je iz </w:t>
      </w:r>
      <w:r>
        <w:rPr>
          <w:rFonts w:ascii="Calibri" w:hAnsi="Calibri" w:cs="Calibri" w:eastAsia="Calibri"/>
          <w:i/>
          <w:color w:val="auto"/>
          <w:spacing w:val="0"/>
          <w:position w:val="0"/>
          <w:sz w:val="20"/>
          <w:shd w:fill="auto" w:val="clear"/>
        </w:rPr>
        <w:t xml:space="preserve">Popisa stanovništva, doma</w:t>
      </w:r>
      <w:r>
        <w:rPr>
          <w:rFonts w:ascii="Calibri" w:hAnsi="Calibri" w:cs="Calibri" w:eastAsia="Calibri"/>
          <w:i/>
          <w:color w:val="auto"/>
          <w:spacing w:val="0"/>
          <w:position w:val="0"/>
          <w:sz w:val="20"/>
          <w:shd w:fill="auto" w:val="clear"/>
        </w:rPr>
        <w:t xml:space="preserve">ćinstava i stanova u Bosni i Hercegovini</w:t>
      </w:r>
      <w:r>
        <w:rPr>
          <w:rFonts w:ascii="Calibri" w:hAnsi="Calibri" w:cs="Calibri" w:eastAsia="Calibri"/>
          <w:color w:val="auto"/>
          <w:spacing w:val="0"/>
          <w:position w:val="0"/>
          <w:sz w:val="20"/>
          <w:shd w:fill="auto" w:val="clear"/>
        </w:rPr>
        <w:t xml:space="preserve"> preuzet ukupan broj stambenih zgrada koje su na području općine Doboj Istok izgrađene zaključno sa 2010. godinom. Pošto je u Popisu dat i broj zgrada izgrađenih u pojedinačnim desetogodišnjim periodima izgradnje, za ukupan broj zgrada u Doboj Istoku nisu razmatrane zgrade izgrađene u periodu nakon 2010. godine. Dobiven je i ukupan broj zgrada za svaki tip zgrada razmatran u Popisu, što uključuje: (a) slobodnostojeće kuće sa jednim ili dva stana, (b) kuće u nizu, i (c) stambene zgrade sa tri i više stanova.</w:t>
      </w:r>
    </w:p>
    <w:p>
      <w:pPr>
        <w:numPr>
          <w:ilvl w:val="0"/>
          <w:numId w:val="867"/>
        </w:numPr>
        <w:spacing w:before="60" w:after="0" w:line="240"/>
        <w:ind w:right="0" w:left="714" w:hanging="357"/>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Nakon toga je izvršen prora</w:t>
      </w:r>
      <w:r>
        <w:rPr>
          <w:rFonts w:ascii="Calibri" w:hAnsi="Calibri" w:cs="Calibri" w:eastAsia="Calibri"/>
          <w:color w:val="auto"/>
          <w:spacing w:val="0"/>
          <w:position w:val="0"/>
          <w:sz w:val="20"/>
          <w:shd w:fill="auto" w:val="clear"/>
        </w:rPr>
        <w:t xml:space="preserve">čun ukupne neto površine stambenih zgrada, koji je dobiven tako što je  ukupan broj zgrada na području Doboj Istoka pomnožen sa vrijednostima neto površina grijanog prostora jedne zgrade, koje su u </w:t>
      </w:r>
      <w:r>
        <w:rPr>
          <w:rFonts w:ascii="Calibri" w:hAnsi="Calibri" w:cs="Calibri" w:eastAsia="Calibri"/>
          <w:i/>
          <w:color w:val="auto"/>
          <w:spacing w:val="0"/>
          <w:position w:val="0"/>
          <w:sz w:val="20"/>
          <w:shd w:fill="auto" w:val="clear"/>
        </w:rPr>
        <w:t xml:space="preserve">Tipologiji stambenih zgrada Bosne i Hercegovine</w:t>
      </w:r>
      <w:r>
        <w:rPr>
          <w:rFonts w:ascii="Calibri" w:hAnsi="Calibri" w:cs="Calibri" w:eastAsia="Calibri"/>
          <w:color w:val="auto"/>
          <w:spacing w:val="0"/>
          <w:position w:val="0"/>
          <w:sz w:val="20"/>
          <w:shd w:fill="auto" w:val="clear"/>
        </w:rPr>
        <w:t xml:space="preserve"> date za svaki pojedinačni tip zgrade.</w:t>
      </w:r>
    </w:p>
    <w:p>
      <w:pPr>
        <w:numPr>
          <w:ilvl w:val="0"/>
          <w:numId w:val="867"/>
        </w:numPr>
        <w:spacing w:before="60" w:after="0" w:line="240"/>
        <w:ind w:right="0" w:left="714" w:hanging="357"/>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Nakon toga je dobivena vrijednost ukupne neto površine stambenih zgrada u Doboj Istoku pomnožena sa koeficijentom 0.66, preuzetim iz </w:t>
      </w:r>
      <w:r>
        <w:rPr>
          <w:rFonts w:ascii="Calibri" w:hAnsi="Calibri" w:cs="Calibri" w:eastAsia="Calibri"/>
          <w:i/>
          <w:color w:val="auto"/>
          <w:spacing w:val="0"/>
          <w:position w:val="0"/>
          <w:sz w:val="20"/>
          <w:shd w:fill="auto" w:val="clear"/>
        </w:rPr>
        <w:t xml:space="preserve">Strategije obnove zgrada u Federaciji BiH za period do 2050. godine</w:t>
      </w:r>
      <w:r>
        <w:rPr>
          <w:rFonts w:ascii="Calibri" w:hAnsi="Calibri" w:cs="Calibri" w:eastAsia="Calibri"/>
          <w:color w:val="auto"/>
          <w:spacing w:val="0"/>
          <w:position w:val="0"/>
          <w:sz w:val="20"/>
          <w:shd w:fill="auto" w:val="clear"/>
        </w:rPr>
        <w:t xml:space="preserve">, kako bi se dobila </w:t>
      </w:r>
      <w:r>
        <w:rPr>
          <w:rFonts w:ascii="Calibri" w:hAnsi="Calibri" w:cs="Calibri" w:eastAsia="Calibri"/>
          <w:b/>
          <w:color w:val="auto"/>
          <w:spacing w:val="0"/>
          <w:position w:val="0"/>
          <w:sz w:val="20"/>
          <w:shd w:fill="auto" w:val="clear"/>
        </w:rPr>
        <w:t xml:space="preserve">korištena</w:t>
      </w:r>
      <w:r>
        <w:rPr>
          <w:rFonts w:ascii="Calibri" w:hAnsi="Calibri" w:cs="Calibri" w:eastAsia="Calibri"/>
          <w:color w:val="auto"/>
          <w:spacing w:val="0"/>
          <w:position w:val="0"/>
          <w:sz w:val="20"/>
          <w:shd w:fill="auto" w:val="clear"/>
        </w:rPr>
        <w:t xml:space="preserve"> grijana površina stambenog prostora. </w:t>
      </w:r>
    </w:p>
    <w:p>
      <w:pPr>
        <w:spacing w:before="60" w:after="12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Naredna tabela prikazuje ukupnu korištenu grijanu površinu zgrada u ovom podsektoru u baznoj 2010. godini, kao i površine razvrstane prema tipovima zgrada i periodima njihove izgradnje koji su korišteni u Popisu.  </w:t>
      </w:r>
    </w:p>
    <w:tbl>
      <w:tblPr/>
      <w:tblGrid>
        <w:gridCol w:w="1256"/>
        <w:gridCol w:w="2735"/>
        <w:gridCol w:w="2735"/>
        <w:gridCol w:w="2736"/>
      </w:tblGrid>
      <w:tr>
        <w:trPr>
          <w:trHeight w:val="288" w:hRule="auto"/>
          <w:jc w:val="left"/>
        </w:trPr>
        <w:tc>
          <w:tcPr>
            <w:tcW w:w="1256" w:type="dxa"/>
            <w:vMerge w:val="restart"/>
            <w:tcBorders>
              <w:top w:val="single" w:color="000000" w:sz="4"/>
              <w:left w:val="single" w:color="000000" w:sz="4"/>
              <w:bottom w:val="single" w:color="000000" w:sz="0"/>
              <w:right w:val="single" w:color="000000" w:sz="4"/>
            </w:tcBorders>
            <w:shd w:color="000000" w:fill="bdd7ee" w:val="clear"/>
            <w:tcMar>
              <w:left w:w="28" w:type="dxa"/>
              <w:right w:w="2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Period izgradnje</w:t>
            </w:r>
          </w:p>
        </w:tc>
        <w:tc>
          <w:tcPr>
            <w:tcW w:w="8206" w:type="dxa"/>
            <w:gridSpan w:val="3"/>
            <w:tcBorders>
              <w:top w:val="single" w:color="000000" w:sz="4"/>
              <w:left w:val="single" w:color="000000" w:sz="0"/>
              <w:bottom w:val="single" w:color="000000" w:sz="4"/>
              <w:right w:val="single" w:color="000000" w:sz="4"/>
            </w:tcBorders>
            <w:shd w:color="auto" w:fill="bdd6ee"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Grijana površina (m</w:t>
            </w:r>
            <w:r>
              <w:rPr>
                <w:rFonts w:ascii="Calibri" w:hAnsi="Calibri" w:cs="Calibri" w:eastAsia="Calibri"/>
                <w:color w:val="000000"/>
                <w:spacing w:val="0"/>
                <w:position w:val="0"/>
                <w:sz w:val="18"/>
                <w:shd w:fill="auto" w:val="clear"/>
                <w:vertAlign w:val="superscript"/>
              </w:rPr>
              <w:t xml:space="preserve">2</w:t>
            </w:r>
            <w:r>
              <w:rPr>
                <w:rFonts w:ascii="Calibri" w:hAnsi="Calibri" w:cs="Calibri" w:eastAsia="Calibri"/>
                <w:color w:val="000000"/>
                <w:spacing w:val="0"/>
                <w:position w:val="0"/>
                <w:sz w:val="18"/>
                <w:shd w:fill="auto" w:val="clear"/>
              </w:rPr>
              <w:t xml:space="preserve">)</w:t>
            </w:r>
          </w:p>
        </w:tc>
      </w:tr>
      <w:tr>
        <w:trPr>
          <w:trHeight w:val="288" w:hRule="auto"/>
          <w:jc w:val="left"/>
        </w:trPr>
        <w:tc>
          <w:tcPr>
            <w:tcW w:w="1256" w:type="dxa"/>
            <w:vMerge/>
            <w:tcBorders>
              <w:top w:val="single" w:color="000000" w:sz="0"/>
              <w:left w:val="single" w:color="000000" w:sz="4"/>
              <w:bottom w:val="single" w:color="000000" w:sz="4"/>
              <w:right w:val="single" w:color="000000" w:sz="4"/>
            </w:tcBorders>
            <w:shd w:color="000000" w:fill="bdd7ee" w:val="clear"/>
            <w:tcMar>
              <w:left w:w="28" w:type="dxa"/>
              <w:right w:w="28"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2735" w:type="dxa"/>
            <w:tcBorders>
              <w:top w:val="single" w:color="000000" w:sz="4"/>
              <w:left w:val="single" w:color="000000" w:sz="0"/>
              <w:bottom w:val="single" w:color="000000" w:sz="4"/>
              <w:right w:val="single" w:color="000000" w:sz="4"/>
            </w:tcBorders>
            <w:shd w:color="auto" w:fill="bdd6ee" w:val="clear"/>
            <w:tcMar>
              <w:left w:w="28" w:type="dxa"/>
              <w:right w:w="28" w:type="dxa"/>
            </w:tcMar>
            <w:vAlign w:val="center"/>
          </w:tcPr>
          <w:p>
            <w:pPr>
              <w:spacing w:before="0" w:after="0" w:line="240"/>
              <w:ind w:right="0" w:left="0" w:firstLine="0"/>
              <w:jc w:val="center"/>
              <w:rPr>
                <w:rFonts w:ascii="Calibri" w:hAnsi="Calibri" w:cs="Calibri" w:eastAsia="Calibri"/>
                <w:color w:val="000000"/>
                <w:spacing w:val="0"/>
                <w:position w:val="0"/>
                <w:sz w:val="18"/>
                <w:shd w:fill="auto" w:val="clear"/>
              </w:rPr>
            </w:pPr>
            <w:r>
              <w:rPr>
                <w:rFonts w:ascii="Calibri" w:hAnsi="Calibri" w:cs="Calibri" w:eastAsia="Calibri"/>
                <w:color w:val="000000"/>
                <w:spacing w:val="0"/>
                <w:position w:val="0"/>
                <w:sz w:val="18"/>
                <w:shd w:fill="auto" w:val="clear"/>
              </w:rPr>
              <w:t xml:space="preserve">Slobodnostoje</w:t>
            </w:r>
            <w:r>
              <w:rPr>
                <w:rFonts w:ascii="Calibri" w:hAnsi="Calibri" w:cs="Calibri" w:eastAsia="Calibri"/>
                <w:color w:val="000000"/>
                <w:spacing w:val="0"/>
                <w:position w:val="0"/>
                <w:sz w:val="18"/>
                <w:shd w:fill="auto" w:val="clear"/>
              </w:rPr>
              <w:t xml:space="preserve">će kuće sa </w:t>
            </w:r>
          </w:p>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jednim ili dva stana</w:t>
            </w:r>
          </w:p>
        </w:tc>
        <w:tc>
          <w:tcPr>
            <w:tcW w:w="2735" w:type="dxa"/>
            <w:tcBorders>
              <w:top w:val="single" w:color="000000" w:sz="4"/>
              <w:left w:val="single" w:color="000000" w:sz="0"/>
              <w:bottom w:val="single" w:color="000000" w:sz="4"/>
              <w:right w:val="single" w:color="000000" w:sz="4"/>
            </w:tcBorders>
            <w:shd w:color="auto" w:fill="bdd6ee"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Ku</w:t>
            </w:r>
            <w:r>
              <w:rPr>
                <w:rFonts w:ascii="Calibri" w:hAnsi="Calibri" w:cs="Calibri" w:eastAsia="Calibri"/>
                <w:color w:val="000000"/>
                <w:spacing w:val="0"/>
                <w:position w:val="0"/>
                <w:sz w:val="18"/>
                <w:shd w:fill="auto" w:val="clear"/>
              </w:rPr>
              <w:t xml:space="preserve">će u nizu          </w:t>
            </w:r>
          </w:p>
        </w:tc>
        <w:tc>
          <w:tcPr>
            <w:tcW w:w="2736" w:type="dxa"/>
            <w:tcBorders>
              <w:top w:val="single" w:color="000000" w:sz="4"/>
              <w:left w:val="single" w:color="000000" w:sz="0"/>
              <w:bottom w:val="single" w:color="000000" w:sz="4"/>
              <w:right w:val="single" w:color="000000" w:sz="4"/>
            </w:tcBorders>
            <w:shd w:color="auto" w:fill="bdd6ee" w:val="clear"/>
            <w:tcMar>
              <w:left w:w="28" w:type="dxa"/>
              <w:right w:w="28" w:type="dxa"/>
            </w:tcMar>
            <w:vAlign w:val="center"/>
          </w:tcPr>
          <w:p>
            <w:pPr>
              <w:spacing w:before="0" w:after="0" w:line="240"/>
              <w:ind w:right="0" w:left="0" w:firstLine="0"/>
              <w:jc w:val="center"/>
              <w:rPr>
                <w:rFonts w:ascii="Calibri" w:hAnsi="Calibri" w:cs="Calibri" w:eastAsia="Calibri"/>
                <w:color w:val="000000"/>
                <w:spacing w:val="0"/>
                <w:position w:val="0"/>
                <w:sz w:val="18"/>
                <w:shd w:fill="auto" w:val="clear"/>
              </w:rPr>
            </w:pPr>
            <w:r>
              <w:rPr>
                <w:rFonts w:ascii="Calibri" w:hAnsi="Calibri" w:cs="Calibri" w:eastAsia="Calibri"/>
                <w:color w:val="000000"/>
                <w:spacing w:val="0"/>
                <w:position w:val="0"/>
                <w:sz w:val="18"/>
                <w:shd w:fill="auto" w:val="clear"/>
              </w:rPr>
              <w:t xml:space="preserve">Stambene zgrade sa tri ili više </w:t>
            </w:r>
          </w:p>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stanova</w:t>
            </w:r>
          </w:p>
        </w:tc>
      </w:tr>
      <w:tr>
        <w:trPr>
          <w:trHeight w:val="227" w:hRule="auto"/>
          <w:jc w:val="left"/>
        </w:trPr>
        <w:tc>
          <w:tcPr>
            <w:tcW w:w="1256" w:type="dxa"/>
            <w:tcBorders>
              <w:top w:val="single" w:color="000000" w:sz="4"/>
              <w:left w:val="single" w:color="000000" w:sz="4"/>
              <w:bottom w:val="single" w:color="000000" w:sz="4"/>
              <w:right w:val="single" w:color="000000" w:sz="4"/>
            </w:tcBorders>
            <w:shd w:color="000000" w:fill="bdd7ee" w:val="clear"/>
            <w:tcMar>
              <w:left w:w="28" w:type="dxa"/>
              <w:right w:w="2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Do 1945</w:t>
            </w:r>
          </w:p>
        </w:tc>
        <w:tc>
          <w:tcPr>
            <w:tcW w:w="2735" w:type="dxa"/>
            <w:tcBorders>
              <w:top w:val="single" w:color="000000" w:sz="4"/>
              <w:left w:val="single" w:color="000000" w:sz="0"/>
              <w:bottom w:val="single" w:color="000000" w:sz="4"/>
              <w:right w:val="single" w:color="000000" w:sz="4"/>
            </w:tcBorders>
            <w:shd w:color="auto" w:fill="auto"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1.087,48</w:t>
            </w:r>
          </w:p>
        </w:tc>
        <w:tc>
          <w:tcPr>
            <w:tcW w:w="2735" w:type="dxa"/>
            <w:tcBorders>
              <w:top w:val="single" w:color="000000" w:sz="4"/>
              <w:left w:val="single" w:color="000000" w:sz="0"/>
              <w:bottom w:val="single" w:color="000000" w:sz="4"/>
              <w:right w:val="single" w:color="000000" w:sz="4"/>
            </w:tcBorders>
            <w:shd w:color="auto" w:fill="auto"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0,00</w:t>
            </w:r>
          </w:p>
        </w:tc>
        <w:tc>
          <w:tcPr>
            <w:tcW w:w="2736" w:type="dxa"/>
            <w:tcBorders>
              <w:top w:val="single" w:color="000000" w:sz="4"/>
              <w:left w:val="single" w:color="000000" w:sz="0"/>
              <w:bottom w:val="single" w:color="000000" w:sz="4"/>
              <w:right w:val="single" w:color="000000" w:sz="4"/>
            </w:tcBorders>
            <w:shd w:color="auto" w:fill="auto"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0,00</w:t>
            </w:r>
          </w:p>
        </w:tc>
      </w:tr>
      <w:tr>
        <w:trPr>
          <w:trHeight w:val="227" w:hRule="auto"/>
          <w:jc w:val="left"/>
        </w:trPr>
        <w:tc>
          <w:tcPr>
            <w:tcW w:w="1256" w:type="dxa"/>
            <w:tcBorders>
              <w:top w:val="single" w:color="000000" w:sz="0"/>
              <w:left w:val="single" w:color="000000" w:sz="4"/>
              <w:bottom w:val="single" w:color="000000" w:sz="4"/>
              <w:right w:val="single" w:color="000000" w:sz="4"/>
            </w:tcBorders>
            <w:shd w:color="000000" w:fill="bdd7ee" w:val="clear"/>
            <w:tcMar>
              <w:left w:w="28" w:type="dxa"/>
              <w:right w:w="2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1946 do 1960</w:t>
            </w:r>
          </w:p>
        </w:tc>
        <w:tc>
          <w:tcPr>
            <w:tcW w:w="2735" w:type="dxa"/>
            <w:tcBorders>
              <w:top w:val="single" w:color="000000" w:sz="0"/>
              <w:left w:val="single" w:color="000000" w:sz="0"/>
              <w:bottom w:val="single" w:color="000000" w:sz="4"/>
              <w:right w:val="single" w:color="000000" w:sz="4"/>
            </w:tcBorders>
            <w:shd w:color="auto" w:fill="auto"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2.271,54</w:t>
            </w:r>
          </w:p>
        </w:tc>
        <w:tc>
          <w:tcPr>
            <w:tcW w:w="2735" w:type="dxa"/>
            <w:tcBorders>
              <w:top w:val="single" w:color="000000" w:sz="0"/>
              <w:left w:val="single" w:color="000000" w:sz="0"/>
              <w:bottom w:val="single" w:color="000000" w:sz="4"/>
              <w:right w:val="single" w:color="000000" w:sz="4"/>
            </w:tcBorders>
            <w:shd w:color="auto" w:fill="auto"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0,00</w:t>
            </w:r>
          </w:p>
        </w:tc>
        <w:tc>
          <w:tcPr>
            <w:tcW w:w="2736" w:type="dxa"/>
            <w:tcBorders>
              <w:top w:val="single" w:color="000000" w:sz="0"/>
              <w:left w:val="single" w:color="000000" w:sz="0"/>
              <w:bottom w:val="single" w:color="000000" w:sz="4"/>
              <w:right w:val="single" w:color="000000" w:sz="4"/>
            </w:tcBorders>
            <w:shd w:color="auto" w:fill="auto"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0,00</w:t>
            </w:r>
          </w:p>
        </w:tc>
      </w:tr>
      <w:tr>
        <w:trPr>
          <w:trHeight w:val="227" w:hRule="auto"/>
          <w:jc w:val="left"/>
        </w:trPr>
        <w:tc>
          <w:tcPr>
            <w:tcW w:w="1256" w:type="dxa"/>
            <w:tcBorders>
              <w:top w:val="single" w:color="000000" w:sz="0"/>
              <w:left w:val="single" w:color="000000" w:sz="4"/>
              <w:bottom w:val="single" w:color="000000" w:sz="4"/>
              <w:right w:val="single" w:color="000000" w:sz="4"/>
            </w:tcBorders>
            <w:shd w:color="000000" w:fill="bdd7ee" w:val="clear"/>
            <w:tcMar>
              <w:left w:w="28" w:type="dxa"/>
              <w:right w:w="2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1961 do 1970</w:t>
            </w:r>
          </w:p>
        </w:tc>
        <w:tc>
          <w:tcPr>
            <w:tcW w:w="2735" w:type="dxa"/>
            <w:tcBorders>
              <w:top w:val="single" w:color="000000" w:sz="0"/>
              <w:left w:val="single" w:color="000000" w:sz="0"/>
              <w:bottom w:val="single" w:color="000000" w:sz="4"/>
              <w:right w:val="single" w:color="000000" w:sz="4"/>
            </w:tcBorders>
            <w:shd w:color="auto" w:fill="auto"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12.397,04</w:t>
            </w:r>
          </w:p>
        </w:tc>
        <w:tc>
          <w:tcPr>
            <w:tcW w:w="2735" w:type="dxa"/>
            <w:tcBorders>
              <w:top w:val="single" w:color="000000" w:sz="0"/>
              <w:left w:val="single" w:color="000000" w:sz="0"/>
              <w:bottom w:val="single" w:color="000000" w:sz="4"/>
              <w:right w:val="single" w:color="000000" w:sz="4"/>
            </w:tcBorders>
            <w:shd w:color="auto" w:fill="auto"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78,99</w:t>
            </w:r>
          </w:p>
        </w:tc>
        <w:tc>
          <w:tcPr>
            <w:tcW w:w="2736" w:type="dxa"/>
            <w:tcBorders>
              <w:top w:val="single" w:color="000000" w:sz="0"/>
              <w:left w:val="single" w:color="000000" w:sz="0"/>
              <w:bottom w:val="single" w:color="000000" w:sz="4"/>
              <w:right w:val="single" w:color="000000" w:sz="4"/>
            </w:tcBorders>
            <w:shd w:color="auto" w:fill="auto"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1.658,78</w:t>
            </w:r>
          </w:p>
        </w:tc>
      </w:tr>
      <w:tr>
        <w:trPr>
          <w:trHeight w:val="227" w:hRule="auto"/>
          <w:jc w:val="left"/>
        </w:trPr>
        <w:tc>
          <w:tcPr>
            <w:tcW w:w="1256" w:type="dxa"/>
            <w:tcBorders>
              <w:top w:val="single" w:color="000000" w:sz="0"/>
              <w:left w:val="single" w:color="000000" w:sz="4"/>
              <w:bottom w:val="single" w:color="000000" w:sz="4"/>
              <w:right w:val="single" w:color="000000" w:sz="4"/>
            </w:tcBorders>
            <w:shd w:color="000000" w:fill="bdd7ee" w:val="clear"/>
            <w:tcMar>
              <w:left w:w="28" w:type="dxa"/>
              <w:right w:w="2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1971 do 1980</w:t>
            </w:r>
          </w:p>
        </w:tc>
        <w:tc>
          <w:tcPr>
            <w:tcW w:w="2735" w:type="dxa"/>
            <w:tcBorders>
              <w:top w:val="single" w:color="000000" w:sz="0"/>
              <w:left w:val="single" w:color="000000" w:sz="0"/>
              <w:bottom w:val="single" w:color="000000" w:sz="4"/>
              <w:right w:val="single" w:color="000000" w:sz="4"/>
            </w:tcBorders>
            <w:shd w:color="auto" w:fill="auto"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32.836,83</w:t>
            </w:r>
          </w:p>
        </w:tc>
        <w:tc>
          <w:tcPr>
            <w:tcW w:w="2735" w:type="dxa"/>
            <w:tcBorders>
              <w:top w:val="single" w:color="000000" w:sz="0"/>
              <w:left w:val="single" w:color="000000" w:sz="0"/>
              <w:bottom w:val="single" w:color="000000" w:sz="4"/>
              <w:right w:val="single" w:color="000000" w:sz="4"/>
            </w:tcBorders>
            <w:shd w:color="auto" w:fill="auto"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174,45</w:t>
            </w:r>
          </w:p>
        </w:tc>
        <w:tc>
          <w:tcPr>
            <w:tcW w:w="2736" w:type="dxa"/>
            <w:tcBorders>
              <w:top w:val="single" w:color="000000" w:sz="0"/>
              <w:left w:val="single" w:color="000000" w:sz="0"/>
              <w:bottom w:val="single" w:color="000000" w:sz="4"/>
              <w:right w:val="single" w:color="000000" w:sz="4"/>
            </w:tcBorders>
            <w:shd w:color="auto" w:fill="auto"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10.014,34</w:t>
            </w:r>
          </w:p>
        </w:tc>
      </w:tr>
      <w:tr>
        <w:trPr>
          <w:trHeight w:val="227" w:hRule="auto"/>
          <w:jc w:val="left"/>
        </w:trPr>
        <w:tc>
          <w:tcPr>
            <w:tcW w:w="1256" w:type="dxa"/>
            <w:tcBorders>
              <w:top w:val="single" w:color="000000" w:sz="0"/>
              <w:left w:val="single" w:color="000000" w:sz="4"/>
              <w:bottom w:val="single" w:color="000000" w:sz="4"/>
              <w:right w:val="single" w:color="000000" w:sz="4"/>
            </w:tcBorders>
            <w:shd w:color="000000" w:fill="bdd7ee" w:val="clear"/>
            <w:tcMar>
              <w:left w:w="28" w:type="dxa"/>
              <w:right w:w="2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1981 do 1990</w:t>
            </w:r>
          </w:p>
        </w:tc>
        <w:tc>
          <w:tcPr>
            <w:tcW w:w="2735" w:type="dxa"/>
            <w:tcBorders>
              <w:top w:val="single" w:color="000000" w:sz="0"/>
              <w:left w:val="single" w:color="000000" w:sz="0"/>
              <w:bottom w:val="single" w:color="000000" w:sz="4"/>
              <w:right w:val="single" w:color="000000" w:sz="4"/>
            </w:tcBorders>
            <w:shd w:color="auto" w:fill="auto"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50.659,07</w:t>
            </w:r>
          </w:p>
        </w:tc>
        <w:tc>
          <w:tcPr>
            <w:tcW w:w="2735" w:type="dxa"/>
            <w:tcBorders>
              <w:top w:val="single" w:color="000000" w:sz="0"/>
              <w:left w:val="single" w:color="000000" w:sz="0"/>
              <w:bottom w:val="single" w:color="000000" w:sz="4"/>
              <w:right w:val="single" w:color="000000" w:sz="4"/>
            </w:tcBorders>
            <w:shd w:color="auto" w:fill="auto"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0,00</w:t>
            </w:r>
          </w:p>
        </w:tc>
        <w:tc>
          <w:tcPr>
            <w:tcW w:w="2736" w:type="dxa"/>
            <w:tcBorders>
              <w:top w:val="single" w:color="000000" w:sz="0"/>
              <w:left w:val="single" w:color="000000" w:sz="0"/>
              <w:bottom w:val="single" w:color="000000" w:sz="4"/>
              <w:right w:val="single" w:color="000000" w:sz="4"/>
            </w:tcBorders>
            <w:shd w:color="auto" w:fill="auto"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52.737,75</w:t>
            </w:r>
          </w:p>
        </w:tc>
      </w:tr>
      <w:tr>
        <w:trPr>
          <w:trHeight w:val="227" w:hRule="auto"/>
          <w:jc w:val="left"/>
        </w:trPr>
        <w:tc>
          <w:tcPr>
            <w:tcW w:w="1256" w:type="dxa"/>
            <w:tcBorders>
              <w:top w:val="single" w:color="000000" w:sz="0"/>
              <w:left w:val="single" w:color="000000" w:sz="4"/>
              <w:bottom w:val="single" w:color="000000" w:sz="4"/>
              <w:right w:val="single" w:color="000000" w:sz="4"/>
            </w:tcBorders>
            <w:shd w:color="000000" w:fill="bdd7ee" w:val="clear"/>
            <w:tcMar>
              <w:left w:w="28" w:type="dxa"/>
              <w:right w:w="2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1991 do 2000</w:t>
            </w:r>
          </w:p>
        </w:tc>
        <w:tc>
          <w:tcPr>
            <w:tcW w:w="2735" w:type="dxa"/>
            <w:tcBorders>
              <w:top w:val="single" w:color="000000" w:sz="0"/>
              <w:left w:val="single" w:color="000000" w:sz="0"/>
              <w:bottom w:val="single" w:color="000000" w:sz="4"/>
              <w:right w:val="single" w:color="000000" w:sz="4"/>
            </w:tcBorders>
            <w:shd w:color="auto" w:fill="auto"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40.345,02</w:t>
            </w:r>
          </w:p>
        </w:tc>
        <w:tc>
          <w:tcPr>
            <w:tcW w:w="2735" w:type="dxa"/>
            <w:tcBorders>
              <w:top w:val="single" w:color="000000" w:sz="0"/>
              <w:left w:val="single" w:color="000000" w:sz="0"/>
              <w:bottom w:val="single" w:color="000000" w:sz="4"/>
              <w:right w:val="single" w:color="000000" w:sz="4"/>
            </w:tcBorders>
            <w:shd w:color="auto" w:fill="auto"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0</w:t>
            </w:r>
          </w:p>
        </w:tc>
        <w:tc>
          <w:tcPr>
            <w:tcW w:w="2736" w:type="dxa"/>
            <w:tcBorders>
              <w:top w:val="single" w:color="000000" w:sz="0"/>
              <w:left w:val="single" w:color="000000" w:sz="0"/>
              <w:bottom w:val="single" w:color="000000" w:sz="4"/>
              <w:right w:val="single" w:color="000000" w:sz="4"/>
            </w:tcBorders>
            <w:shd w:color="auto" w:fill="auto"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9.091,60</w:t>
            </w:r>
          </w:p>
        </w:tc>
      </w:tr>
      <w:tr>
        <w:trPr>
          <w:trHeight w:val="227" w:hRule="auto"/>
          <w:jc w:val="left"/>
        </w:trPr>
        <w:tc>
          <w:tcPr>
            <w:tcW w:w="1256" w:type="dxa"/>
            <w:tcBorders>
              <w:top w:val="single" w:color="000000" w:sz="0"/>
              <w:left w:val="single" w:color="000000" w:sz="4"/>
              <w:bottom w:val="single" w:color="000000" w:sz="4"/>
              <w:right w:val="single" w:color="000000" w:sz="4"/>
            </w:tcBorders>
            <w:shd w:color="000000" w:fill="bdd7ee" w:val="clear"/>
            <w:tcMar>
              <w:left w:w="28" w:type="dxa"/>
              <w:right w:w="2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2001 do 2010</w:t>
            </w:r>
          </w:p>
        </w:tc>
        <w:tc>
          <w:tcPr>
            <w:tcW w:w="2735" w:type="dxa"/>
            <w:tcBorders>
              <w:top w:val="single" w:color="000000" w:sz="0"/>
              <w:left w:val="single" w:color="000000" w:sz="0"/>
              <w:bottom w:val="single" w:color="000000" w:sz="4"/>
              <w:right w:val="single" w:color="000000" w:sz="4"/>
            </w:tcBorders>
            <w:shd w:color="auto" w:fill="auto"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49.686,38</w:t>
            </w:r>
          </w:p>
        </w:tc>
        <w:tc>
          <w:tcPr>
            <w:tcW w:w="2735" w:type="dxa"/>
            <w:tcBorders>
              <w:top w:val="single" w:color="000000" w:sz="0"/>
              <w:left w:val="single" w:color="000000" w:sz="0"/>
              <w:bottom w:val="single" w:color="000000" w:sz="4"/>
              <w:right w:val="single" w:color="000000" w:sz="4"/>
            </w:tcBorders>
            <w:shd w:color="auto" w:fill="auto"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0</w:t>
            </w:r>
          </w:p>
        </w:tc>
        <w:tc>
          <w:tcPr>
            <w:tcW w:w="2736" w:type="dxa"/>
            <w:tcBorders>
              <w:top w:val="single" w:color="000000" w:sz="0"/>
              <w:left w:val="single" w:color="000000" w:sz="0"/>
              <w:bottom w:val="single" w:color="000000" w:sz="4"/>
              <w:right w:val="single" w:color="000000" w:sz="4"/>
            </w:tcBorders>
            <w:shd w:color="auto" w:fill="auto"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6.364,12</w:t>
            </w:r>
          </w:p>
        </w:tc>
      </w:tr>
      <w:tr>
        <w:trPr>
          <w:trHeight w:val="227" w:hRule="auto"/>
          <w:jc w:val="left"/>
        </w:trPr>
        <w:tc>
          <w:tcPr>
            <w:tcW w:w="1256" w:type="dxa"/>
            <w:tcBorders>
              <w:top w:val="single" w:color="000000" w:sz="0"/>
              <w:left w:val="single" w:color="000000" w:sz="4"/>
              <w:bottom w:val="single" w:color="000000" w:sz="4"/>
              <w:right w:val="single" w:color="000000" w:sz="4"/>
            </w:tcBorders>
            <w:shd w:color="000000" w:fill="9bc2e6" w:val="clear"/>
            <w:tcMar>
              <w:left w:w="28" w:type="dxa"/>
              <w:right w:w="28" w:type="dxa"/>
            </w:tcMar>
            <w:vAlign w:val="center"/>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UKUPNO</w:t>
            </w:r>
          </w:p>
        </w:tc>
        <w:tc>
          <w:tcPr>
            <w:tcW w:w="2735" w:type="dxa"/>
            <w:tcBorders>
              <w:top w:val="single" w:color="000000" w:sz="0"/>
              <w:left w:val="single" w:color="000000" w:sz="0"/>
              <w:bottom w:val="single" w:color="000000" w:sz="4"/>
              <w:right w:val="single" w:color="000000" w:sz="4"/>
            </w:tcBorders>
            <w:shd w:color="auto" w:fill="deeaf6"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189.283</w:t>
            </w:r>
          </w:p>
        </w:tc>
        <w:tc>
          <w:tcPr>
            <w:tcW w:w="2735" w:type="dxa"/>
            <w:tcBorders>
              <w:top w:val="single" w:color="000000" w:sz="0"/>
              <w:left w:val="single" w:color="000000" w:sz="0"/>
              <w:bottom w:val="single" w:color="000000" w:sz="4"/>
              <w:right w:val="single" w:color="000000" w:sz="4"/>
            </w:tcBorders>
            <w:shd w:color="auto" w:fill="deeaf6"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253</w:t>
            </w:r>
          </w:p>
        </w:tc>
        <w:tc>
          <w:tcPr>
            <w:tcW w:w="2736" w:type="dxa"/>
            <w:tcBorders>
              <w:top w:val="single" w:color="000000" w:sz="0"/>
              <w:left w:val="single" w:color="000000" w:sz="0"/>
              <w:bottom w:val="single" w:color="000000" w:sz="4"/>
              <w:right w:val="single" w:color="000000" w:sz="4"/>
            </w:tcBorders>
            <w:shd w:color="auto" w:fill="deeaf6"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79.866</w:t>
            </w:r>
          </w:p>
        </w:tc>
      </w:tr>
    </w:tbl>
    <w:p>
      <w:pPr>
        <w:spacing w:before="60" w:after="160" w:line="240"/>
        <w:ind w:right="0" w:left="0" w:firstLine="0"/>
        <w:jc w:val="center"/>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Tabela 58: Korištena grijana površina stambenih zgrada na podru</w:t>
      </w:r>
      <w:r>
        <w:rPr>
          <w:rFonts w:ascii="Calibri" w:hAnsi="Calibri" w:cs="Calibri" w:eastAsia="Calibri"/>
          <w:color w:val="auto"/>
          <w:spacing w:val="0"/>
          <w:position w:val="0"/>
          <w:sz w:val="18"/>
          <w:shd w:fill="auto" w:val="clear"/>
        </w:rPr>
        <w:t xml:space="preserve">čju općine u baznoj godini</w:t>
      </w:r>
    </w:p>
    <w:p>
      <w:pPr>
        <w:spacing w:before="12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Ukupna korištena grijana površina stambenih zgrada na podru</w:t>
      </w:r>
      <w:r>
        <w:rPr>
          <w:rFonts w:ascii="Calibri" w:hAnsi="Calibri" w:cs="Calibri" w:eastAsia="Calibri"/>
          <w:color w:val="auto"/>
          <w:spacing w:val="0"/>
          <w:position w:val="0"/>
          <w:sz w:val="20"/>
          <w:shd w:fill="auto" w:val="clear"/>
        </w:rPr>
        <w:t xml:space="preserve">čju Doboj Istoka u baznoj 2010. godini iznosi 269.403,39 m</w:t>
      </w:r>
      <w:r>
        <w:rPr>
          <w:rFonts w:ascii="Calibri" w:hAnsi="Calibri" w:cs="Calibri" w:eastAsia="Calibri"/>
          <w:color w:val="auto"/>
          <w:spacing w:val="0"/>
          <w:position w:val="0"/>
          <w:sz w:val="20"/>
          <w:shd w:fill="auto" w:val="clear"/>
          <w:vertAlign w:val="superscript"/>
        </w:rPr>
        <w:t xml:space="preserve">2</w:t>
      </w:r>
      <w:r>
        <w:rPr>
          <w:rFonts w:ascii="Calibri" w:hAnsi="Calibri" w:cs="Calibri" w:eastAsia="Calibri"/>
          <w:color w:val="auto"/>
          <w:spacing w:val="0"/>
          <w:position w:val="0"/>
          <w:sz w:val="20"/>
          <w:shd w:fill="auto" w:val="clear"/>
        </w:rPr>
        <w:t xml:space="preserve">. Iz tabele je evidentno da najveći udio u ukupnoj površini imaju imaju slobodnostojeće kuće sa jednim ili dva stana (70%), zatim slijede stambene zgrade sa tri i više stanova (29%), dok se na kuće u nizu odnosi zanemarljivih 1% površine.  Specifična godišnja potrebna finalna energija za grijanje stambenih zgrada određena je kombinacijom podataka raspoloživih iz Popisa i Tipologije stambenih zgrada, na slijedeći način: </w:t>
      </w:r>
    </w:p>
    <w:p>
      <w:pPr>
        <w:numPr>
          <w:ilvl w:val="0"/>
          <w:numId w:val="906"/>
        </w:numPr>
        <w:spacing w:before="60" w:after="0" w:line="240"/>
        <w:ind w:right="0" w:left="714" w:hanging="357"/>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Podaci o potrebnoj godišnjoj specifi</w:t>
      </w:r>
      <w:r>
        <w:rPr>
          <w:rFonts w:ascii="Calibri" w:hAnsi="Calibri" w:cs="Calibri" w:eastAsia="Calibri"/>
          <w:color w:val="auto"/>
          <w:spacing w:val="0"/>
          <w:position w:val="0"/>
          <w:sz w:val="20"/>
          <w:shd w:fill="auto" w:val="clear"/>
        </w:rPr>
        <w:t xml:space="preserve">čnoj energiji za grijanje stambenih zgrada dati su u </w:t>
      </w:r>
      <w:r>
        <w:rPr>
          <w:rFonts w:ascii="Calibri" w:hAnsi="Calibri" w:cs="Calibri" w:eastAsia="Calibri"/>
          <w:i/>
          <w:color w:val="auto"/>
          <w:spacing w:val="0"/>
          <w:position w:val="0"/>
          <w:sz w:val="20"/>
          <w:shd w:fill="auto" w:val="clear"/>
        </w:rPr>
        <w:t xml:space="preserve">Tipologiji stambenih zgrada Bosne i Hercegovine</w:t>
      </w:r>
      <w:r>
        <w:rPr>
          <w:rFonts w:ascii="Calibri" w:hAnsi="Calibri" w:cs="Calibri" w:eastAsia="Calibri"/>
          <w:color w:val="auto"/>
          <w:spacing w:val="0"/>
          <w:position w:val="0"/>
          <w:sz w:val="20"/>
          <w:shd w:fill="auto" w:val="clear"/>
        </w:rPr>
        <w:t xml:space="preserve">, i to pojedinačno za svaku od šest vrsta zgrada svrstanih u dvije kategorije: individualno stanovanje (slobodno stojeće kuće, i kuće u nizu), i kolektivno stanovanje (manje stambene zgrade, stambene zgrade u nizu /stambeni blokovi, veliki stambeni blokovi, i neboderi);</w:t>
      </w:r>
    </w:p>
    <w:p>
      <w:pPr>
        <w:numPr>
          <w:ilvl w:val="0"/>
          <w:numId w:val="906"/>
        </w:numPr>
        <w:spacing w:before="120" w:after="0" w:line="240"/>
        <w:ind w:right="0" w:left="720" w:hanging="36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Pore</w:t>
      </w:r>
      <w:r>
        <w:rPr>
          <w:rFonts w:ascii="Calibri" w:hAnsi="Calibri" w:cs="Calibri" w:eastAsia="Calibri"/>
          <w:color w:val="auto"/>
          <w:spacing w:val="0"/>
          <w:position w:val="0"/>
          <w:sz w:val="20"/>
          <w:shd w:fill="auto" w:val="clear"/>
        </w:rPr>
        <w:t xml:space="preserve">đenjem navedenih šest vrsta sa vrstama zgrada koje su korištene pri Popisu, evidentno je da su obje vrste zgrada individualnog stanovanja identične, dok se razlika pojavljuje kod kategorije kolektivnog stanovanja. U Popisu je za ovu kategoriju korištena samo jedna zbirna vrsta zgrada (stambene zgrade sa tri i više stanova), dok su u Tipologiji razmatrane četiri vrste, sa različitim vrijednostima specifične godišnje potrebne energije za grijanje.</w:t>
      </w:r>
    </w:p>
    <w:p>
      <w:pPr>
        <w:numPr>
          <w:ilvl w:val="0"/>
          <w:numId w:val="906"/>
        </w:numPr>
        <w:spacing w:before="120" w:after="0" w:line="240"/>
        <w:ind w:right="0" w:left="720" w:hanging="36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Specifi</w:t>
      </w:r>
      <w:r>
        <w:rPr>
          <w:rFonts w:ascii="Calibri" w:hAnsi="Calibri" w:cs="Calibri" w:eastAsia="Calibri"/>
          <w:color w:val="auto"/>
          <w:spacing w:val="0"/>
          <w:position w:val="0"/>
          <w:sz w:val="20"/>
          <w:shd w:fill="auto" w:val="clear"/>
        </w:rPr>
        <w:t xml:space="preserve">čna godišnja potrebna energija za grijanje stambenih zgrada sa tri i više stanova je za svaki od razmatranih perioda izgradnje dobivena kao zbir vrijednosti proizvoda neto površine grijanog prostora jedne zgrade i njene specifične godišnje potrebne energije, podijeljen sa zbirom neto površina grijanog prostora za sve četiri vrste zgrada u tom periodu izgradnje.</w:t>
      </w:r>
    </w:p>
    <w:p>
      <w:pPr>
        <w:spacing w:before="60" w:after="12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Dobivene vrijednosti specifi</w:t>
      </w:r>
      <w:r>
        <w:rPr>
          <w:rFonts w:ascii="Calibri" w:hAnsi="Calibri" w:cs="Calibri" w:eastAsia="Calibri"/>
          <w:color w:val="auto"/>
          <w:spacing w:val="0"/>
          <w:position w:val="0"/>
          <w:sz w:val="20"/>
          <w:shd w:fill="auto" w:val="clear"/>
        </w:rPr>
        <w:t xml:space="preserve">čne godišnje potrebne energije za grijanje stambenih zgrada u Bosni i Hercegovini, razvrstane prema tipovima zgrada i periodima njihove izgradnje korištenih u Popisu, date su u narednoj tabeli.</w:t>
      </w:r>
    </w:p>
    <w:tbl>
      <w:tblPr/>
      <w:tblGrid>
        <w:gridCol w:w="2087"/>
        <w:gridCol w:w="1926"/>
        <w:gridCol w:w="1941"/>
        <w:gridCol w:w="2079"/>
      </w:tblGrid>
      <w:tr>
        <w:trPr>
          <w:trHeight w:val="284" w:hRule="auto"/>
          <w:jc w:val="center"/>
        </w:trPr>
        <w:tc>
          <w:tcPr>
            <w:tcW w:w="8033" w:type="dxa"/>
            <w:gridSpan w:val="4"/>
            <w:tcBorders>
              <w:top w:val="single" w:color="000000" w:sz="4"/>
              <w:left w:val="single" w:color="000000" w:sz="4"/>
              <w:bottom w:val="single" w:color="000000" w:sz="4"/>
              <w:right w:val="single" w:color="000000" w:sz="4"/>
            </w:tcBorders>
            <w:shd w:color="000000" w:fill="9bc2e6"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SPECIFI</w:t>
            </w:r>
            <w:r>
              <w:rPr>
                <w:rFonts w:ascii="Calibri" w:hAnsi="Calibri" w:cs="Calibri" w:eastAsia="Calibri"/>
                <w:color w:val="000000"/>
                <w:spacing w:val="0"/>
                <w:position w:val="0"/>
                <w:sz w:val="18"/>
                <w:shd w:fill="auto" w:val="clear"/>
              </w:rPr>
              <w:t xml:space="preserve">ČNA GODIŠNJA POTREBNA ENERGIJA ZA GRIJANJE STAMBENIH ZGRADA - Qhnd (kWh/m</w:t>
            </w:r>
            <w:r>
              <w:rPr>
                <w:rFonts w:ascii="Calibri" w:hAnsi="Calibri" w:cs="Calibri" w:eastAsia="Calibri"/>
                <w:color w:val="000000"/>
                <w:spacing w:val="0"/>
                <w:position w:val="0"/>
                <w:sz w:val="18"/>
                <w:shd w:fill="auto" w:val="clear"/>
              </w:rPr>
              <w:t xml:space="preserve">²)</w:t>
            </w:r>
          </w:p>
        </w:tc>
      </w:tr>
      <w:tr>
        <w:trPr>
          <w:trHeight w:val="473" w:hRule="auto"/>
          <w:jc w:val="center"/>
        </w:trPr>
        <w:tc>
          <w:tcPr>
            <w:tcW w:w="2087" w:type="dxa"/>
            <w:tcBorders>
              <w:top w:val="single" w:color="000000" w:sz="4"/>
              <w:left w:val="single" w:color="000000" w:sz="4"/>
              <w:bottom w:val="single" w:color="000000" w:sz="4"/>
              <w:right w:val="single" w:color="000000" w:sz="4"/>
            </w:tcBorders>
            <w:shd w:color="000000" w:fill="9cc2e5" w:val="clear"/>
            <w:tcMar>
              <w:left w:w="28" w:type="dxa"/>
              <w:right w:w="2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Period izgradnje</w:t>
            </w:r>
          </w:p>
        </w:tc>
        <w:tc>
          <w:tcPr>
            <w:tcW w:w="1926" w:type="dxa"/>
            <w:tcBorders>
              <w:top w:val="single" w:color="000000" w:sz="4"/>
              <w:left w:val="single" w:color="000000" w:sz="4"/>
              <w:bottom w:val="single" w:color="000000" w:sz="4"/>
              <w:right w:val="single" w:color="000000" w:sz="4"/>
            </w:tcBorders>
            <w:shd w:color="000000" w:fill="9cc2e5"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Slobodno stoje</w:t>
            </w:r>
            <w:r>
              <w:rPr>
                <w:rFonts w:ascii="Calibri" w:hAnsi="Calibri" w:cs="Calibri" w:eastAsia="Calibri"/>
                <w:color w:val="000000"/>
                <w:spacing w:val="0"/>
                <w:position w:val="0"/>
                <w:sz w:val="18"/>
                <w:shd w:fill="auto" w:val="clear"/>
              </w:rPr>
              <w:t xml:space="preserve">će kuće sa jednim ili dva stana</w:t>
            </w:r>
          </w:p>
        </w:tc>
        <w:tc>
          <w:tcPr>
            <w:tcW w:w="1941" w:type="dxa"/>
            <w:tcBorders>
              <w:top w:val="single" w:color="000000" w:sz="4"/>
              <w:left w:val="single" w:color="000000" w:sz="4"/>
              <w:bottom w:val="single" w:color="000000" w:sz="4"/>
              <w:right w:val="single" w:color="000000" w:sz="4"/>
            </w:tcBorders>
            <w:shd w:color="000000" w:fill="9cc2e5"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Ku</w:t>
            </w:r>
            <w:r>
              <w:rPr>
                <w:rFonts w:ascii="Calibri" w:hAnsi="Calibri" w:cs="Calibri" w:eastAsia="Calibri"/>
                <w:color w:val="000000"/>
                <w:spacing w:val="0"/>
                <w:position w:val="0"/>
                <w:sz w:val="18"/>
                <w:shd w:fill="auto" w:val="clear"/>
              </w:rPr>
              <w:t xml:space="preserve">će u nizu</w:t>
            </w:r>
          </w:p>
        </w:tc>
        <w:tc>
          <w:tcPr>
            <w:tcW w:w="2079" w:type="dxa"/>
            <w:tcBorders>
              <w:top w:val="single" w:color="000000" w:sz="4"/>
              <w:left w:val="single" w:color="000000" w:sz="4"/>
              <w:bottom w:val="single" w:color="000000" w:sz="4"/>
              <w:right w:val="single" w:color="000000" w:sz="4"/>
            </w:tcBorders>
            <w:shd w:color="000000" w:fill="9cc2e5"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Stambene zgrade sa tri i više stanova</w:t>
            </w:r>
          </w:p>
        </w:tc>
      </w:tr>
      <w:tr>
        <w:trPr>
          <w:trHeight w:val="284" w:hRule="auto"/>
          <w:jc w:val="center"/>
        </w:trPr>
        <w:tc>
          <w:tcPr>
            <w:tcW w:w="2087" w:type="dxa"/>
            <w:tcBorders>
              <w:top w:val="single" w:color="000000" w:sz="4"/>
              <w:left w:val="single" w:color="000000" w:sz="4"/>
              <w:bottom w:val="single" w:color="000000" w:sz="4"/>
              <w:right w:val="single" w:color="000000" w:sz="4"/>
            </w:tcBorders>
            <w:shd w:color="000000" w:fill="9cc2e5" w:val="clear"/>
            <w:tcMar>
              <w:left w:w="28" w:type="dxa"/>
              <w:right w:w="2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Do 1945</w:t>
            </w:r>
          </w:p>
        </w:tc>
        <w:tc>
          <w:tcPr>
            <w:tcW w:w="1926" w:type="dxa"/>
            <w:tcBorders>
              <w:top w:val="single" w:color="000000" w:sz="4"/>
              <w:left w:val="single" w:color="000000" w:sz="4"/>
              <w:bottom w:val="single" w:color="000000" w:sz="4"/>
              <w:right w:val="single" w:color="000000" w:sz="4"/>
            </w:tcBorders>
            <w:shd w:color="auto" w:fill="auto"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452,34</w:t>
            </w:r>
          </w:p>
        </w:tc>
        <w:tc>
          <w:tcPr>
            <w:tcW w:w="1941" w:type="dxa"/>
            <w:tcBorders>
              <w:top w:val="single" w:color="000000" w:sz="4"/>
              <w:left w:val="single" w:color="000000" w:sz="4"/>
              <w:bottom w:val="single" w:color="000000" w:sz="4"/>
              <w:right w:val="single" w:color="000000" w:sz="4"/>
            </w:tcBorders>
            <w:shd w:color="auto" w:fill="auto"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183,16</w:t>
            </w:r>
          </w:p>
        </w:tc>
        <w:tc>
          <w:tcPr>
            <w:tcW w:w="2079" w:type="dxa"/>
            <w:tcBorders>
              <w:top w:val="single" w:color="000000" w:sz="4"/>
              <w:left w:val="single" w:color="000000" w:sz="4"/>
              <w:bottom w:val="single" w:color="000000" w:sz="4"/>
              <w:right w:val="single" w:color="000000" w:sz="4"/>
            </w:tcBorders>
            <w:shd w:color="auto" w:fill="auto"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72,35</w:t>
            </w:r>
          </w:p>
        </w:tc>
      </w:tr>
      <w:tr>
        <w:trPr>
          <w:trHeight w:val="284" w:hRule="auto"/>
          <w:jc w:val="center"/>
        </w:trPr>
        <w:tc>
          <w:tcPr>
            <w:tcW w:w="2087" w:type="dxa"/>
            <w:tcBorders>
              <w:top w:val="single" w:color="000000" w:sz="4"/>
              <w:left w:val="single" w:color="000000" w:sz="4"/>
              <w:bottom w:val="single" w:color="000000" w:sz="4"/>
              <w:right w:val="single" w:color="000000" w:sz="4"/>
            </w:tcBorders>
            <w:shd w:color="000000" w:fill="9cc2e5" w:val="clear"/>
            <w:tcMar>
              <w:left w:w="28" w:type="dxa"/>
              <w:right w:w="2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1946 do 1960</w:t>
            </w:r>
          </w:p>
        </w:tc>
        <w:tc>
          <w:tcPr>
            <w:tcW w:w="1926" w:type="dxa"/>
            <w:tcBorders>
              <w:top w:val="single" w:color="000000" w:sz="4"/>
              <w:left w:val="single" w:color="000000" w:sz="4"/>
              <w:bottom w:val="single" w:color="000000" w:sz="4"/>
              <w:right w:val="single" w:color="000000" w:sz="4"/>
            </w:tcBorders>
            <w:shd w:color="auto" w:fill="auto"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473,96</w:t>
            </w:r>
          </w:p>
        </w:tc>
        <w:tc>
          <w:tcPr>
            <w:tcW w:w="1941" w:type="dxa"/>
            <w:tcBorders>
              <w:top w:val="single" w:color="000000" w:sz="4"/>
              <w:left w:val="single" w:color="000000" w:sz="4"/>
              <w:bottom w:val="single" w:color="000000" w:sz="4"/>
              <w:right w:val="single" w:color="000000" w:sz="4"/>
            </w:tcBorders>
            <w:shd w:color="auto" w:fill="auto"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321,27</w:t>
            </w:r>
          </w:p>
        </w:tc>
        <w:tc>
          <w:tcPr>
            <w:tcW w:w="2079" w:type="dxa"/>
            <w:tcBorders>
              <w:top w:val="single" w:color="000000" w:sz="4"/>
              <w:left w:val="single" w:color="000000" w:sz="4"/>
              <w:bottom w:val="single" w:color="000000" w:sz="4"/>
              <w:right w:val="single" w:color="000000" w:sz="4"/>
            </w:tcBorders>
            <w:shd w:color="auto" w:fill="auto"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84,64</w:t>
            </w:r>
          </w:p>
        </w:tc>
      </w:tr>
      <w:tr>
        <w:trPr>
          <w:trHeight w:val="284" w:hRule="auto"/>
          <w:jc w:val="center"/>
        </w:trPr>
        <w:tc>
          <w:tcPr>
            <w:tcW w:w="2087" w:type="dxa"/>
            <w:tcBorders>
              <w:top w:val="single" w:color="000000" w:sz="4"/>
              <w:left w:val="single" w:color="000000" w:sz="4"/>
              <w:bottom w:val="single" w:color="000000" w:sz="4"/>
              <w:right w:val="single" w:color="000000" w:sz="4"/>
            </w:tcBorders>
            <w:shd w:color="000000" w:fill="9cc2e5" w:val="clear"/>
            <w:tcMar>
              <w:left w:w="28" w:type="dxa"/>
              <w:right w:w="2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1961 do 1970</w:t>
            </w:r>
          </w:p>
        </w:tc>
        <w:tc>
          <w:tcPr>
            <w:tcW w:w="1926" w:type="dxa"/>
            <w:tcBorders>
              <w:top w:val="single" w:color="000000" w:sz="4"/>
              <w:left w:val="single" w:color="000000" w:sz="4"/>
              <w:bottom w:val="single" w:color="000000" w:sz="4"/>
              <w:right w:val="single" w:color="000000" w:sz="4"/>
            </w:tcBorders>
            <w:shd w:color="auto" w:fill="auto"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464,90</w:t>
            </w:r>
          </w:p>
        </w:tc>
        <w:tc>
          <w:tcPr>
            <w:tcW w:w="1941" w:type="dxa"/>
            <w:tcBorders>
              <w:top w:val="single" w:color="000000" w:sz="4"/>
              <w:left w:val="single" w:color="000000" w:sz="4"/>
              <w:bottom w:val="single" w:color="000000" w:sz="4"/>
              <w:right w:val="single" w:color="000000" w:sz="4"/>
            </w:tcBorders>
            <w:shd w:color="auto" w:fill="auto"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196,42</w:t>
            </w:r>
          </w:p>
        </w:tc>
        <w:tc>
          <w:tcPr>
            <w:tcW w:w="2079" w:type="dxa"/>
            <w:tcBorders>
              <w:top w:val="single" w:color="000000" w:sz="4"/>
              <w:left w:val="single" w:color="000000" w:sz="4"/>
              <w:bottom w:val="single" w:color="000000" w:sz="4"/>
              <w:right w:val="single" w:color="000000" w:sz="4"/>
            </w:tcBorders>
            <w:shd w:color="auto" w:fill="auto"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178,98</w:t>
            </w:r>
          </w:p>
        </w:tc>
      </w:tr>
      <w:tr>
        <w:trPr>
          <w:trHeight w:val="284" w:hRule="auto"/>
          <w:jc w:val="center"/>
        </w:trPr>
        <w:tc>
          <w:tcPr>
            <w:tcW w:w="2087" w:type="dxa"/>
            <w:tcBorders>
              <w:top w:val="single" w:color="000000" w:sz="4"/>
              <w:left w:val="single" w:color="000000" w:sz="4"/>
              <w:bottom w:val="single" w:color="000000" w:sz="4"/>
              <w:right w:val="single" w:color="000000" w:sz="4"/>
            </w:tcBorders>
            <w:shd w:color="000000" w:fill="9cc2e5" w:val="clear"/>
            <w:tcMar>
              <w:left w:w="28" w:type="dxa"/>
              <w:right w:w="2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1971 do 1980</w:t>
            </w:r>
          </w:p>
        </w:tc>
        <w:tc>
          <w:tcPr>
            <w:tcW w:w="1926" w:type="dxa"/>
            <w:tcBorders>
              <w:top w:val="single" w:color="000000" w:sz="4"/>
              <w:left w:val="single" w:color="000000" w:sz="4"/>
              <w:bottom w:val="single" w:color="000000" w:sz="4"/>
              <w:right w:val="single" w:color="000000" w:sz="4"/>
            </w:tcBorders>
            <w:shd w:color="auto" w:fill="auto"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381,59</w:t>
            </w:r>
          </w:p>
        </w:tc>
        <w:tc>
          <w:tcPr>
            <w:tcW w:w="1941" w:type="dxa"/>
            <w:tcBorders>
              <w:top w:val="single" w:color="000000" w:sz="4"/>
              <w:left w:val="single" w:color="000000" w:sz="4"/>
              <w:bottom w:val="single" w:color="000000" w:sz="4"/>
              <w:right w:val="single" w:color="000000" w:sz="4"/>
            </w:tcBorders>
            <w:shd w:color="auto" w:fill="auto"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199,04</w:t>
            </w:r>
          </w:p>
        </w:tc>
        <w:tc>
          <w:tcPr>
            <w:tcW w:w="2079" w:type="dxa"/>
            <w:tcBorders>
              <w:top w:val="single" w:color="000000" w:sz="4"/>
              <w:left w:val="single" w:color="000000" w:sz="4"/>
              <w:bottom w:val="single" w:color="000000" w:sz="4"/>
              <w:right w:val="single" w:color="000000" w:sz="4"/>
            </w:tcBorders>
            <w:shd w:color="auto" w:fill="auto"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98,88</w:t>
            </w:r>
          </w:p>
        </w:tc>
      </w:tr>
      <w:tr>
        <w:trPr>
          <w:trHeight w:val="284" w:hRule="auto"/>
          <w:jc w:val="center"/>
        </w:trPr>
        <w:tc>
          <w:tcPr>
            <w:tcW w:w="2087" w:type="dxa"/>
            <w:tcBorders>
              <w:top w:val="single" w:color="000000" w:sz="4"/>
              <w:left w:val="single" w:color="000000" w:sz="4"/>
              <w:bottom w:val="single" w:color="000000" w:sz="4"/>
              <w:right w:val="single" w:color="000000" w:sz="4"/>
            </w:tcBorders>
            <w:shd w:color="000000" w:fill="9cc2e5" w:val="clear"/>
            <w:tcMar>
              <w:left w:w="28" w:type="dxa"/>
              <w:right w:w="2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1981 do 1990</w:t>
            </w:r>
          </w:p>
        </w:tc>
        <w:tc>
          <w:tcPr>
            <w:tcW w:w="1926" w:type="dxa"/>
            <w:tcBorders>
              <w:top w:val="single" w:color="000000" w:sz="4"/>
              <w:left w:val="single" w:color="000000" w:sz="4"/>
              <w:bottom w:val="single" w:color="000000" w:sz="4"/>
              <w:right w:val="single" w:color="000000" w:sz="4"/>
            </w:tcBorders>
            <w:shd w:color="auto" w:fill="auto"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135,93</w:t>
            </w:r>
          </w:p>
        </w:tc>
        <w:tc>
          <w:tcPr>
            <w:tcW w:w="1941" w:type="dxa"/>
            <w:tcBorders>
              <w:top w:val="single" w:color="000000" w:sz="4"/>
              <w:left w:val="single" w:color="000000" w:sz="4"/>
              <w:bottom w:val="single" w:color="000000" w:sz="4"/>
              <w:right w:val="single" w:color="000000" w:sz="4"/>
            </w:tcBorders>
            <w:shd w:color="auto" w:fill="auto"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219,20</w:t>
            </w:r>
          </w:p>
        </w:tc>
        <w:tc>
          <w:tcPr>
            <w:tcW w:w="2079" w:type="dxa"/>
            <w:tcBorders>
              <w:top w:val="single" w:color="000000" w:sz="4"/>
              <w:left w:val="single" w:color="000000" w:sz="4"/>
              <w:bottom w:val="single" w:color="000000" w:sz="4"/>
              <w:right w:val="single" w:color="000000" w:sz="4"/>
            </w:tcBorders>
            <w:shd w:color="auto" w:fill="auto"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29,41</w:t>
            </w:r>
          </w:p>
        </w:tc>
      </w:tr>
      <w:tr>
        <w:trPr>
          <w:trHeight w:val="284" w:hRule="auto"/>
          <w:jc w:val="center"/>
        </w:trPr>
        <w:tc>
          <w:tcPr>
            <w:tcW w:w="2087" w:type="dxa"/>
            <w:tcBorders>
              <w:top w:val="single" w:color="000000" w:sz="4"/>
              <w:left w:val="single" w:color="000000" w:sz="4"/>
              <w:bottom w:val="single" w:color="000000" w:sz="4"/>
              <w:right w:val="single" w:color="000000" w:sz="4"/>
            </w:tcBorders>
            <w:shd w:color="000000" w:fill="9cc2e5" w:val="clear"/>
            <w:tcMar>
              <w:left w:w="28" w:type="dxa"/>
              <w:right w:w="2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1991 do 2000</w:t>
            </w:r>
          </w:p>
        </w:tc>
        <w:tc>
          <w:tcPr>
            <w:tcW w:w="1926" w:type="dxa"/>
            <w:tcBorders>
              <w:top w:val="single" w:color="000000" w:sz="4"/>
              <w:left w:val="single" w:color="000000" w:sz="4"/>
              <w:bottom w:val="single" w:color="000000" w:sz="4"/>
              <w:right w:val="single" w:color="000000" w:sz="4"/>
            </w:tcBorders>
            <w:shd w:color="auto" w:fill="auto"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127,61</w:t>
            </w:r>
          </w:p>
        </w:tc>
        <w:tc>
          <w:tcPr>
            <w:tcW w:w="1941" w:type="dxa"/>
            <w:tcBorders>
              <w:top w:val="single" w:color="000000" w:sz="4"/>
              <w:left w:val="single" w:color="000000" w:sz="4"/>
              <w:bottom w:val="single" w:color="000000" w:sz="4"/>
              <w:right w:val="single" w:color="000000" w:sz="4"/>
            </w:tcBorders>
            <w:shd w:color="auto" w:fill="auto"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2079" w:type="dxa"/>
            <w:tcBorders>
              <w:top w:val="single" w:color="000000" w:sz="4"/>
              <w:left w:val="single" w:color="000000" w:sz="4"/>
              <w:bottom w:val="single" w:color="000000" w:sz="4"/>
              <w:right w:val="single" w:color="000000" w:sz="4"/>
            </w:tcBorders>
            <w:shd w:color="auto" w:fill="auto"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55,02</w:t>
            </w:r>
          </w:p>
        </w:tc>
      </w:tr>
      <w:tr>
        <w:trPr>
          <w:trHeight w:val="284" w:hRule="auto"/>
          <w:jc w:val="center"/>
        </w:trPr>
        <w:tc>
          <w:tcPr>
            <w:tcW w:w="2087" w:type="dxa"/>
            <w:tcBorders>
              <w:top w:val="single" w:color="000000" w:sz="4"/>
              <w:left w:val="single" w:color="000000" w:sz="4"/>
              <w:bottom w:val="single" w:color="000000" w:sz="4"/>
              <w:right w:val="single" w:color="000000" w:sz="4"/>
            </w:tcBorders>
            <w:shd w:color="000000" w:fill="9cc2e5" w:val="clear"/>
            <w:tcMar>
              <w:left w:w="28" w:type="dxa"/>
              <w:right w:w="2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2001 do 2010</w:t>
            </w:r>
          </w:p>
        </w:tc>
        <w:tc>
          <w:tcPr>
            <w:tcW w:w="1926" w:type="dxa"/>
            <w:tcBorders>
              <w:top w:val="single" w:color="000000" w:sz="4"/>
              <w:left w:val="single" w:color="000000" w:sz="4"/>
              <w:bottom w:val="single" w:color="000000" w:sz="4"/>
              <w:right w:val="single" w:color="000000" w:sz="4"/>
            </w:tcBorders>
            <w:shd w:color="auto" w:fill="auto"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127,61</w:t>
            </w:r>
          </w:p>
        </w:tc>
        <w:tc>
          <w:tcPr>
            <w:tcW w:w="1941" w:type="dxa"/>
            <w:tcBorders>
              <w:top w:val="single" w:color="000000" w:sz="4"/>
              <w:left w:val="single" w:color="000000" w:sz="4"/>
              <w:bottom w:val="single" w:color="000000" w:sz="4"/>
              <w:right w:val="single" w:color="000000" w:sz="4"/>
            </w:tcBorders>
            <w:shd w:color="auto" w:fill="auto"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2079" w:type="dxa"/>
            <w:tcBorders>
              <w:top w:val="single" w:color="000000" w:sz="4"/>
              <w:left w:val="single" w:color="000000" w:sz="4"/>
              <w:bottom w:val="single" w:color="000000" w:sz="4"/>
              <w:right w:val="single" w:color="000000" w:sz="4"/>
            </w:tcBorders>
            <w:shd w:color="auto" w:fill="auto"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55,02</w:t>
            </w:r>
          </w:p>
        </w:tc>
      </w:tr>
      <w:tr>
        <w:trPr>
          <w:trHeight w:val="284" w:hRule="auto"/>
          <w:jc w:val="center"/>
        </w:trPr>
        <w:tc>
          <w:tcPr>
            <w:tcW w:w="2087" w:type="dxa"/>
            <w:tcBorders>
              <w:top w:val="single" w:color="000000" w:sz="4"/>
              <w:left w:val="single" w:color="000000" w:sz="4"/>
              <w:bottom w:val="single" w:color="000000" w:sz="4"/>
              <w:right w:val="single" w:color="000000" w:sz="4"/>
            </w:tcBorders>
            <w:shd w:color="000000" w:fill="9cc2e5" w:val="clear"/>
            <w:tcMar>
              <w:left w:w="28" w:type="dxa"/>
              <w:right w:w="2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2010 i poslije</w:t>
            </w:r>
          </w:p>
        </w:tc>
        <w:tc>
          <w:tcPr>
            <w:tcW w:w="1926" w:type="dxa"/>
            <w:tcBorders>
              <w:top w:val="single" w:color="000000" w:sz="4"/>
              <w:left w:val="single" w:color="000000" w:sz="4"/>
              <w:bottom w:val="single" w:color="000000" w:sz="4"/>
              <w:right w:val="single" w:color="000000" w:sz="4"/>
            </w:tcBorders>
            <w:shd w:color="auto" w:fill="auto"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127,61</w:t>
            </w:r>
          </w:p>
        </w:tc>
        <w:tc>
          <w:tcPr>
            <w:tcW w:w="1941" w:type="dxa"/>
            <w:tcBorders>
              <w:top w:val="single" w:color="000000" w:sz="4"/>
              <w:left w:val="single" w:color="000000" w:sz="4"/>
              <w:bottom w:val="single" w:color="000000" w:sz="4"/>
              <w:right w:val="single" w:color="000000" w:sz="4"/>
            </w:tcBorders>
            <w:shd w:color="auto" w:fill="auto"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2079" w:type="dxa"/>
            <w:tcBorders>
              <w:top w:val="single" w:color="000000" w:sz="4"/>
              <w:left w:val="single" w:color="000000" w:sz="4"/>
              <w:bottom w:val="single" w:color="000000" w:sz="4"/>
              <w:right w:val="single" w:color="000000" w:sz="4"/>
            </w:tcBorders>
            <w:shd w:color="auto" w:fill="auto"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55,02</w:t>
            </w:r>
          </w:p>
        </w:tc>
      </w:tr>
    </w:tbl>
    <w:p>
      <w:pPr>
        <w:spacing w:before="60" w:after="160" w:line="240"/>
        <w:ind w:right="0" w:left="0" w:firstLine="0"/>
        <w:jc w:val="center"/>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Tabela 59: Specifi</w:t>
      </w:r>
      <w:r>
        <w:rPr>
          <w:rFonts w:ascii="Calibri" w:hAnsi="Calibri" w:cs="Calibri" w:eastAsia="Calibri"/>
          <w:color w:val="auto"/>
          <w:spacing w:val="0"/>
          <w:position w:val="0"/>
          <w:sz w:val="18"/>
          <w:shd w:fill="auto" w:val="clear"/>
        </w:rPr>
        <w:t xml:space="preserve">čna godišnja potrebna energija za grijanje stambenih zgrada u Bosni i Hercegovini</w:t>
      </w:r>
    </w:p>
    <w:p>
      <w:pPr>
        <w:spacing w:before="120" w:after="12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Naredna tabela daje pregled potrebne finalne energije za grijanje stambenih zgrada u Doboj Istoku, razvrstane prema korištenim energentima. </w:t>
      </w:r>
    </w:p>
    <w:tbl>
      <w:tblPr/>
      <w:tblGrid>
        <w:gridCol w:w="2338"/>
        <w:gridCol w:w="1090"/>
        <w:gridCol w:w="886"/>
        <w:gridCol w:w="785"/>
        <w:gridCol w:w="988"/>
        <w:gridCol w:w="992"/>
        <w:gridCol w:w="1092"/>
        <w:gridCol w:w="1291"/>
      </w:tblGrid>
      <w:tr>
        <w:trPr>
          <w:trHeight w:val="336" w:hRule="auto"/>
          <w:jc w:val="left"/>
        </w:trPr>
        <w:tc>
          <w:tcPr>
            <w:tcW w:w="9462" w:type="dxa"/>
            <w:gridSpan w:val="8"/>
            <w:tcBorders>
              <w:top w:val="single" w:color="000000" w:sz="4"/>
              <w:left w:val="single" w:color="000000" w:sz="4"/>
              <w:bottom w:val="single" w:color="000000" w:sz="4"/>
              <w:right w:val="single" w:color="000000" w:sz="4"/>
            </w:tcBorders>
            <w:shd w:color="000000" w:fill="bdd7ee"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FINALNA ENERGIJA [MWh]</w:t>
            </w:r>
          </w:p>
        </w:tc>
      </w:tr>
      <w:tr>
        <w:trPr>
          <w:trHeight w:val="569" w:hRule="auto"/>
          <w:jc w:val="left"/>
        </w:trPr>
        <w:tc>
          <w:tcPr>
            <w:tcW w:w="2338" w:type="dxa"/>
            <w:vMerge w:val="restart"/>
            <w:tcBorders>
              <w:top w:val="single" w:color="000000" w:sz="4"/>
              <w:left w:val="single" w:color="000000" w:sz="4"/>
              <w:bottom w:val="single" w:color="000000" w:sz="4"/>
              <w:right w:val="single" w:color="000000" w:sz="4"/>
            </w:tcBorders>
            <w:shd w:color="000000" w:fill="bdd7ee" w:val="clear"/>
            <w:tcMar>
              <w:left w:w="28" w:type="dxa"/>
              <w:right w:w="2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VRSTA ENERGENTA</w:t>
            </w:r>
          </w:p>
        </w:tc>
        <w:tc>
          <w:tcPr>
            <w:tcW w:w="1090" w:type="dxa"/>
            <w:vMerge w:val="restart"/>
            <w:tcBorders>
              <w:top w:val="single" w:color="000000" w:sz="4"/>
              <w:left w:val="single" w:color="000000" w:sz="4"/>
              <w:bottom w:val="single" w:color="000000" w:sz="4"/>
              <w:right w:val="single" w:color="000000" w:sz="4"/>
            </w:tcBorders>
            <w:shd w:color="000000" w:fill="bdd7ee"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ELEKTRI</w:t>
            </w:r>
            <w:r>
              <w:rPr>
                <w:rFonts w:ascii="Calibri" w:hAnsi="Calibri" w:cs="Calibri" w:eastAsia="Calibri"/>
                <w:color w:val="000000"/>
                <w:spacing w:val="0"/>
                <w:position w:val="0"/>
                <w:sz w:val="18"/>
                <w:shd w:fill="auto" w:val="clear"/>
              </w:rPr>
              <w:t xml:space="preserve">ČNA ENERGIJA</w:t>
            </w:r>
          </w:p>
        </w:tc>
        <w:tc>
          <w:tcPr>
            <w:tcW w:w="3651" w:type="dxa"/>
            <w:gridSpan w:val="4"/>
            <w:tcBorders>
              <w:top w:val="single" w:color="000000" w:sz="4"/>
              <w:left w:val="single" w:color="000000" w:sz="0"/>
              <w:bottom w:val="single" w:color="000000" w:sz="4"/>
              <w:right w:val="single" w:color="000000" w:sz="4"/>
            </w:tcBorders>
            <w:shd w:color="000000" w:fill="bdd7ee"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FOSILNA GORIVA</w:t>
            </w:r>
          </w:p>
        </w:tc>
        <w:tc>
          <w:tcPr>
            <w:tcW w:w="1092" w:type="dxa"/>
            <w:tcBorders>
              <w:top w:val="single" w:color="000000" w:sz="0"/>
              <w:left w:val="single" w:color="000000" w:sz="0"/>
              <w:bottom w:val="single" w:color="000000" w:sz="4"/>
              <w:right w:val="single" w:color="000000" w:sz="4"/>
            </w:tcBorders>
            <w:shd w:color="000000" w:fill="bdd7ee"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OBNOVLJIVI IZVORI</w:t>
            </w:r>
          </w:p>
        </w:tc>
        <w:tc>
          <w:tcPr>
            <w:tcW w:w="1291" w:type="dxa"/>
            <w:vMerge w:val="restart"/>
            <w:tcBorders>
              <w:top w:val="single" w:color="000000" w:sz="0"/>
              <w:left w:val="single" w:color="000000" w:sz="4"/>
              <w:bottom w:val="single" w:color="000000" w:sz="4"/>
              <w:right w:val="single" w:color="000000" w:sz="4"/>
            </w:tcBorders>
            <w:shd w:color="000000" w:fill="bdd7ee"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UKUPNO ZA SVE ENERGENTE</w:t>
            </w:r>
          </w:p>
        </w:tc>
      </w:tr>
      <w:tr>
        <w:trPr>
          <w:trHeight w:val="444" w:hRule="auto"/>
          <w:jc w:val="left"/>
        </w:trPr>
        <w:tc>
          <w:tcPr>
            <w:tcW w:w="2338" w:type="dxa"/>
            <w:vMerge/>
            <w:tcBorders>
              <w:top w:val="single" w:color="000000" w:sz="4"/>
              <w:left w:val="single" w:color="000000" w:sz="4"/>
              <w:bottom w:val="single" w:color="000000" w:sz="4"/>
              <w:right w:val="single" w:color="000000" w:sz="4"/>
            </w:tcBorders>
            <w:shd w:color="000000" w:fill="ffffff" w:val="clear"/>
            <w:tcMar>
              <w:left w:w="28" w:type="dxa"/>
              <w:right w:w="28"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090" w:type="dxa"/>
            <w:vMerge/>
            <w:tcBorders>
              <w:top w:val="single" w:color="000000" w:sz="4"/>
              <w:left w:val="single" w:color="000000" w:sz="4"/>
              <w:bottom w:val="single" w:color="000000" w:sz="4"/>
              <w:right w:val="single" w:color="000000" w:sz="4"/>
            </w:tcBorders>
            <w:shd w:color="000000" w:fill="ffffff" w:val="clear"/>
            <w:tcMar>
              <w:left w:w="28" w:type="dxa"/>
              <w:right w:w="28"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886" w:type="dxa"/>
            <w:tcBorders>
              <w:top w:val="single" w:color="000000" w:sz="0"/>
              <w:left w:val="single" w:color="000000" w:sz="0"/>
              <w:bottom w:val="single" w:color="000000" w:sz="4"/>
              <w:right w:val="single" w:color="000000" w:sz="4"/>
            </w:tcBorders>
            <w:shd w:color="000000" w:fill="bdd7ee"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PRIRODNI PLIN</w:t>
            </w:r>
          </w:p>
        </w:tc>
        <w:tc>
          <w:tcPr>
            <w:tcW w:w="785" w:type="dxa"/>
            <w:tcBorders>
              <w:top w:val="single" w:color="000000" w:sz="0"/>
              <w:left w:val="single" w:color="000000" w:sz="0"/>
              <w:bottom w:val="single" w:color="000000" w:sz="4"/>
              <w:right w:val="single" w:color="000000" w:sz="4"/>
            </w:tcBorders>
            <w:shd w:color="000000" w:fill="bdd7ee"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LOŽ ULJE</w:t>
            </w:r>
          </w:p>
        </w:tc>
        <w:tc>
          <w:tcPr>
            <w:tcW w:w="988" w:type="dxa"/>
            <w:tcBorders>
              <w:top w:val="single" w:color="000000" w:sz="0"/>
              <w:left w:val="single" w:color="000000" w:sz="0"/>
              <w:bottom w:val="single" w:color="000000" w:sz="4"/>
              <w:right w:val="single" w:color="000000" w:sz="4"/>
            </w:tcBorders>
            <w:shd w:color="000000" w:fill="bdd7ee"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LIGNIT</w:t>
            </w:r>
          </w:p>
        </w:tc>
        <w:tc>
          <w:tcPr>
            <w:tcW w:w="992" w:type="dxa"/>
            <w:tcBorders>
              <w:top w:val="single" w:color="000000" w:sz="0"/>
              <w:left w:val="single" w:color="000000" w:sz="0"/>
              <w:bottom w:val="single" w:color="000000" w:sz="4"/>
              <w:right w:val="single" w:color="000000" w:sz="4"/>
            </w:tcBorders>
            <w:shd w:color="000000" w:fill="bdd7ee"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MRKI UGALJ</w:t>
            </w:r>
          </w:p>
        </w:tc>
        <w:tc>
          <w:tcPr>
            <w:tcW w:w="1092" w:type="dxa"/>
            <w:tcBorders>
              <w:top w:val="single" w:color="000000" w:sz="0"/>
              <w:left w:val="single" w:color="000000" w:sz="0"/>
              <w:bottom w:val="single" w:color="000000" w:sz="4"/>
              <w:right w:val="single" w:color="000000" w:sz="4"/>
            </w:tcBorders>
            <w:shd w:color="000000" w:fill="bdd7ee"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BIOMASA</w:t>
            </w:r>
          </w:p>
        </w:tc>
        <w:tc>
          <w:tcPr>
            <w:tcW w:w="1291" w:type="dxa"/>
            <w:vMerge/>
            <w:tcBorders>
              <w:top w:val="single" w:color="000000" w:sz="0"/>
              <w:left w:val="single" w:color="000000" w:sz="4"/>
              <w:bottom w:val="single" w:color="000000" w:sz="4"/>
              <w:right w:val="single" w:color="000000" w:sz="4"/>
            </w:tcBorders>
            <w:shd w:color="000000" w:fill="ffffff" w:val="clear"/>
            <w:tcMar>
              <w:left w:w="28" w:type="dxa"/>
              <w:right w:w="28"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r>
      <w:tr>
        <w:trPr>
          <w:trHeight w:val="307" w:hRule="auto"/>
          <w:jc w:val="left"/>
        </w:trPr>
        <w:tc>
          <w:tcPr>
            <w:tcW w:w="2338" w:type="dxa"/>
            <w:tcBorders>
              <w:top w:val="single" w:color="000000" w:sz="4"/>
              <w:left w:val="single" w:color="000000" w:sz="4"/>
              <w:bottom w:val="single" w:color="000000" w:sz="4"/>
              <w:right w:val="single" w:color="000000" w:sz="4"/>
            </w:tcBorders>
            <w:shd w:color="auto" w:fill="bdd6ee"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POTROŠNJA PO ENERGENTIMA</w:t>
            </w:r>
          </w:p>
        </w:tc>
        <w:tc>
          <w:tcPr>
            <w:tcW w:w="1090" w:type="dxa"/>
            <w:tcBorders>
              <w:top w:val="single" w:color="000000" w:sz="0"/>
              <w:left w:val="single" w:color="000000" w:sz="0"/>
              <w:bottom w:val="single" w:color="000000" w:sz="4"/>
              <w:right w:val="single" w:color="000000" w:sz="4"/>
            </w:tcBorders>
            <w:shd w:color="auto" w:fill="auto"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179,75</w:t>
            </w:r>
          </w:p>
        </w:tc>
        <w:tc>
          <w:tcPr>
            <w:tcW w:w="886" w:type="dxa"/>
            <w:tcBorders>
              <w:top w:val="single" w:color="000000" w:sz="0"/>
              <w:left w:val="single" w:color="000000" w:sz="0"/>
              <w:bottom w:val="single" w:color="000000" w:sz="4"/>
              <w:right w:val="single" w:color="000000" w:sz="4"/>
            </w:tcBorders>
            <w:shd w:color="auto" w:fill="auto"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145,82</w:t>
            </w:r>
          </w:p>
        </w:tc>
        <w:tc>
          <w:tcPr>
            <w:tcW w:w="785" w:type="dxa"/>
            <w:tcBorders>
              <w:top w:val="single" w:color="000000" w:sz="0"/>
              <w:left w:val="single" w:color="000000" w:sz="0"/>
              <w:bottom w:val="single" w:color="000000" w:sz="4"/>
              <w:right w:val="single" w:color="000000" w:sz="4"/>
            </w:tcBorders>
            <w:shd w:color="auto" w:fill="auto"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198,74</w:t>
            </w:r>
          </w:p>
        </w:tc>
        <w:tc>
          <w:tcPr>
            <w:tcW w:w="988" w:type="dxa"/>
            <w:tcBorders>
              <w:top w:val="single" w:color="000000" w:sz="0"/>
              <w:left w:val="single" w:color="000000" w:sz="0"/>
              <w:bottom w:val="single" w:color="000000" w:sz="4"/>
              <w:right w:val="single" w:color="000000" w:sz="4"/>
            </w:tcBorders>
            <w:shd w:color="auto" w:fill="auto"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25.006,88</w:t>
            </w:r>
          </w:p>
        </w:tc>
        <w:tc>
          <w:tcPr>
            <w:tcW w:w="992" w:type="dxa"/>
            <w:tcBorders>
              <w:top w:val="single" w:color="000000" w:sz="0"/>
              <w:left w:val="single" w:color="000000" w:sz="0"/>
              <w:bottom w:val="single" w:color="000000" w:sz="4"/>
              <w:right w:val="single" w:color="000000" w:sz="4"/>
            </w:tcBorders>
            <w:shd w:color="auto" w:fill="auto"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25.006,88</w:t>
            </w:r>
          </w:p>
        </w:tc>
        <w:tc>
          <w:tcPr>
            <w:tcW w:w="1092" w:type="dxa"/>
            <w:tcBorders>
              <w:top w:val="single" w:color="000000" w:sz="0"/>
              <w:left w:val="single" w:color="000000" w:sz="0"/>
              <w:bottom w:val="single" w:color="000000" w:sz="4"/>
              <w:right w:val="single" w:color="000000" w:sz="4"/>
            </w:tcBorders>
            <w:shd w:color="auto" w:fill="auto"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3.814,53</w:t>
            </w:r>
          </w:p>
        </w:tc>
        <w:tc>
          <w:tcPr>
            <w:tcW w:w="1291" w:type="dxa"/>
            <w:tcBorders>
              <w:top w:val="single" w:color="000000" w:sz="0"/>
              <w:left w:val="single" w:color="000000" w:sz="0"/>
              <w:bottom w:val="single" w:color="000000" w:sz="4"/>
              <w:right w:val="single" w:color="000000" w:sz="4"/>
            </w:tcBorders>
            <w:shd w:color="000000" w:fill="d9e1f2" w:val="clear"/>
            <w:tcMar>
              <w:left w:w="28" w:type="dxa"/>
              <w:right w:w="28" w:type="dxa"/>
            </w:tcMar>
            <w:vAlign w:val="center"/>
          </w:tcPr>
          <w:p>
            <w:pPr>
              <w:keepNext w:val="true"/>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54.352,61</w:t>
            </w:r>
          </w:p>
        </w:tc>
      </w:tr>
    </w:tbl>
    <w:p>
      <w:pPr>
        <w:spacing w:before="60" w:after="160" w:line="240"/>
        <w:ind w:right="0" w:left="0" w:firstLine="0"/>
        <w:jc w:val="center"/>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Tabela 510: Potrebna finalna energija za grijanje stambenih zgrada u baznoj godini</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Ukupna energija potrebna za grijanje zgrada u ovom podsektoru u baznoj 2010. godini iznosi 54.352,61 MWh. Iz tabele jse vidi da se najve</w:t>
      </w:r>
      <w:r>
        <w:rPr>
          <w:rFonts w:ascii="Calibri" w:hAnsi="Calibri" w:cs="Calibri" w:eastAsia="Calibri"/>
          <w:color w:val="auto"/>
          <w:spacing w:val="0"/>
          <w:position w:val="0"/>
          <w:sz w:val="20"/>
          <w:shd w:fill="auto" w:val="clear"/>
        </w:rPr>
        <w:t xml:space="preserve">ći udio od preko 90% ove energije odnosi na fosilna goriva. S obzirom da je Tuzlanski kanton poznat kao rudarsko područje u kojem se nalazi veći broj rudnika uglja, i da je zbog toga ugalj lako dostupno gorivo sa dugom tradicijom korištenja za grijanje stambenog prostora, najveći udio u ukupnoj finalnoj energiji imaju lignit i mrki ugalj, sa po 46,01%, a zatim slijede energenti koji su mnogo manje zastupljeni za grijanje u podsektoru stambenih zgrada (biomasa, električna energija, prirodni plin i lož ulje). Procentualno učešće zastupljenih energenata prikazano je na </w:t>
      </w:r>
      <w:r>
        <w:rPr>
          <w:rFonts w:ascii="Calibri" w:hAnsi="Calibri" w:cs="Calibri" w:eastAsia="Calibri"/>
          <w:i/>
          <w:color w:val="auto"/>
          <w:spacing w:val="0"/>
          <w:position w:val="0"/>
          <w:sz w:val="20"/>
          <w:shd w:fill="auto" w:val="clear"/>
        </w:rPr>
        <w:t xml:space="preserve">Dijagramu 5-5</w:t>
      </w:r>
      <w:r>
        <w:rPr>
          <w:rFonts w:ascii="Calibri" w:hAnsi="Calibri" w:cs="Calibri" w:eastAsia="Calibri"/>
          <w:color w:val="auto"/>
          <w:spacing w:val="0"/>
          <w:position w:val="0"/>
          <w:sz w:val="20"/>
          <w:shd w:fill="auto" w:val="clear"/>
        </w:rPr>
        <w:t xml:space="preserve"> u nastavku teksta. </w:t>
      </w:r>
    </w:p>
    <w:p>
      <w:pPr>
        <w:spacing w:before="60" w:after="120" w:line="240"/>
        <w:ind w:right="0" w:left="0" w:firstLine="0"/>
        <w:jc w:val="both"/>
        <w:rPr>
          <w:rFonts w:ascii="Calibri" w:hAnsi="Calibri" w:cs="Calibri" w:eastAsia="Calibri"/>
          <w:b/>
          <w:color w:val="auto"/>
          <w:spacing w:val="0"/>
          <w:position w:val="0"/>
          <w:sz w:val="22"/>
          <w:shd w:fill="auto" w:val="clear"/>
        </w:rPr>
      </w:pPr>
      <w:r>
        <w:rPr>
          <w:rFonts w:ascii="Calibri" w:hAnsi="Calibri" w:cs="Calibri" w:eastAsia="Calibri"/>
          <w:color w:val="auto"/>
          <w:spacing w:val="0"/>
          <w:position w:val="0"/>
          <w:sz w:val="20"/>
          <w:shd w:fill="auto" w:val="clear"/>
        </w:rPr>
        <w:t xml:space="preserve">Ukupne emisije CO</w:t>
      </w:r>
      <w:r>
        <w:rPr>
          <w:rFonts w:ascii="Calibri" w:hAnsi="Calibri" w:cs="Calibri" w:eastAsia="Calibri"/>
          <w:color w:val="auto"/>
          <w:spacing w:val="0"/>
          <w:position w:val="0"/>
          <w:sz w:val="20"/>
          <w:shd w:fill="auto" w:val="clear"/>
          <w:vertAlign w:val="subscript"/>
        </w:rPr>
        <w:t xml:space="preserve">2 </w:t>
      </w:r>
      <w:r>
        <w:rPr>
          <w:rFonts w:ascii="Calibri" w:hAnsi="Calibri" w:cs="Calibri" w:eastAsia="Calibri"/>
          <w:color w:val="auto"/>
          <w:spacing w:val="0"/>
          <w:position w:val="0"/>
          <w:sz w:val="20"/>
          <w:shd w:fill="auto" w:val="clear"/>
        </w:rPr>
        <w:t xml:space="preserve">za podsektor stambenih zgrada u Doboj Istoku u baznoj godini, dobivene kao proizvod potrebne finalne energije za grijanje stambenih zgrada i odgovaraju</w:t>
      </w:r>
      <w:r>
        <w:rPr>
          <w:rFonts w:ascii="Calibri" w:hAnsi="Calibri" w:cs="Calibri" w:eastAsia="Calibri"/>
          <w:color w:val="auto"/>
          <w:spacing w:val="0"/>
          <w:position w:val="0"/>
          <w:sz w:val="20"/>
          <w:shd w:fill="auto" w:val="clear"/>
        </w:rPr>
        <w:t xml:space="preserve">ćih emisionih faktora, prikazane su u narednoj tabeli. </w:t>
      </w:r>
    </w:p>
    <w:tbl>
      <w:tblPr/>
      <w:tblGrid>
        <w:gridCol w:w="2338"/>
        <w:gridCol w:w="1090"/>
        <w:gridCol w:w="888"/>
        <w:gridCol w:w="785"/>
        <w:gridCol w:w="988"/>
        <w:gridCol w:w="990"/>
        <w:gridCol w:w="1092"/>
        <w:gridCol w:w="1291"/>
      </w:tblGrid>
      <w:tr>
        <w:trPr>
          <w:trHeight w:val="289" w:hRule="auto"/>
          <w:jc w:val="left"/>
        </w:trPr>
        <w:tc>
          <w:tcPr>
            <w:tcW w:w="9462" w:type="dxa"/>
            <w:gridSpan w:val="8"/>
            <w:tcBorders>
              <w:top w:val="single" w:color="000000" w:sz="4"/>
              <w:left w:val="single" w:color="000000" w:sz="4"/>
              <w:bottom w:val="single" w:color="000000" w:sz="4"/>
              <w:right w:val="single" w:color="000000" w:sz="4"/>
            </w:tcBorders>
            <w:shd w:color="000000" w:fill="bdd7ee"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EMISIJE CO</w:t>
            </w:r>
            <w:r>
              <w:rPr>
                <w:rFonts w:ascii="Calibri" w:hAnsi="Calibri" w:cs="Calibri" w:eastAsia="Calibri"/>
                <w:color w:val="000000"/>
                <w:spacing w:val="0"/>
                <w:position w:val="0"/>
                <w:sz w:val="18"/>
                <w:shd w:fill="auto" w:val="clear"/>
                <w:vertAlign w:val="subscript"/>
              </w:rPr>
              <w:t xml:space="preserve">2</w:t>
            </w:r>
            <w:r>
              <w:rPr>
                <w:rFonts w:ascii="Calibri" w:hAnsi="Calibri" w:cs="Calibri" w:eastAsia="Calibri"/>
                <w:color w:val="000000"/>
                <w:spacing w:val="0"/>
                <w:position w:val="0"/>
                <w:sz w:val="18"/>
                <w:shd w:fill="auto" w:val="clear"/>
              </w:rPr>
              <w:t xml:space="preserve">  [tCO</w:t>
            </w:r>
            <w:r>
              <w:rPr>
                <w:rFonts w:ascii="Calibri" w:hAnsi="Calibri" w:cs="Calibri" w:eastAsia="Calibri"/>
                <w:color w:val="000000"/>
                <w:spacing w:val="0"/>
                <w:position w:val="0"/>
                <w:sz w:val="18"/>
                <w:shd w:fill="auto" w:val="clear"/>
                <w:vertAlign w:val="subscript"/>
              </w:rPr>
              <w:t xml:space="preserve">2</w:t>
            </w:r>
            <w:r>
              <w:rPr>
                <w:rFonts w:ascii="Calibri" w:hAnsi="Calibri" w:cs="Calibri" w:eastAsia="Calibri"/>
                <w:color w:val="000000"/>
                <w:spacing w:val="0"/>
                <w:position w:val="0"/>
                <w:sz w:val="18"/>
                <w:shd w:fill="auto" w:val="clear"/>
              </w:rPr>
              <w:t xml:space="preserve">]</w:t>
            </w:r>
          </w:p>
        </w:tc>
      </w:tr>
      <w:tr>
        <w:trPr>
          <w:trHeight w:val="574" w:hRule="auto"/>
          <w:jc w:val="left"/>
        </w:trPr>
        <w:tc>
          <w:tcPr>
            <w:tcW w:w="2338" w:type="dxa"/>
            <w:vMerge w:val="restart"/>
            <w:tcBorders>
              <w:top w:val="single" w:color="000000" w:sz="4"/>
              <w:left w:val="single" w:color="000000" w:sz="4"/>
              <w:bottom w:val="single" w:color="000000" w:sz="4"/>
              <w:right w:val="single" w:color="000000" w:sz="4"/>
            </w:tcBorders>
            <w:shd w:color="000000" w:fill="bdd7ee" w:val="clear"/>
            <w:tcMar>
              <w:left w:w="28" w:type="dxa"/>
              <w:right w:w="2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VRSTA ENERGENTA</w:t>
            </w:r>
          </w:p>
        </w:tc>
        <w:tc>
          <w:tcPr>
            <w:tcW w:w="1090" w:type="dxa"/>
            <w:vMerge w:val="restart"/>
            <w:tcBorders>
              <w:top w:val="single" w:color="000000" w:sz="4"/>
              <w:left w:val="single" w:color="000000" w:sz="4"/>
              <w:bottom w:val="single" w:color="000000" w:sz="4"/>
              <w:right w:val="single" w:color="000000" w:sz="4"/>
            </w:tcBorders>
            <w:shd w:color="000000" w:fill="bdd7ee"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ELEKTRI</w:t>
            </w:r>
            <w:r>
              <w:rPr>
                <w:rFonts w:ascii="Calibri" w:hAnsi="Calibri" w:cs="Calibri" w:eastAsia="Calibri"/>
                <w:color w:val="000000"/>
                <w:spacing w:val="0"/>
                <w:position w:val="0"/>
                <w:sz w:val="18"/>
                <w:shd w:fill="auto" w:val="clear"/>
              </w:rPr>
              <w:t xml:space="preserve">ČNA ENERGIJA</w:t>
            </w:r>
          </w:p>
        </w:tc>
        <w:tc>
          <w:tcPr>
            <w:tcW w:w="3651" w:type="dxa"/>
            <w:gridSpan w:val="4"/>
            <w:tcBorders>
              <w:top w:val="single" w:color="000000" w:sz="4"/>
              <w:left w:val="single" w:color="000000" w:sz="0"/>
              <w:bottom w:val="single" w:color="000000" w:sz="4"/>
              <w:right w:val="single" w:color="000000" w:sz="4"/>
            </w:tcBorders>
            <w:shd w:color="000000" w:fill="bdd7ee"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FOSILNA GORIVA</w:t>
            </w:r>
          </w:p>
        </w:tc>
        <w:tc>
          <w:tcPr>
            <w:tcW w:w="1092" w:type="dxa"/>
            <w:tcBorders>
              <w:top w:val="single" w:color="000000" w:sz="4"/>
              <w:left w:val="single" w:color="000000" w:sz="0"/>
              <w:bottom w:val="single" w:color="000000" w:sz="4"/>
              <w:right w:val="single" w:color="000000" w:sz="4"/>
            </w:tcBorders>
            <w:shd w:color="000000" w:fill="bdd7ee"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OBNOVLJIVI IZVORI  ENERGIJE</w:t>
            </w:r>
          </w:p>
        </w:tc>
        <w:tc>
          <w:tcPr>
            <w:tcW w:w="1291" w:type="dxa"/>
            <w:vMerge w:val="restart"/>
            <w:tcBorders>
              <w:top w:val="single" w:color="000000" w:sz="4"/>
              <w:left w:val="single" w:color="000000" w:sz="4"/>
              <w:bottom w:val="single" w:color="000000" w:sz="4"/>
              <w:right w:val="single" w:color="000000" w:sz="4"/>
            </w:tcBorders>
            <w:shd w:color="000000" w:fill="bdd7ee"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UKUPNO PO ENERGENTIMA</w:t>
            </w:r>
          </w:p>
        </w:tc>
      </w:tr>
      <w:tr>
        <w:trPr>
          <w:trHeight w:val="481" w:hRule="auto"/>
          <w:jc w:val="left"/>
        </w:trPr>
        <w:tc>
          <w:tcPr>
            <w:tcW w:w="2338" w:type="dxa"/>
            <w:vMerge/>
            <w:tcBorders>
              <w:top w:val="single" w:color="000000" w:sz="4"/>
              <w:left w:val="single" w:color="000000" w:sz="4"/>
              <w:bottom w:val="single" w:color="000000" w:sz="4"/>
              <w:right w:val="single" w:color="000000" w:sz="4"/>
            </w:tcBorders>
            <w:shd w:color="000000" w:fill="ffffff" w:val="clear"/>
            <w:tcMar>
              <w:left w:w="28" w:type="dxa"/>
              <w:right w:w="28"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090" w:type="dxa"/>
            <w:vMerge/>
            <w:tcBorders>
              <w:top w:val="single" w:color="000000" w:sz="4"/>
              <w:left w:val="single" w:color="000000" w:sz="4"/>
              <w:bottom w:val="single" w:color="000000" w:sz="4"/>
              <w:right w:val="single" w:color="000000" w:sz="4"/>
            </w:tcBorders>
            <w:shd w:color="000000" w:fill="ffffff" w:val="clear"/>
            <w:tcMar>
              <w:left w:w="28" w:type="dxa"/>
              <w:right w:w="28"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888" w:type="dxa"/>
            <w:tcBorders>
              <w:top w:val="single" w:color="000000" w:sz="0"/>
              <w:left w:val="single" w:color="000000" w:sz="0"/>
              <w:bottom w:val="single" w:color="000000" w:sz="4"/>
              <w:right w:val="single" w:color="000000" w:sz="4"/>
            </w:tcBorders>
            <w:shd w:color="000000" w:fill="bdd7ee"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PRIRODNI PLIN</w:t>
            </w:r>
          </w:p>
        </w:tc>
        <w:tc>
          <w:tcPr>
            <w:tcW w:w="785" w:type="dxa"/>
            <w:tcBorders>
              <w:top w:val="single" w:color="000000" w:sz="0"/>
              <w:left w:val="single" w:color="000000" w:sz="0"/>
              <w:bottom w:val="single" w:color="000000" w:sz="4"/>
              <w:right w:val="single" w:color="000000" w:sz="4"/>
            </w:tcBorders>
            <w:shd w:color="000000" w:fill="bdd7ee"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LOŽ ULJE</w:t>
            </w:r>
          </w:p>
        </w:tc>
        <w:tc>
          <w:tcPr>
            <w:tcW w:w="988" w:type="dxa"/>
            <w:tcBorders>
              <w:top w:val="single" w:color="000000" w:sz="0"/>
              <w:left w:val="single" w:color="000000" w:sz="0"/>
              <w:bottom w:val="single" w:color="000000" w:sz="4"/>
              <w:right w:val="single" w:color="000000" w:sz="4"/>
            </w:tcBorders>
            <w:shd w:color="000000" w:fill="bdd7ee"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LIGNIT</w:t>
            </w:r>
          </w:p>
        </w:tc>
        <w:tc>
          <w:tcPr>
            <w:tcW w:w="990" w:type="dxa"/>
            <w:tcBorders>
              <w:top w:val="single" w:color="000000" w:sz="0"/>
              <w:left w:val="single" w:color="000000" w:sz="0"/>
              <w:bottom w:val="single" w:color="000000" w:sz="4"/>
              <w:right w:val="single" w:color="000000" w:sz="4"/>
            </w:tcBorders>
            <w:shd w:color="000000" w:fill="bdd7ee"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MRKI UGALJ</w:t>
            </w:r>
          </w:p>
        </w:tc>
        <w:tc>
          <w:tcPr>
            <w:tcW w:w="1092" w:type="dxa"/>
            <w:tcBorders>
              <w:top w:val="single" w:color="000000" w:sz="0"/>
              <w:left w:val="single" w:color="000000" w:sz="0"/>
              <w:bottom w:val="single" w:color="000000" w:sz="4"/>
              <w:right w:val="single" w:color="000000" w:sz="4"/>
            </w:tcBorders>
            <w:shd w:color="000000" w:fill="bdd7ee"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BIOMASA</w:t>
            </w:r>
          </w:p>
        </w:tc>
        <w:tc>
          <w:tcPr>
            <w:tcW w:w="1291" w:type="dxa"/>
            <w:vMerge/>
            <w:tcBorders>
              <w:top w:val="single" w:color="000000" w:sz="0"/>
              <w:left w:val="single" w:color="000000" w:sz="4"/>
              <w:bottom w:val="single" w:color="000000" w:sz="4"/>
              <w:right w:val="single" w:color="000000" w:sz="4"/>
            </w:tcBorders>
            <w:shd w:color="000000" w:fill="ffffff" w:val="clear"/>
            <w:tcMar>
              <w:left w:w="28" w:type="dxa"/>
              <w:right w:w="28"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r>
      <w:tr>
        <w:trPr>
          <w:trHeight w:val="310" w:hRule="auto"/>
          <w:jc w:val="left"/>
        </w:trPr>
        <w:tc>
          <w:tcPr>
            <w:tcW w:w="2338" w:type="dxa"/>
            <w:tcBorders>
              <w:top w:val="single" w:color="000000" w:sz="4"/>
              <w:left w:val="single" w:color="000000" w:sz="4"/>
              <w:bottom w:val="single" w:color="000000" w:sz="4"/>
              <w:right w:val="single" w:color="000000" w:sz="4"/>
            </w:tcBorders>
            <w:shd w:color="auto" w:fill="bdd6ee"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POTROŠNJA PO ENERGENTIMA</w:t>
            </w:r>
          </w:p>
        </w:tc>
        <w:tc>
          <w:tcPr>
            <w:tcW w:w="1090" w:type="dxa"/>
            <w:tcBorders>
              <w:top w:val="single" w:color="000000" w:sz="0"/>
              <w:left w:val="single" w:color="000000" w:sz="0"/>
              <w:bottom w:val="single" w:color="000000" w:sz="4"/>
              <w:right w:val="single" w:color="000000" w:sz="4"/>
            </w:tcBorders>
            <w:shd w:color="auto" w:fill="auto"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136,61</w:t>
            </w:r>
          </w:p>
        </w:tc>
        <w:tc>
          <w:tcPr>
            <w:tcW w:w="888" w:type="dxa"/>
            <w:tcBorders>
              <w:top w:val="single" w:color="000000" w:sz="0"/>
              <w:left w:val="single" w:color="000000" w:sz="0"/>
              <w:bottom w:val="single" w:color="000000" w:sz="4"/>
              <w:right w:val="single" w:color="000000" w:sz="4"/>
            </w:tcBorders>
            <w:shd w:color="auto" w:fill="auto"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33,68</w:t>
            </w:r>
          </w:p>
        </w:tc>
        <w:tc>
          <w:tcPr>
            <w:tcW w:w="785" w:type="dxa"/>
            <w:tcBorders>
              <w:top w:val="single" w:color="000000" w:sz="0"/>
              <w:left w:val="single" w:color="000000" w:sz="0"/>
              <w:bottom w:val="single" w:color="000000" w:sz="4"/>
              <w:right w:val="single" w:color="000000" w:sz="4"/>
            </w:tcBorders>
            <w:shd w:color="auto" w:fill="auto"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53,06</w:t>
            </w:r>
          </w:p>
        </w:tc>
        <w:tc>
          <w:tcPr>
            <w:tcW w:w="988" w:type="dxa"/>
            <w:tcBorders>
              <w:top w:val="single" w:color="000000" w:sz="0"/>
              <w:left w:val="single" w:color="000000" w:sz="0"/>
              <w:bottom w:val="single" w:color="000000" w:sz="4"/>
              <w:right w:val="single" w:color="000000" w:sz="4"/>
            </w:tcBorders>
            <w:shd w:color="auto" w:fill="auto"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9.102,51</w:t>
            </w:r>
          </w:p>
        </w:tc>
        <w:tc>
          <w:tcPr>
            <w:tcW w:w="990" w:type="dxa"/>
            <w:tcBorders>
              <w:top w:val="single" w:color="000000" w:sz="0"/>
              <w:left w:val="single" w:color="000000" w:sz="0"/>
              <w:bottom w:val="single" w:color="000000" w:sz="4"/>
              <w:right w:val="single" w:color="000000" w:sz="4"/>
            </w:tcBorders>
            <w:shd w:color="auto" w:fill="auto"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8.527,35</w:t>
            </w:r>
          </w:p>
        </w:tc>
        <w:tc>
          <w:tcPr>
            <w:tcW w:w="1092" w:type="dxa"/>
            <w:tcBorders>
              <w:top w:val="single" w:color="000000" w:sz="0"/>
              <w:left w:val="single" w:color="000000" w:sz="0"/>
              <w:bottom w:val="single" w:color="000000" w:sz="4"/>
              <w:right w:val="single" w:color="000000" w:sz="4"/>
            </w:tcBorders>
            <w:shd w:color="auto" w:fill="auto"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1.537,25</w:t>
            </w:r>
          </w:p>
        </w:tc>
        <w:tc>
          <w:tcPr>
            <w:tcW w:w="1291" w:type="dxa"/>
            <w:tcBorders>
              <w:top w:val="single" w:color="000000" w:sz="0"/>
              <w:left w:val="single" w:color="000000" w:sz="0"/>
              <w:bottom w:val="single" w:color="000000" w:sz="4"/>
              <w:right w:val="single" w:color="000000" w:sz="4"/>
            </w:tcBorders>
            <w:shd w:color="000000" w:fill="d9e1f2" w:val="clear"/>
            <w:tcMar>
              <w:left w:w="28" w:type="dxa"/>
              <w:right w:w="28" w:type="dxa"/>
            </w:tcMar>
            <w:vAlign w:val="center"/>
          </w:tcPr>
          <w:p>
            <w:pPr>
              <w:keepNext w:val="true"/>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19.390,47</w:t>
            </w:r>
          </w:p>
        </w:tc>
      </w:tr>
    </w:tbl>
    <w:p>
      <w:pPr>
        <w:spacing w:before="60" w:after="160" w:line="240"/>
        <w:ind w:right="0" w:left="0" w:firstLine="0"/>
        <w:jc w:val="center"/>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Tabela 511: Godišnje emisije CO</w:t>
      </w:r>
      <w:r>
        <w:rPr>
          <w:rFonts w:ascii="Calibri" w:hAnsi="Calibri" w:cs="Calibri" w:eastAsia="Calibri"/>
          <w:color w:val="auto"/>
          <w:spacing w:val="0"/>
          <w:position w:val="0"/>
          <w:sz w:val="18"/>
          <w:shd w:fill="auto" w:val="clear"/>
          <w:vertAlign w:val="subscript"/>
        </w:rPr>
        <w:t xml:space="preserve">2</w:t>
      </w:r>
      <w:r>
        <w:rPr>
          <w:rFonts w:ascii="Calibri" w:hAnsi="Calibri" w:cs="Calibri" w:eastAsia="Calibri"/>
          <w:color w:val="auto"/>
          <w:spacing w:val="0"/>
          <w:position w:val="0"/>
          <w:sz w:val="18"/>
          <w:shd w:fill="auto" w:val="clear"/>
        </w:rPr>
        <w:t xml:space="preserve"> iz podsektora stambenih zgrada u baznoj godini</w:t>
      </w:r>
    </w:p>
    <w:p>
      <w:pPr>
        <w:spacing w:before="120" w:after="12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Ukupna prora</w:t>
      </w:r>
      <w:r>
        <w:rPr>
          <w:rFonts w:ascii="Calibri" w:hAnsi="Calibri" w:cs="Calibri" w:eastAsia="Calibri"/>
          <w:color w:val="auto"/>
          <w:spacing w:val="0"/>
          <w:position w:val="0"/>
          <w:sz w:val="20"/>
          <w:shd w:fill="auto" w:val="clear"/>
        </w:rPr>
        <w:t xml:space="preserve">čunata vrijednost godišnje emisije CO</w:t>
      </w:r>
      <w:r>
        <w:rPr>
          <w:rFonts w:ascii="Calibri" w:hAnsi="Calibri" w:cs="Calibri" w:eastAsia="Calibri"/>
          <w:color w:val="auto"/>
          <w:spacing w:val="0"/>
          <w:position w:val="0"/>
          <w:sz w:val="20"/>
          <w:shd w:fill="auto" w:val="clear"/>
          <w:vertAlign w:val="subscript"/>
        </w:rPr>
        <w:t xml:space="preserve">2 </w:t>
      </w:r>
      <w:r>
        <w:rPr>
          <w:rFonts w:ascii="Calibri" w:hAnsi="Calibri" w:cs="Calibri" w:eastAsia="Calibri"/>
          <w:color w:val="auto"/>
          <w:spacing w:val="0"/>
          <w:position w:val="0"/>
          <w:sz w:val="20"/>
          <w:shd w:fill="auto" w:val="clear"/>
        </w:rPr>
        <w:t xml:space="preserve">iz podsektora stambenih zgrada u baznoj 2010. godini iznosi 19.390,47 t. Iz ove tabele se vidi da u ukupnim emisijama iz podsektora stambenih zgrada najveći udio imaju emisije iz lignita (46,94%) i mrkog uglja (43,98%), dok je učešće ostalih energenata (električna energija, drvna biomasa, lož ulje i prirodni plin) u emisijama znatno manje. Procentualno učešće razmatranih energenata u ukupnim emisijama iz ovog podsektora prikazano je na Dijagramu 5-6. </w:t>
      </w:r>
    </w:p>
    <w:tbl>
      <w:tblPr/>
      <w:tblGrid>
        <w:gridCol w:w="4904"/>
        <w:gridCol w:w="4716"/>
      </w:tblGrid>
      <w:tr>
        <w:trPr>
          <w:trHeight w:val="1" w:hRule="atLeast"/>
          <w:jc w:val="left"/>
        </w:trPr>
        <w:tc>
          <w:tcPr>
            <w:tcW w:w="4904"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p>
            <w:pPr>
              <w:spacing w:before="60" w:after="16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Dijagram 55: Udio razmatranih energenata u finalnoj energiji za grijanje stambenih zgrada u baznoj godini</w:t>
            </w:r>
          </w:p>
        </w:tc>
        <w:tc>
          <w:tcPr>
            <w:tcW w:w="4716"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p>
            <w:pPr>
              <w:spacing w:before="60" w:after="16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Dijagram 56: Udio razmatranih energenata u emisijama CO</w:t>
            </w:r>
            <w:r>
              <w:rPr>
                <w:rFonts w:ascii="Calibri" w:hAnsi="Calibri" w:cs="Calibri" w:eastAsia="Calibri"/>
                <w:color w:val="auto"/>
                <w:spacing w:val="0"/>
                <w:position w:val="0"/>
                <w:sz w:val="18"/>
                <w:shd w:fill="auto" w:val="clear"/>
                <w:vertAlign w:val="subscript"/>
              </w:rPr>
              <w:t xml:space="preserve">2 </w:t>
            </w:r>
            <w:r>
              <w:rPr>
                <w:rFonts w:ascii="Calibri" w:hAnsi="Calibri" w:cs="Calibri" w:eastAsia="Calibri"/>
                <w:color w:val="auto"/>
                <w:spacing w:val="0"/>
                <w:position w:val="0"/>
                <w:sz w:val="18"/>
                <w:shd w:fill="auto" w:val="clear"/>
              </w:rPr>
              <w:t xml:space="preserve">iz podsektora stambenih zgrada u baznoj godini</w:t>
            </w:r>
          </w:p>
        </w:tc>
      </w:tr>
    </w:tbl>
    <w:p>
      <w:pPr>
        <w:keepNext w:val="true"/>
        <w:keepLines w:val="true"/>
        <w:numPr>
          <w:ilvl w:val="0"/>
          <w:numId w:val="984"/>
        </w:numPr>
        <w:spacing w:before="120" w:after="0" w:line="240"/>
        <w:ind w:right="0" w:left="720" w:hanging="72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Emisije CO</w:t>
      </w:r>
      <w:r>
        <w:rPr>
          <w:rFonts w:ascii="Calibri" w:hAnsi="Calibri" w:cs="Calibri" w:eastAsia="Calibri"/>
          <w:b/>
          <w:color w:val="auto"/>
          <w:spacing w:val="0"/>
          <w:position w:val="0"/>
          <w:sz w:val="24"/>
          <w:shd w:fill="auto" w:val="clear"/>
          <w:vertAlign w:val="subscript"/>
        </w:rPr>
        <w:t xml:space="preserve">2</w:t>
      </w:r>
      <w:r>
        <w:rPr>
          <w:rFonts w:ascii="Calibri" w:hAnsi="Calibri" w:cs="Calibri" w:eastAsia="Calibri"/>
          <w:b/>
          <w:color w:val="auto"/>
          <w:spacing w:val="0"/>
          <w:position w:val="0"/>
          <w:sz w:val="24"/>
          <w:shd w:fill="auto" w:val="clear"/>
        </w:rPr>
        <w:t xml:space="preserve"> u baznoj godini iz sektora saobra</w:t>
      </w:r>
      <w:r>
        <w:rPr>
          <w:rFonts w:ascii="Calibri" w:hAnsi="Calibri" w:cs="Calibri" w:eastAsia="Calibri"/>
          <w:b/>
          <w:color w:val="auto"/>
          <w:spacing w:val="0"/>
          <w:position w:val="0"/>
          <w:sz w:val="24"/>
          <w:shd w:fill="auto" w:val="clear"/>
        </w:rPr>
        <w:t xml:space="preserve">ćaja</w:t>
      </w:r>
    </w:p>
    <w:p>
      <w:pPr>
        <w:spacing w:before="60" w:after="12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Sektor saobra</w:t>
      </w:r>
      <w:r>
        <w:rPr>
          <w:rFonts w:ascii="Calibri" w:hAnsi="Calibri" w:cs="Calibri" w:eastAsia="Calibri"/>
          <w:color w:val="auto"/>
          <w:spacing w:val="0"/>
          <w:position w:val="0"/>
          <w:sz w:val="20"/>
          <w:shd w:fill="auto" w:val="clear"/>
        </w:rPr>
        <w:t xml:space="preserve">ćaja općine Doboj Istok je u 2010. godini obuhvatao ukupno 2.468 vozila svrstanih u 5 kategorija: putnička vozila, autobusi, komercijalna vozila, teretna vozila, te motocikli i mopedi. Od ukupnog broja vozila najveći dio (87,44%) odnosio se na putnička vozila, zatim su slijedila komercijalna vozila sa 6,56%, teretna vozila sa 4,21%, motocikli i mopedi sa 1,30% te autobusi sa 0,49%. Struktura sektora saobraćaja općine Doboj Istok u baznoj godini prema kategorijama vozila prikazana je u narednoj tabeli i dijagramu.  </w:t>
      </w:r>
    </w:p>
    <w:tbl>
      <w:tblPr/>
      <w:tblGrid>
        <w:gridCol w:w="4040"/>
        <w:gridCol w:w="4986"/>
      </w:tblGrid>
      <w:tr>
        <w:trPr>
          <w:trHeight w:val="1" w:hRule="atLeast"/>
          <w:jc w:val="left"/>
        </w:trPr>
        <w:tc>
          <w:tcPr>
            <w:tcW w:w="404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200" w:line="276"/>
              <w:ind w:right="0" w:left="0" w:firstLine="0"/>
              <w:jc w:val="both"/>
              <w:rPr>
                <w:rFonts w:ascii="Calibri" w:hAnsi="Calibri" w:cs="Calibri" w:eastAsia="Calibri"/>
                <w:color w:val="auto"/>
                <w:spacing w:val="0"/>
                <w:position w:val="0"/>
                <w:sz w:val="22"/>
                <w:shd w:fill="FFFF00" w:val="clear"/>
              </w:rPr>
            </w:pPr>
          </w:p>
          <w:p>
            <w:pPr>
              <w:keepNext w:val="true"/>
              <w:spacing w:before="0" w:after="200" w:line="240"/>
              <w:ind w:right="0" w:left="0" w:firstLine="0"/>
              <w:jc w:val="left"/>
              <w:rPr>
                <w:rFonts w:ascii="Calibri" w:hAnsi="Calibri" w:cs="Calibri" w:eastAsia="Calibri"/>
                <w:color w:val="auto"/>
                <w:spacing w:val="0"/>
                <w:position w:val="0"/>
                <w:sz w:val="20"/>
                <w:shd w:fill="auto" w:val="clear"/>
              </w:rPr>
            </w:pPr>
          </w:p>
          <w:tbl>
            <w:tblPr/>
            <w:tblGrid>
              <w:gridCol w:w="2335"/>
              <w:gridCol w:w="1322"/>
            </w:tblGrid>
            <w:tr>
              <w:trPr>
                <w:trHeight w:val="227" w:hRule="auto"/>
                <w:jc w:val="center"/>
              </w:trPr>
              <w:tc>
                <w:tcPr>
                  <w:tcW w:w="2335" w:type="dxa"/>
                  <w:tcBorders>
                    <w:top w:val="single" w:color="000000" w:sz="6"/>
                    <w:left w:val="single" w:color="000000" w:sz="6"/>
                    <w:bottom w:val="single" w:color="000000" w:sz="6"/>
                    <w:right w:val="single" w:color="000000" w:sz="6"/>
                  </w:tcBorders>
                  <w:shd w:color="auto" w:fill="bdd6ee"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KATEGORIJA VOZILA</w:t>
                  </w:r>
                </w:p>
              </w:tc>
              <w:tc>
                <w:tcPr>
                  <w:tcW w:w="1322" w:type="dxa"/>
                  <w:tcBorders>
                    <w:top w:val="single" w:color="000000" w:sz="6"/>
                    <w:left w:val="single" w:color="000000" w:sz="6"/>
                    <w:bottom w:val="single" w:color="000000" w:sz="6"/>
                    <w:right w:val="single" w:color="000000" w:sz="6"/>
                  </w:tcBorders>
                  <w:shd w:color="auto" w:fill="bdd6ee"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BROJ VOZILA</w:t>
                  </w:r>
                </w:p>
              </w:tc>
            </w:tr>
            <w:tr>
              <w:trPr>
                <w:trHeight w:val="227" w:hRule="auto"/>
                <w:jc w:val="center"/>
              </w:trPr>
              <w:tc>
                <w:tcPr>
                  <w:tcW w:w="2335" w:type="dxa"/>
                  <w:tcBorders>
                    <w:top w:val="single" w:color="000000" w:sz="6"/>
                    <w:left w:val="single" w:color="000000" w:sz="6"/>
                    <w:bottom w:val="single" w:color="000000" w:sz="6"/>
                    <w:right w:val="single" w:color="000000" w:sz="6"/>
                  </w:tcBorders>
                  <w:shd w:color="auto" w:fill="bdd6ee"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PUTNI</w:t>
                  </w:r>
                  <w:r>
                    <w:rPr>
                      <w:rFonts w:ascii="Calibri" w:hAnsi="Calibri" w:cs="Calibri" w:eastAsia="Calibri"/>
                      <w:color w:val="000000"/>
                      <w:spacing w:val="0"/>
                      <w:position w:val="0"/>
                      <w:sz w:val="18"/>
                      <w:shd w:fill="auto" w:val="clear"/>
                    </w:rPr>
                    <w:t xml:space="preserve">ČKA VOZILA</w:t>
                  </w:r>
                </w:p>
              </w:tc>
              <w:tc>
                <w:tcPr>
                  <w:tcW w:w="1322" w:type="dxa"/>
                  <w:tcBorders>
                    <w:top w:val="single" w:color="000000" w:sz="6"/>
                    <w:left w:val="single" w:color="000000" w:sz="6"/>
                    <w:bottom w:val="single" w:color="000000" w:sz="6"/>
                    <w:right w:val="single" w:color="000000" w:sz="6"/>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2.158</w:t>
                  </w:r>
                </w:p>
              </w:tc>
            </w:tr>
            <w:tr>
              <w:trPr>
                <w:trHeight w:val="227" w:hRule="auto"/>
                <w:jc w:val="center"/>
              </w:trPr>
              <w:tc>
                <w:tcPr>
                  <w:tcW w:w="2335" w:type="dxa"/>
                  <w:tcBorders>
                    <w:top w:val="single" w:color="000000" w:sz="6"/>
                    <w:left w:val="single" w:color="000000" w:sz="6"/>
                    <w:bottom w:val="single" w:color="000000" w:sz="6"/>
                    <w:right w:val="single" w:color="000000" w:sz="6"/>
                  </w:tcBorders>
                  <w:shd w:color="auto" w:fill="bdd6ee"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AUTOBUSI</w:t>
                  </w:r>
                </w:p>
              </w:tc>
              <w:tc>
                <w:tcPr>
                  <w:tcW w:w="1322" w:type="dxa"/>
                  <w:tcBorders>
                    <w:top w:val="single" w:color="000000" w:sz="6"/>
                    <w:left w:val="single" w:color="000000" w:sz="6"/>
                    <w:bottom w:val="single" w:color="000000" w:sz="6"/>
                    <w:right w:val="single" w:color="000000" w:sz="6"/>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12</w:t>
                  </w:r>
                </w:p>
              </w:tc>
            </w:tr>
            <w:tr>
              <w:trPr>
                <w:trHeight w:val="227" w:hRule="auto"/>
                <w:jc w:val="center"/>
              </w:trPr>
              <w:tc>
                <w:tcPr>
                  <w:tcW w:w="2335" w:type="dxa"/>
                  <w:tcBorders>
                    <w:top w:val="single" w:color="000000" w:sz="6"/>
                    <w:left w:val="single" w:color="000000" w:sz="6"/>
                    <w:bottom w:val="single" w:color="000000" w:sz="6"/>
                    <w:right w:val="single" w:color="000000" w:sz="6"/>
                  </w:tcBorders>
                  <w:shd w:color="auto" w:fill="bdd6ee"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KOMERCIJALNA VOZILA</w:t>
                  </w:r>
                </w:p>
              </w:tc>
              <w:tc>
                <w:tcPr>
                  <w:tcW w:w="1322" w:type="dxa"/>
                  <w:tcBorders>
                    <w:top w:val="single" w:color="000000" w:sz="6"/>
                    <w:left w:val="single" w:color="000000" w:sz="6"/>
                    <w:bottom w:val="single" w:color="000000" w:sz="6"/>
                    <w:right w:val="single" w:color="000000" w:sz="6"/>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162</w:t>
                  </w:r>
                </w:p>
              </w:tc>
            </w:tr>
            <w:tr>
              <w:trPr>
                <w:trHeight w:val="227" w:hRule="auto"/>
                <w:jc w:val="center"/>
              </w:trPr>
              <w:tc>
                <w:tcPr>
                  <w:tcW w:w="2335" w:type="dxa"/>
                  <w:tcBorders>
                    <w:top w:val="single" w:color="000000" w:sz="6"/>
                    <w:left w:val="single" w:color="000000" w:sz="6"/>
                    <w:bottom w:val="single" w:color="000000" w:sz="6"/>
                    <w:right w:val="single" w:color="000000" w:sz="6"/>
                  </w:tcBorders>
                  <w:shd w:color="auto" w:fill="bdd6ee"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TERETNA VOZILA</w:t>
                  </w:r>
                </w:p>
              </w:tc>
              <w:tc>
                <w:tcPr>
                  <w:tcW w:w="1322" w:type="dxa"/>
                  <w:tcBorders>
                    <w:top w:val="single" w:color="000000" w:sz="6"/>
                    <w:left w:val="single" w:color="000000" w:sz="6"/>
                    <w:bottom w:val="single" w:color="000000" w:sz="6"/>
                    <w:right w:val="single" w:color="000000" w:sz="6"/>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104</w:t>
                  </w:r>
                </w:p>
              </w:tc>
            </w:tr>
            <w:tr>
              <w:trPr>
                <w:trHeight w:val="227" w:hRule="auto"/>
                <w:jc w:val="center"/>
              </w:trPr>
              <w:tc>
                <w:tcPr>
                  <w:tcW w:w="2335" w:type="dxa"/>
                  <w:tcBorders>
                    <w:top w:val="single" w:color="000000" w:sz="6"/>
                    <w:left w:val="single" w:color="000000" w:sz="6"/>
                    <w:bottom w:val="single" w:color="000000" w:sz="6"/>
                    <w:right w:val="single" w:color="000000" w:sz="6"/>
                  </w:tcBorders>
                  <w:shd w:color="auto" w:fill="bdd6ee"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MOTOCIKLI I MOPEDI</w:t>
                  </w:r>
                </w:p>
              </w:tc>
              <w:tc>
                <w:tcPr>
                  <w:tcW w:w="1322" w:type="dxa"/>
                  <w:tcBorders>
                    <w:top w:val="single" w:color="000000" w:sz="6"/>
                    <w:left w:val="single" w:color="000000" w:sz="6"/>
                    <w:bottom w:val="single" w:color="000000" w:sz="6"/>
                    <w:right w:val="single" w:color="000000" w:sz="6"/>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32</w:t>
                  </w:r>
                </w:p>
              </w:tc>
            </w:tr>
            <w:tr>
              <w:trPr>
                <w:trHeight w:val="227" w:hRule="auto"/>
                <w:jc w:val="center"/>
              </w:trPr>
              <w:tc>
                <w:tcPr>
                  <w:tcW w:w="2335" w:type="dxa"/>
                  <w:tcBorders>
                    <w:top w:val="single" w:color="000000" w:sz="6"/>
                    <w:left w:val="single" w:color="000000" w:sz="6"/>
                    <w:bottom w:val="single" w:color="000000" w:sz="6"/>
                    <w:right w:val="single" w:color="000000" w:sz="6"/>
                  </w:tcBorders>
                  <w:shd w:color="auto" w:fill="bdd6ee" w:val="clear"/>
                  <w:tcMar>
                    <w:left w:w="108" w:type="dxa"/>
                    <w:right w:w="108" w:type="dxa"/>
                  </w:tcMar>
                  <w:vAlign w:val="center"/>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UKUPNO</w:t>
                  </w:r>
                </w:p>
              </w:tc>
              <w:tc>
                <w:tcPr>
                  <w:tcW w:w="1322" w:type="dxa"/>
                  <w:tcBorders>
                    <w:top w:val="single" w:color="000000" w:sz="6"/>
                    <w:left w:val="single" w:color="000000" w:sz="6"/>
                    <w:bottom w:val="single" w:color="000000" w:sz="6"/>
                    <w:right w:val="single" w:color="000000" w:sz="6"/>
                  </w:tcBorders>
                  <w:shd w:color="auto" w:fill="deeaf6"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2.468</w:t>
                  </w:r>
                </w:p>
              </w:tc>
            </w:tr>
          </w:tbl>
          <w:p>
            <w:pPr>
              <w:spacing w:before="60" w:after="120" w:line="240"/>
              <w:ind w:right="0" w:left="0" w:firstLine="0"/>
              <w:jc w:val="center"/>
              <w:rPr>
                <w:rFonts w:ascii="Calibri" w:hAnsi="Calibri" w:cs="Calibri" w:eastAsia="Calibri"/>
                <w:spacing w:val="0"/>
                <w:position w:val="0"/>
              </w:rPr>
            </w:pPr>
            <w:r>
              <w:rPr>
                <w:rFonts w:ascii="Calibri" w:hAnsi="Calibri" w:cs="Calibri" w:eastAsia="Calibri"/>
                <w:b/>
                <w:color w:val="auto"/>
                <w:spacing w:val="0"/>
                <w:position w:val="0"/>
                <w:sz w:val="22"/>
                <w:shd w:fill="auto" w:val="clear"/>
              </w:rPr>
              <w:t xml:space="preserve"> </w:t>
            </w:r>
            <w:r>
              <w:rPr>
                <w:rFonts w:ascii="Calibri" w:hAnsi="Calibri" w:cs="Calibri" w:eastAsia="Calibri"/>
                <w:i/>
                <w:color w:val="auto"/>
                <w:spacing w:val="0"/>
                <w:position w:val="0"/>
                <w:sz w:val="18"/>
                <w:shd w:fill="auto" w:val="clear"/>
              </w:rPr>
              <w:t xml:space="preserve">Tabela 512: Broj vozila u baznoj godini prema  njihovim kategorijama</w:t>
            </w:r>
          </w:p>
        </w:tc>
        <w:tc>
          <w:tcPr>
            <w:tcW w:w="4986"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FFFF00" w:val="clear"/>
              </w:rPr>
            </w:pPr>
          </w:p>
          <w:p>
            <w:pPr>
              <w:spacing w:before="60" w:after="16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Dijagram 57: Struktura vozila u sektoru saobra</w:t>
            </w:r>
            <w:r>
              <w:rPr>
                <w:rFonts w:ascii="Calibri" w:hAnsi="Calibri" w:cs="Calibri" w:eastAsia="Calibri"/>
                <w:color w:val="auto"/>
                <w:spacing w:val="0"/>
                <w:position w:val="0"/>
                <w:sz w:val="18"/>
                <w:shd w:fill="auto" w:val="clear"/>
              </w:rPr>
              <w:t xml:space="preserve">ćaja općine Doboj Istok prema kategorijama vozila u baznoj godini</w:t>
            </w:r>
          </w:p>
        </w:tc>
      </w:tr>
    </w:tbl>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Od ukupnog broja vozila registriranih u Doboj Istoku, najve</w:t>
      </w:r>
      <w:r>
        <w:rPr>
          <w:rFonts w:ascii="Calibri" w:hAnsi="Calibri" w:cs="Calibri" w:eastAsia="Calibri"/>
          <w:color w:val="auto"/>
          <w:spacing w:val="0"/>
          <w:position w:val="0"/>
          <w:sz w:val="20"/>
          <w:shd w:fill="auto" w:val="clear"/>
        </w:rPr>
        <w:t xml:space="preserve">ći broj (98,74%) spada u podsektor osobnih i komercijalnih vozila, dok podsektor vozila u nadležnosti općine učestvuje sa 0,77% a podsektor javnog prijevoza sa 0,49%. </w:t>
      </w:r>
    </w:p>
    <w:tbl>
      <w:tblPr/>
      <w:tblGrid>
        <w:gridCol w:w="4181"/>
        <w:gridCol w:w="4917"/>
      </w:tblGrid>
      <w:tr>
        <w:trPr>
          <w:trHeight w:val="1" w:hRule="atLeast"/>
          <w:jc w:val="center"/>
        </w:trPr>
        <w:tc>
          <w:tcPr>
            <w:tcW w:w="4181"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center"/>
          </w:tcPr>
          <w:p>
            <w:pPr>
              <w:spacing w:before="60" w:after="0" w:line="240"/>
              <w:ind w:right="0" w:left="0" w:firstLine="0"/>
              <w:jc w:val="center"/>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Tabela 513: Broj vozila u baznoj godini prema razmatranim podsektorima sektora saobra</w:t>
            </w:r>
            <w:r>
              <w:rPr>
                <w:rFonts w:ascii="Calibri" w:hAnsi="Calibri" w:cs="Calibri" w:eastAsia="Calibri"/>
                <w:color w:val="auto"/>
                <w:spacing w:val="0"/>
                <w:position w:val="0"/>
                <w:sz w:val="18"/>
                <w:shd w:fill="auto" w:val="clear"/>
              </w:rPr>
              <w:t xml:space="preserve">ćaja</w:t>
            </w:r>
          </w:p>
          <w:tbl>
            <w:tblPr/>
            <w:tblGrid>
              <w:gridCol w:w="2958"/>
              <w:gridCol w:w="991"/>
            </w:tblGrid>
            <w:tr>
              <w:trPr>
                <w:trHeight w:val="284" w:hRule="auto"/>
                <w:jc w:val="center"/>
              </w:trPr>
              <w:tc>
                <w:tcPr>
                  <w:tcW w:w="2958" w:type="dxa"/>
                  <w:tcBorders>
                    <w:top w:val="single" w:color="000000" w:sz="6"/>
                    <w:left w:val="single" w:color="000000" w:sz="6"/>
                    <w:bottom w:val="single" w:color="000000" w:sz="6"/>
                    <w:right w:val="single" w:color="000000" w:sz="6"/>
                  </w:tcBorders>
                  <w:shd w:color="auto" w:fill="bdd6ee" w:val="clear"/>
                  <w:tcMar>
                    <w:left w:w="108" w:type="dxa"/>
                    <w:right w:w="108" w:type="dxa"/>
                  </w:tcMar>
                  <w:vAlign w:val="center"/>
                </w:tcPr>
                <w:p>
                  <w:pPr>
                    <w:spacing w:before="0" w:after="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KATEGORIJA VOZILA</w:t>
                  </w:r>
                </w:p>
              </w:tc>
              <w:tc>
                <w:tcPr>
                  <w:tcW w:w="991" w:type="dxa"/>
                  <w:tcBorders>
                    <w:top w:val="single" w:color="000000" w:sz="6"/>
                    <w:left w:val="single" w:color="000000" w:sz="6"/>
                    <w:bottom w:val="single" w:color="000000" w:sz="6"/>
                    <w:right w:val="single" w:color="000000" w:sz="6"/>
                  </w:tcBorders>
                  <w:shd w:color="auto" w:fill="bdd6ee" w:val="clear"/>
                  <w:tcMar>
                    <w:left w:w="108" w:type="dxa"/>
                    <w:right w:w="108" w:type="dxa"/>
                  </w:tcMar>
                  <w:vAlign w:val="center"/>
                </w:tcPr>
                <w:p>
                  <w:pPr>
                    <w:spacing w:before="0" w:after="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BROJ VOZILA</w:t>
                  </w:r>
                </w:p>
              </w:tc>
            </w:tr>
            <w:tr>
              <w:trPr>
                <w:trHeight w:val="227" w:hRule="auto"/>
                <w:jc w:val="center"/>
              </w:trPr>
              <w:tc>
                <w:tcPr>
                  <w:tcW w:w="2958" w:type="dxa"/>
                  <w:tcBorders>
                    <w:top w:val="single" w:color="000000" w:sz="6"/>
                    <w:left w:val="single" w:color="000000" w:sz="6"/>
                    <w:bottom w:val="single" w:color="000000" w:sz="6"/>
                    <w:right w:val="single" w:color="000000" w:sz="6"/>
                  </w:tcBorders>
                  <w:shd w:color="auto" w:fill="bdd6ee" w:val="clear"/>
                  <w:tcMar>
                    <w:left w:w="108" w:type="dxa"/>
                    <w:right w:w="108" w:type="dxa"/>
                  </w:tcMar>
                  <w:vAlign w:val="center"/>
                </w:tcPr>
                <w:p>
                  <w:pPr>
                    <w:spacing w:before="0" w:after="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OSOBNA I KOMERCIJALNA VOZILA</w:t>
                  </w:r>
                </w:p>
              </w:tc>
              <w:tc>
                <w:tcPr>
                  <w:tcW w:w="991" w:type="dxa"/>
                  <w:tcBorders>
                    <w:top w:val="single" w:color="000000" w:sz="6"/>
                    <w:left w:val="single" w:color="000000" w:sz="6"/>
                    <w:bottom w:val="single" w:color="000000" w:sz="6"/>
                    <w:right w:val="single" w:color="000000" w:sz="6"/>
                  </w:tcBorders>
                  <w:shd w:color="000000" w:fill="ffffff" w:val="clear"/>
                  <w:tcMar>
                    <w:left w:w="108" w:type="dxa"/>
                    <w:right w:w="108" w:type="dxa"/>
                  </w:tcMar>
                  <w:vAlign w:val="center"/>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2.437</w:t>
                  </w:r>
                </w:p>
              </w:tc>
            </w:tr>
            <w:tr>
              <w:trPr>
                <w:trHeight w:val="227" w:hRule="auto"/>
                <w:jc w:val="center"/>
              </w:trPr>
              <w:tc>
                <w:tcPr>
                  <w:tcW w:w="2958" w:type="dxa"/>
                  <w:tcBorders>
                    <w:top w:val="single" w:color="000000" w:sz="6"/>
                    <w:left w:val="single" w:color="000000" w:sz="6"/>
                    <w:bottom w:val="single" w:color="000000" w:sz="6"/>
                    <w:right w:val="single" w:color="000000" w:sz="6"/>
                  </w:tcBorders>
                  <w:shd w:color="auto" w:fill="bdd6ee" w:val="clear"/>
                  <w:tcMar>
                    <w:left w:w="108" w:type="dxa"/>
                    <w:right w:w="108" w:type="dxa"/>
                  </w:tcMar>
                  <w:vAlign w:val="center"/>
                </w:tcPr>
                <w:p>
                  <w:pPr>
                    <w:spacing w:before="0" w:after="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JAVNI PREVOZ</w:t>
                  </w:r>
                </w:p>
              </w:tc>
              <w:tc>
                <w:tcPr>
                  <w:tcW w:w="991" w:type="dxa"/>
                  <w:tcBorders>
                    <w:top w:val="single" w:color="000000" w:sz="6"/>
                    <w:left w:val="single" w:color="000000" w:sz="6"/>
                    <w:bottom w:val="single" w:color="000000" w:sz="6"/>
                    <w:right w:val="single" w:color="000000" w:sz="6"/>
                  </w:tcBorders>
                  <w:shd w:color="000000" w:fill="ffffff" w:val="clear"/>
                  <w:tcMar>
                    <w:left w:w="108" w:type="dxa"/>
                    <w:right w:w="108" w:type="dxa"/>
                  </w:tcMar>
                  <w:vAlign w:val="center"/>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12</w:t>
                  </w:r>
                </w:p>
              </w:tc>
            </w:tr>
            <w:tr>
              <w:trPr>
                <w:trHeight w:val="227" w:hRule="auto"/>
                <w:jc w:val="center"/>
              </w:trPr>
              <w:tc>
                <w:tcPr>
                  <w:tcW w:w="2958" w:type="dxa"/>
                  <w:tcBorders>
                    <w:top w:val="single" w:color="000000" w:sz="6"/>
                    <w:left w:val="single" w:color="000000" w:sz="6"/>
                    <w:bottom w:val="single" w:color="000000" w:sz="6"/>
                    <w:right w:val="single" w:color="000000" w:sz="6"/>
                  </w:tcBorders>
                  <w:shd w:color="auto" w:fill="bdd6ee" w:val="clear"/>
                  <w:tcMar>
                    <w:left w:w="108" w:type="dxa"/>
                    <w:right w:w="108" w:type="dxa"/>
                  </w:tcMar>
                  <w:vAlign w:val="center"/>
                </w:tcPr>
                <w:p>
                  <w:pPr>
                    <w:spacing w:before="0" w:after="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VOZILA U VLASNIŠTVU OP</w:t>
                  </w:r>
                  <w:r>
                    <w:rPr>
                      <w:rFonts w:ascii="Calibri" w:hAnsi="Calibri" w:cs="Calibri" w:eastAsia="Calibri"/>
                      <w:color w:val="auto"/>
                      <w:spacing w:val="0"/>
                      <w:position w:val="0"/>
                      <w:sz w:val="18"/>
                      <w:shd w:fill="auto" w:val="clear"/>
                    </w:rPr>
                    <w:t xml:space="preserve">ĆINE</w:t>
                  </w:r>
                </w:p>
              </w:tc>
              <w:tc>
                <w:tcPr>
                  <w:tcW w:w="991" w:type="dxa"/>
                  <w:tcBorders>
                    <w:top w:val="single" w:color="000000" w:sz="6"/>
                    <w:left w:val="single" w:color="000000" w:sz="6"/>
                    <w:bottom w:val="single" w:color="000000" w:sz="6"/>
                    <w:right w:val="single" w:color="000000" w:sz="6"/>
                  </w:tcBorders>
                  <w:shd w:color="000000" w:fill="ffffff" w:val="clear"/>
                  <w:tcMar>
                    <w:left w:w="108" w:type="dxa"/>
                    <w:right w:w="108" w:type="dxa"/>
                  </w:tcMar>
                  <w:vAlign w:val="center"/>
                </w:tcPr>
                <w:p>
                  <w:pPr>
                    <w:spacing w:before="0" w:after="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19</w:t>
                  </w:r>
                </w:p>
              </w:tc>
            </w:tr>
            <w:tr>
              <w:trPr>
                <w:trHeight w:val="227" w:hRule="auto"/>
                <w:jc w:val="center"/>
              </w:trPr>
              <w:tc>
                <w:tcPr>
                  <w:tcW w:w="2958" w:type="dxa"/>
                  <w:tcBorders>
                    <w:top w:val="single" w:color="000000" w:sz="6"/>
                    <w:left w:val="single" w:color="000000" w:sz="6"/>
                    <w:bottom w:val="single" w:color="000000" w:sz="6"/>
                    <w:right w:val="single" w:color="000000" w:sz="6"/>
                  </w:tcBorders>
                  <w:shd w:color="auto" w:fill="bdd6ee"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UKUPNO</w:t>
                  </w:r>
                </w:p>
              </w:tc>
              <w:tc>
                <w:tcPr>
                  <w:tcW w:w="991" w:type="dxa"/>
                  <w:tcBorders>
                    <w:top w:val="single" w:color="000000" w:sz="6"/>
                    <w:left w:val="single" w:color="000000" w:sz="6"/>
                    <w:bottom w:val="single" w:color="000000" w:sz="6"/>
                    <w:right w:val="single" w:color="000000" w:sz="6"/>
                  </w:tcBorders>
                  <w:shd w:color="auto" w:fill="deeaf6" w:val="clear"/>
                  <w:tcMar>
                    <w:left w:w="108" w:type="dxa"/>
                    <w:right w:w="108" w:type="dxa"/>
                  </w:tcMar>
                  <w:vAlign w:val="center"/>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9.694</w:t>
                  </w:r>
                </w:p>
              </w:tc>
            </w:tr>
          </w:tbl>
          <w:p>
            <w:pPr>
              <w:spacing w:before="0" w:after="0" w:line="240"/>
              <w:ind w:right="0" w:left="0" w:firstLine="0"/>
              <w:jc w:val="both"/>
              <w:rPr>
                <w:rFonts w:ascii="Calibri" w:hAnsi="Calibri" w:cs="Calibri" w:eastAsia="Calibri"/>
                <w:spacing w:val="0"/>
                <w:position w:val="0"/>
              </w:rPr>
            </w:pPr>
          </w:p>
        </w:tc>
        <w:tc>
          <w:tcPr>
            <w:tcW w:w="4917"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center"/>
          </w:tcPr>
          <w:p>
            <w:pPr>
              <w:spacing w:before="0" w:after="0" w:line="240"/>
              <w:ind w:right="0" w:left="0" w:firstLine="0"/>
              <w:jc w:val="both"/>
              <w:rPr>
                <w:rFonts w:ascii="Calibri" w:hAnsi="Calibri" w:cs="Calibri" w:eastAsia="Calibri"/>
                <w:color w:val="auto"/>
                <w:spacing w:val="0"/>
                <w:position w:val="0"/>
                <w:sz w:val="22"/>
                <w:shd w:fill="FFFF00" w:val="clear"/>
              </w:rPr>
            </w:pPr>
          </w:p>
          <w:p>
            <w:pPr>
              <w:spacing w:before="60" w:after="16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Dijagram 58: Udio broja vozila u razmatranim podsektorima saobra</w:t>
            </w:r>
            <w:r>
              <w:rPr>
                <w:rFonts w:ascii="Calibri" w:hAnsi="Calibri" w:cs="Calibri" w:eastAsia="Calibri"/>
                <w:color w:val="auto"/>
                <w:spacing w:val="0"/>
                <w:position w:val="0"/>
                <w:sz w:val="18"/>
                <w:shd w:fill="auto" w:val="clear"/>
              </w:rPr>
              <w:t xml:space="preserve">ćajnog sektora u baznoj godini</w:t>
            </w:r>
          </w:p>
        </w:tc>
      </w:tr>
    </w:tbl>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Emisije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iz motornih vozila ovisne su o brojnim parametrima od kojih su glavni kvalitet goriva, konstrukcijske izvedbe motora i vozila, režim vožnje, meteorološki uslovi, održavanje motora i njegova starost, i drugo.</w:t>
      </w:r>
    </w:p>
    <w:p>
      <w:pPr>
        <w:keepNext w:val="true"/>
        <w:keepLines w:val="true"/>
        <w:numPr>
          <w:ilvl w:val="0"/>
          <w:numId w:val="1038"/>
        </w:numPr>
        <w:spacing w:before="120" w:after="0" w:line="240"/>
        <w:ind w:right="0" w:left="862" w:hanging="862"/>
        <w:jc w:val="both"/>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Emisije CO</w:t>
      </w:r>
      <w:r>
        <w:rPr>
          <w:rFonts w:ascii="Calibri" w:hAnsi="Calibri" w:cs="Calibri" w:eastAsia="Calibri"/>
          <w:b/>
          <w:color w:val="auto"/>
          <w:spacing w:val="0"/>
          <w:position w:val="0"/>
          <w:sz w:val="22"/>
          <w:shd w:fill="auto" w:val="clear"/>
          <w:vertAlign w:val="subscript"/>
        </w:rPr>
        <w:t xml:space="preserve">2</w:t>
      </w:r>
      <w:r>
        <w:rPr>
          <w:rFonts w:ascii="Calibri" w:hAnsi="Calibri" w:cs="Calibri" w:eastAsia="Calibri"/>
          <w:b/>
          <w:color w:val="auto"/>
          <w:spacing w:val="0"/>
          <w:position w:val="0"/>
          <w:sz w:val="22"/>
          <w:shd w:fill="auto" w:val="clear"/>
        </w:rPr>
        <w:t xml:space="preserve"> u baznoj godini iz podsektora vozila u vlasništvu Op</w:t>
      </w:r>
      <w:r>
        <w:rPr>
          <w:rFonts w:ascii="Calibri" w:hAnsi="Calibri" w:cs="Calibri" w:eastAsia="Calibri"/>
          <w:b/>
          <w:color w:val="auto"/>
          <w:spacing w:val="0"/>
          <w:position w:val="0"/>
          <w:sz w:val="22"/>
          <w:shd w:fill="auto" w:val="clear"/>
        </w:rPr>
        <w:t xml:space="preserve">ćine</w:t>
      </w:r>
    </w:p>
    <w:p>
      <w:pPr>
        <w:spacing w:before="60" w:after="12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Vozni park u vlasništvu Op</w:t>
      </w:r>
      <w:r>
        <w:rPr>
          <w:rFonts w:ascii="Calibri" w:hAnsi="Calibri" w:cs="Calibri" w:eastAsia="Calibri"/>
          <w:color w:val="auto"/>
          <w:spacing w:val="0"/>
          <w:position w:val="0"/>
          <w:sz w:val="20"/>
          <w:shd w:fill="auto" w:val="clear"/>
        </w:rPr>
        <w:t xml:space="preserve">ćine uključuje putničke automobile te vozila javnih komunalnih preduzeća i ustanova čiji osnivač je Općina Doboj Istok. Od ukupno 19 vozila registriranih u ovom podsektoru u 2010. godini, 18 je kao pogonsko gorivo koristilo dizel, dok je 1 koristilo benzin. Prosječna starost vozila u vlasništvu Općine je u baznoj godini bila 11 godina. Naredna tabela daje pregled potrošnje finalne energije i pripadajućih emisija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u podsektoru vozila u vlasništvu Općine u baznoj godini.  </w:t>
      </w:r>
    </w:p>
    <w:tbl>
      <w:tblPr/>
      <w:tblGrid>
        <w:gridCol w:w="2249"/>
        <w:gridCol w:w="2819"/>
        <w:gridCol w:w="2959"/>
      </w:tblGrid>
      <w:tr>
        <w:trPr>
          <w:trHeight w:val="170" w:hRule="auto"/>
          <w:jc w:val="center"/>
        </w:trPr>
        <w:tc>
          <w:tcPr>
            <w:tcW w:w="2249" w:type="dxa"/>
            <w:vMerge w:val="restart"/>
            <w:tcBorders>
              <w:top w:val="single" w:color="000000" w:sz="4"/>
              <w:left w:val="single" w:color="000000" w:sz="4"/>
              <w:bottom w:val="single" w:color="000000" w:sz="4"/>
              <w:right w:val="single" w:color="000000" w:sz="4"/>
            </w:tcBorders>
            <w:shd w:color="auto" w:fill="bdd6ee"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ENERGENT</w:t>
            </w:r>
          </w:p>
        </w:tc>
        <w:tc>
          <w:tcPr>
            <w:tcW w:w="5778" w:type="dxa"/>
            <w:gridSpan w:val="2"/>
            <w:tcBorders>
              <w:top w:val="single" w:color="000000" w:sz="4"/>
              <w:left w:val="single" w:color="000000" w:sz="4"/>
              <w:bottom w:val="single" w:color="000000" w:sz="4"/>
              <w:right w:val="single" w:color="000000" w:sz="4"/>
            </w:tcBorders>
            <w:shd w:color="auto" w:fill="bdd6ee"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VOZILA U VLASNIŠTVU OP</w:t>
            </w:r>
            <w:r>
              <w:rPr>
                <w:rFonts w:ascii="Calibri" w:hAnsi="Calibri" w:cs="Calibri" w:eastAsia="Calibri"/>
                <w:color w:val="auto"/>
                <w:spacing w:val="0"/>
                <w:position w:val="0"/>
                <w:sz w:val="18"/>
                <w:shd w:fill="auto" w:val="clear"/>
              </w:rPr>
              <w:t xml:space="preserve">ĆINE</w:t>
            </w:r>
          </w:p>
        </w:tc>
      </w:tr>
      <w:tr>
        <w:trPr>
          <w:trHeight w:val="170" w:hRule="auto"/>
          <w:jc w:val="center"/>
        </w:trPr>
        <w:tc>
          <w:tcPr>
            <w:tcW w:w="2249" w:type="dxa"/>
            <w:vMerge/>
            <w:tcBorders>
              <w:top w:val="single" w:color="000000" w:sz="4"/>
              <w:left w:val="single" w:color="000000" w:sz="4"/>
              <w:bottom w:val="single" w:color="000000" w:sz="4"/>
              <w:right w:val="single" w:color="000000" w:sz="4"/>
            </w:tcBorders>
            <w:shd w:color="auto" w:fill="bdd6ee" w:val="clear"/>
            <w:tcMar>
              <w:left w:w="108" w:type="dxa"/>
              <w:right w:w="108"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2819" w:type="dxa"/>
            <w:vMerge w:val="restart"/>
            <w:tcBorders>
              <w:top w:val="single" w:color="000000" w:sz="4"/>
              <w:left w:val="single" w:color="000000" w:sz="4"/>
              <w:bottom w:val="single" w:color="000000" w:sz="4"/>
              <w:right w:val="single" w:color="000000" w:sz="4"/>
            </w:tcBorders>
            <w:shd w:color="auto" w:fill="bdd6ee"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FINALNA ENERGIJA [MWh]</w:t>
            </w:r>
          </w:p>
        </w:tc>
        <w:tc>
          <w:tcPr>
            <w:tcW w:w="2959" w:type="dxa"/>
            <w:vMerge w:val="restart"/>
            <w:tcBorders>
              <w:top w:val="single" w:color="000000" w:sz="4"/>
              <w:left w:val="single" w:color="000000" w:sz="4"/>
              <w:bottom w:val="single" w:color="000000" w:sz="4"/>
              <w:right w:val="single" w:color="000000" w:sz="4"/>
            </w:tcBorders>
            <w:shd w:color="auto" w:fill="bdd6ee"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EMISIJE [tCO2]</w:t>
            </w:r>
          </w:p>
        </w:tc>
      </w:tr>
      <w:tr>
        <w:trPr>
          <w:trHeight w:val="90" w:hRule="auto"/>
          <w:jc w:val="center"/>
        </w:trPr>
        <w:tc>
          <w:tcPr>
            <w:tcW w:w="2249" w:type="dxa"/>
            <w:vMerge/>
            <w:tcBorders>
              <w:top w:val="single" w:color="000000" w:sz="4"/>
              <w:left w:val="single" w:color="000000" w:sz="4"/>
              <w:bottom w:val="single" w:color="000000" w:sz="4"/>
              <w:right w:val="single" w:color="000000" w:sz="4"/>
            </w:tcBorders>
            <w:shd w:color="auto" w:fill="bdd6ee" w:val="clear"/>
            <w:tcMar>
              <w:left w:w="108" w:type="dxa"/>
              <w:right w:w="108"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2819" w:type="dxa"/>
            <w:vMerge/>
            <w:tcBorders>
              <w:top w:val="single" w:color="000000" w:sz="4"/>
              <w:left w:val="single" w:color="000000" w:sz="4"/>
              <w:bottom w:val="single" w:color="000000" w:sz="4"/>
              <w:right w:val="single" w:color="000000" w:sz="4"/>
            </w:tcBorders>
            <w:shd w:color="auto" w:fill="bdd6ee" w:val="clear"/>
            <w:tcMar>
              <w:left w:w="108" w:type="dxa"/>
              <w:right w:w="108"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2959" w:type="dxa"/>
            <w:vMerge/>
            <w:tcBorders>
              <w:top w:val="single" w:color="000000" w:sz="4"/>
              <w:left w:val="single" w:color="000000" w:sz="4"/>
              <w:bottom w:val="single" w:color="000000" w:sz="4"/>
              <w:right w:val="single" w:color="000000" w:sz="4"/>
            </w:tcBorders>
            <w:shd w:color="auto" w:fill="bdd6ee" w:val="clear"/>
            <w:tcMar>
              <w:left w:w="108" w:type="dxa"/>
              <w:right w:w="108"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r>
      <w:tr>
        <w:trPr>
          <w:trHeight w:val="255" w:hRule="auto"/>
          <w:jc w:val="center"/>
        </w:trPr>
        <w:tc>
          <w:tcPr>
            <w:tcW w:w="2249" w:type="dxa"/>
            <w:tcBorders>
              <w:top w:val="single" w:color="000000" w:sz="4"/>
              <w:left w:val="single" w:color="000000" w:sz="4"/>
              <w:bottom w:val="single" w:color="000000" w:sz="4"/>
              <w:right w:val="single" w:color="000000" w:sz="4"/>
            </w:tcBorders>
            <w:shd w:color="auto" w:fill="bdd6ee"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DIZEL</w:t>
            </w:r>
          </w:p>
        </w:tc>
        <w:tc>
          <w:tcPr>
            <w:tcW w:w="281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235,13</w:t>
            </w:r>
          </w:p>
        </w:tc>
        <w:tc>
          <w:tcPr>
            <w:tcW w:w="295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62,78</w:t>
            </w:r>
          </w:p>
        </w:tc>
      </w:tr>
      <w:tr>
        <w:trPr>
          <w:trHeight w:val="255" w:hRule="auto"/>
          <w:jc w:val="center"/>
        </w:trPr>
        <w:tc>
          <w:tcPr>
            <w:tcW w:w="2249" w:type="dxa"/>
            <w:tcBorders>
              <w:top w:val="single" w:color="000000" w:sz="4"/>
              <w:left w:val="single" w:color="000000" w:sz="4"/>
              <w:bottom w:val="single" w:color="000000" w:sz="4"/>
              <w:right w:val="single" w:color="000000" w:sz="4"/>
            </w:tcBorders>
            <w:shd w:color="auto" w:fill="bdd6ee"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BENZIN</w:t>
            </w:r>
          </w:p>
        </w:tc>
        <w:tc>
          <w:tcPr>
            <w:tcW w:w="281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13,06</w:t>
            </w:r>
          </w:p>
        </w:tc>
        <w:tc>
          <w:tcPr>
            <w:tcW w:w="295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3,25</w:t>
            </w:r>
          </w:p>
        </w:tc>
      </w:tr>
      <w:tr>
        <w:trPr>
          <w:trHeight w:val="255" w:hRule="auto"/>
          <w:jc w:val="center"/>
        </w:trPr>
        <w:tc>
          <w:tcPr>
            <w:tcW w:w="2249" w:type="dxa"/>
            <w:tcBorders>
              <w:top w:val="single" w:color="000000" w:sz="4"/>
              <w:left w:val="single" w:color="000000" w:sz="4"/>
              <w:bottom w:val="single" w:color="000000" w:sz="4"/>
              <w:right w:val="single" w:color="000000" w:sz="4"/>
            </w:tcBorders>
            <w:shd w:color="auto" w:fill="bdd6ee"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UKUPNO</w:t>
            </w:r>
          </w:p>
        </w:tc>
        <w:tc>
          <w:tcPr>
            <w:tcW w:w="2819" w:type="dxa"/>
            <w:tcBorders>
              <w:top w:val="single" w:color="000000" w:sz="4"/>
              <w:left w:val="single" w:color="000000" w:sz="4"/>
              <w:bottom w:val="single" w:color="000000" w:sz="4"/>
              <w:right w:val="single" w:color="000000" w:sz="4"/>
            </w:tcBorders>
            <w:shd w:color="auto" w:fill="deeaf6" w:val="clear"/>
            <w:tcMar>
              <w:left w:w="108" w:type="dxa"/>
              <w:right w:w="108" w:type="dxa"/>
            </w:tcMar>
            <w:vAlign w:val="bottom"/>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248,20</w:t>
            </w:r>
          </w:p>
        </w:tc>
        <w:tc>
          <w:tcPr>
            <w:tcW w:w="2959" w:type="dxa"/>
            <w:tcBorders>
              <w:top w:val="single" w:color="000000" w:sz="4"/>
              <w:left w:val="single" w:color="000000" w:sz="4"/>
              <w:bottom w:val="single" w:color="000000" w:sz="4"/>
              <w:right w:val="single" w:color="000000" w:sz="4"/>
            </w:tcBorders>
            <w:shd w:color="auto" w:fill="deeaf6" w:val="clear"/>
            <w:tcMar>
              <w:left w:w="108" w:type="dxa"/>
              <w:right w:w="108" w:type="dxa"/>
            </w:tcMar>
            <w:vAlign w:val="bottom"/>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66,03</w:t>
            </w:r>
          </w:p>
        </w:tc>
      </w:tr>
    </w:tbl>
    <w:p>
      <w:pPr>
        <w:keepNext w:val="true"/>
        <w:spacing w:before="60" w:after="120" w:line="240"/>
        <w:ind w:right="0" w:left="0" w:firstLine="0"/>
        <w:jc w:val="center"/>
        <w:rPr>
          <w:rFonts w:ascii="Calibri" w:hAnsi="Calibri" w:cs="Calibri" w:eastAsia="Calibri"/>
          <w:i/>
          <w:color w:val="auto"/>
          <w:spacing w:val="0"/>
          <w:position w:val="0"/>
          <w:sz w:val="18"/>
          <w:shd w:fill="auto" w:val="clear"/>
        </w:rPr>
      </w:pPr>
      <w:r>
        <w:rPr>
          <w:rFonts w:ascii="Calibri" w:hAnsi="Calibri" w:cs="Calibri" w:eastAsia="Calibri"/>
          <w:i/>
          <w:color w:val="auto"/>
          <w:spacing w:val="0"/>
          <w:position w:val="0"/>
          <w:sz w:val="18"/>
          <w:shd w:fill="auto" w:val="clear"/>
        </w:rPr>
        <w:t xml:space="preserve">Tabela 514: Godišnja potrošnja energije i emisije CO</w:t>
      </w:r>
      <w:r>
        <w:rPr>
          <w:rFonts w:ascii="Calibri" w:hAnsi="Calibri" w:cs="Calibri" w:eastAsia="Calibri"/>
          <w:i/>
          <w:color w:val="auto"/>
          <w:spacing w:val="0"/>
          <w:position w:val="0"/>
          <w:sz w:val="18"/>
          <w:shd w:fill="auto" w:val="clear"/>
          <w:vertAlign w:val="subscript"/>
        </w:rPr>
        <w:t xml:space="preserve">2</w:t>
      </w:r>
      <w:r>
        <w:rPr>
          <w:rFonts w:ascii="Calibri" w:hAnsi="Calibri" w:cs="Calibri" w:eastAsia="Calibri"/>
          <w:i/>
          <w:color w:val="auto"/>
          <w:spacing w:val="0"/>
          <w:position w:val="0"/>
          <w:sz w:val="18"/>
          <w:shd w:fill="auto" w:val="clear"/>
        </w:rPr>
        <w:t xml:space="preserve"> za vozila u vlasništvu Op</w:t>
      </w:r>
      <w:r>
        <w:rPr>
          <w:rFonts w:ascii="Calibri" w:hAnsi="Calibri" w:cs="Calibri" w:eastAsia="Calibri"/>
          <w:i/>
          <w:color w:val="auto"/>
          <w:spacing w:val="0"/>
          <w:position w:val="0"/>
          <w:sz w:val="18"/>
          <w:shd w:fill="auto" w:val="clear"/>
        </w:rPr>
        <w:t xml:space="preserve">ćine u baznoj godini</w:t>
      </w:r>
    </w:p>
    <w:p>
      <w:pPr>
        <w:spacing w:before="60" w:after="120" w:line="240"/>
        <w:ind w:right="0" w:left="0" w:firstLine="0"/>
        <w:jc w:val="both"/>
        <w:rPr>
          <w:rFonts w:ascii="Calibri" w:hAnsi="Calibri" w:cs="Calibri" w:eastAsia="Calibri"/>
          <w:b/>
          <w:color w:val="auto"/>
          <w:spacing w:val="0"/>
          <w:position w:val="0"/>
          <w:sz w:val="18"/>
          <w:shd w:fill="FFFF00" w:val="clear"/>
        </w:rPr>
      </w:pPr>
      <w:r>
        <w:rPr>
          <w:rFonts w:ascii="Calibri" w:hAnsi="Calibri" w:cs="Calibri" w:eastAsia="Calibri"/>
          <w:color w:val="auto"/>
          <w:spacing w:val="0"/>
          <w:position w:val="0"/>
          <w:sz w:val="20"/>
          <w:shd w:fill="auto" w:val="clear"/>
        </w:rPr>
        <w:t xml:space="preserve">Tabela pokazuje da je u ovom podsektoru u 2010. godini potrošeno ukupno 248,20 MWh energije, od </w:t>
      </w:r>
      <w:r>
        <w:rPr>
          <w:rFonts w:ascii="Calibri" w:hAnsi="Calibri" w:cs="Calibri" w:eastAsia="Calibri"/>
          <w:color w:val="auto"/>
          <w:spacing w:val="0"/>
          <w:position w:val="0"/>
          <w:sz w:val="20"/>
          <w:shd w:fill="auto" w:val="clear"/>
        </w:rPr>
        <w:t xml:space="preserve">čega je  235,13 MWh, odnosno 94,74% energije proizvedeno iz dizel goriva, te 13,06 MWh odnosno 5,26% iz motornog benzina. Od ukupnih 66,03 tCO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iz ovog podsektora, sagorijevanjem dizela u atmosferu nastalo je 62,78 tCO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odnosno 95,07% ukupnih emisija, dok je preostalih 3,25 tCO</w:t>
      </w:r>
      <w:r>
        <w:rPr>
          <w:rFonts w:ascii="Calibri" w:hAnsi="Calibri" w:cs="Calibri" w:eastAsia="Calibri"/>
          <w:color w:val="auto"/>
          <w:spacing w:val="0"/>
          <w:position w:val="0"/>
          <w:sz w:val="20"/>
          <w:shd w:fill="auto" w:val="clear"/>
          <w:vertAlign w:val="subscript"/>
        </w:rPr>
        <w:t xml:space="preserve">2 </w:t>
      </w:r>
      <w:r>
        <w:rPr>
          <w:rFonts w:ascii="Calibri" w:hAnsi="Calibri" w:cs="Calibri" w:eastAsia="Calibri"/>
          <w:color w:val="auto"/>
          <w:spacing w:val="0"/>
          <w:position w:val="0"/>
          <w:sz w:val="20"/>
          <w:shd w:fill="auto" w:val="clear"/>
        </w:rPr>
        <w:t xml:space="preserve">odnosno 4,93% nastalo sagorijevanjem motornog benzina. Ovi omjeri su prikazani i u narednim dijagramima.  </w:t>
      </w:r>
    </w:p>
    <w:tbl>
      <w:tblPr/>
      <w:tblGrid>
        <w:gridCol w:w="5046"/>
        <w:gridCol w:w="5016"/>
      </w:tblGrid>
      <w:tr>
        <w:trPr>
          <w:trHeight w:val="3254" w:hRule="auto"/>
          <w:jc w:val="left"/>
        </w:trPr>
        <w:tc>
          <w:tcPr>
            <w:tcW w:w="5046"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5016"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r>
      <w:tr>
        <w:trPr>
          <w:trHeight w:val="800" w:hRule="auto"/>
          <w:jc w:val="left"/>
        </w:trPr>
        <w:tc>
          <w:tcPr>
            <w:tcW w:w="5046"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20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Dijagram 59: Potrošnja energije u podsektoru vozila u vlasništvu Op</w:t>
            </w:r>
            <w:r>
              <w:rPr>
                <w:rFonts w:ascii="Calibri" w:hAnsi="Calibri" w:cs="Calibri" w:eastAsia="Calibri"/>
                <w:color w:val="auto"/>
                <w:spacing w:val="0"/>
                <w:position w:val="0"/>
                <w:sz w:val="18"/>
                <w:shd w:fill="auto" w:val="clear"/>
              </w:rPr>
              <w:t xml:space="preserve">ćine u baznoj godini po energentima</w:t>
            </w:r>
          </w:p>
        </w:tc>
        <w:tc>
          <w:tcPr>
            <w:tcW w:w="5016"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16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Dijagram 510: Udio razmatranih energenata u emisijama CO</w:t>
            </w:r>
            <w:r>
              <w:rPr>
                <w:rFonts w:ascii="Calibri" w:hAnsi="Calibri" w:cs="Calibri" w:eastAsia="Calibri"/>
                <w:color w:val="auto"/>
                <w:spacing w:val="0"/>
                <w:position w:val="0"/>
                <w:sz w:val="18"/>
                <w:shd w:fill="auto" w:val="clear"/>
                <w:vertAlign w:val="subscript"/>
              </w:rPr>
              <w:t xml:space="preserve">2</w:t>
            </w:r>
            <w:r>
              <w:rPr>
                <w:rFonts w:ascii="Calibri" w:hAnsi="Calibri" w:cs="Calibri" w:eastAsia="Calibri"/>
                <w:color w:val="auto"/>
                <w:spacing w:val="0"/>
                <w:position w:val="0"/>
                <w:sz w:val="18"/>
                <w:shd w:fill="auto" w:val="clear"/>
              </w:rPr>
              <w:t xml:space="preserve"> iz podsektora vozila u vlasništvu Op</w:t>
            </w:r>
            <w:r>
              <w:rPr>
                <w:rFonts w:ascii="Calibri" w:hAnsi="Calibri" w:cs="Calibri" w:eastAsia="Calibri"/>
                <w:color w:val="auto"/>
                <w:spacing w:val="0"/>
                <w:position w:val="0"/>
                <w:sz w:val="18"/>
                <w:shd w:fill="auto" w:val="clear"/>
              </w:rPr>
              <w:t xml:space="preserve">ćine u baznoj godini</w:t>
            </w:r>
          </w:p>
        </w:tc>
      </w:tr>
    </w:tbl>
    <w:p>
      <w:pPr>
        <w:keepNext w:val="true"/>
        <w:keepLines w:val="true"/>
        <w:numPr>
          <w:ilvl w:val="0"/>
          <w:numId w:val="1070"/>
        </w:numPr>
        <w:spacing w:before="0" w:after="0" w:line="240"/>
        <w:ind w:right="0" w:left="862" w:hanging="862"/>
        <w:jc w:val="both"/>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Emisije CO</w:t>
      </w:r>
      <w:r>
        <w:rPr>
          <w:rFonts w:ascii="Calibri" w:hAnsi="Calibri" w:cs="Calibri" w:eastAsia="Calibri"/>
          <w:b/>
          <w:color w:val="auto"/>
          <w:spacing w:val="0"/>
          <w:position w:val="0"/>
          <w:sz w:val="22"/>
          <w:shd w:fill="auto" w:val="clear"/>
          <w:vertAlign w:val="subscript"/>
        </w:rPr>
        <w:t xml:space="preserve">2</w:t>
      </w:r>
      <w:r>
        <w:rPr>
          <w:rFonts w:ascii="Calibri" w:hAnsi="Calibri" w:cs="Calibri" w:eastAsia="Calibri"/>
          <w:b/>
          <w:color w:val="auto"/>
          <w:spacing w:val="0"/>
          <w:position w:val="0"/>
          <w:sz w:val="22"/>
          <w:shd w:fill="auto" w:val="clear"/>
        </w:rPr>
        <w:t xml:space="preserve"> u baznoj godini iz podsektora vozila javnog prijevoza</w:t>
      </w:r>
    </w:p>
    <w:p>
      <w:pPr>
        <w:spacing w:before="60" w:after="12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0"/>
          <w:shd w:fill="auto" w:val="clear"/>
        </w:rPr>
        <w:t xml:space="preserve">Javni prijevoz putnika u Doboj Istoku se u 2010. godini odvijao putem autobusa i taksi vozila. U okviru ovog podsektora razmatran je samo autobusni saobra</w:t>
      </w:r>
      <w:r>
        <w:rPr>
          <w:rFonts w:ascii="Calibri" w:hAnsi="Calibri" w:cs="Calibri" w:eastAsia="Calibri"/>
          <w:color w:val="auto"/>
          <w:spacing w:val="0"/>
          <w:position w:val="0"/>
          <w:sz w:val="20"/>
          <w:shd w:fill="auto" w:val="clear"/>
        </w:rPr>
        <w:t xml:space="preserve">ćaj, dok su taksi vozila uključena u podsektor osobnih i komercijalnih vozila. Primarni prijevoznik na području općine Doboj Istok u 2010. godini bila je kompanija KIM d.o.o sa 12 autobusa. Prijevozom putnika pokriveno je svih pet mjesnih zajednica, od kojih se četiri nalaze na magistralnom putu Doboj – Tuzla kojim se kreće veliki broj autoprijevoznika od koji je većina i u funkciji prijevoza građana Doboj Istoka. Naredna tabela daje pregled potrošnje finalne energije i pripadajuće emisije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vozila iz ovog podsektora u baznoj 2010. godini. </w:t>
      </w:r>
    </w:p>
    <w:tbl>
      <w:tblPr/>
      <w:tblGrid>
        <w:gridCol w:w="2391"/>
        <w:gridCol w:w="2819"/>
        <w:gridCol w:w="2817"/>
      </w:tblGrid>
      <w:tr>
        <w:trPr>
          <w:trHeight w:val="225" w:hRule="auto"/>
          <w:jc w:val="center"/>
        </w:trPr>
        <w:tc>
          <w:tcPr>
            <w:tcW w:w="2391" w:type="dxa"/>
            <w:vMerge w:val="restart"/>
            <w:tcBorders>
              <w:top w:val="single" w:color="000000" w:sz="4"/>
              <w:left w:val="single" w:color="000000" w:sz="4"/>
              <w:bottom w:val="single" w:color="000000" w:sz="4"/>
              <w:right w:val="single" w:color="000000" w:sz="4"/>
            </w:tcBorders>
            <w:shd w:color="auto" w:fill="bdd6ee"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ENERGENT</w:t>
            </w:r>
          </w:p>
        </w:tc>
        <w:tc>
          <w:tcPr>
            <w:tcW w:w="5636" w:type="dxa"/>
            <w:gridSpan w:val="2"/>
            <w:tcBorders>
              <w:top w:val="single" w:color="000000" w:sz="4"/>
              <w:left w:val="single" w:color="000000" w:sz="0"/>
              <w:bottom w:val="single" w:color="000000" w:sz="4"/>
              <w:right w:val="single" w:color="000000" w:sz="4"/>
            </w:tcBorders>
            <w:shd w:color="auto" w:fill="bdd6ee"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JAVNI PRIJEVOZ</w:t>
            </w:r>
          </w:p>
        </w:tc>
      </w:tr>
      <w:tr>
        <w:trPr>
          <w:trHeight w:val="28" w:hRule="auto"/>
          <w:jc w:val="center"/>
        </w:trPr>
        <w:tc>
          <w:tcPr>
            <w:tcW w:w="2391" w:type="dxa"/>
            <w:vMerge/>
            <w:tcBorders>
              <w:top w:val="single" w:color="000000" w:sz="4"/>
              <w:left w:val="single" w:color="000000" w:sz="4"/>
              <w:bottom w:val="single" w:color="000000" w:sz="4"/>
              <w:right w:val="single" w:color="000000" w:sz="4"/>
            </w:tcBorders>
            <w:shd w:color="auto" w:fill="bdd6ee" w:val="clear"/>
            <w:tcMar>
              <w:left w:w="108" w:type="dxa"/>
              <w:right w:w="108"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2819" w:type="dxa"/>
            <w:vMerge w:val="restart"/>
            <w:tcBorders>
              <w:top w:val="single" w:color="000000" w:sz="0"/>
              <w:left w:val="single" w:color="000000" w:sz="4"/>
              <w:bottom w:val="single" w:color="000000" w:sz="4"/>
              <w:right w:val="single" w:color="000000" w:sz="4"/>
            </w:tcBorders>
            <w:shd w:color="auto" w:fill="bdd6ee"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FINALNA ENERGIJA [MWh]</w:t>
            </w:r>
          </w:p>
        </w:tc>
        <w:tc>
          <w:tcPr>
            <w:tcW w:w="2817" w:type="dxa"/>
            <w:vMerge w:val="restart"/>
            <w:tcBorders>
              <w:top w:val="single" w:color="000000" w:sz="0"/>
              <w:left w:val="single" w:color="000000" w:sz="4"/>
              <w:bottom w:val="single" w:color="000000" w:sz="4"/>
              <w:right w:val="single" w:color="000000" w:sz="4"/>
            </w:tcBorders>
            <w:shd w:color="auto" w:fill="bdd6ee"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EMISIJE [tCO</w:t>
            </w:r>
            <w:r>
              <w:rPr>
                <w:rFonts w:ascii="Calibri" w:hAnsi="Calibri" w:cs="Calibri" w:eastAsia="Calibri"/>
                <w:color w:val="000000"/>
                <w:spacing w:val="0"/>
                <w:position w:val="0"/>
                <w:sz w:val="18"/>
                <w:shd w:fill="auto" w:val="clear"/>
                <w:vertAlign w:val="subscript"/>
              </w:rPr>
              <w:t xml:space="preserve">2</w:t>
            </w:r>
            <w:r>
              <w:rPr>
                <w:rFonts w:ascii="Calibri" w:hAnsi="Calibri" w:cs="Calibri" w:eastAsia="Calibri"/>
                <w:color w:val="000000"/>
                <w:spacing w:val="0"/>
                <w:position w:val="0"/>
                <w:sz w:val="18"/>
                <w:shd w:fill="auto" w:val="clear"/>
              </w:rPr>
              <w:t xml:space="preserve">]</w:t>
            </w:r>
          </w:p>
        </w:tc>
      </w:tr>
      <w:tr>
        <w:trPr>
          <w:trHeight w:val="269" w:hRule="auto"/>
          <w:jc w:val="center"/>
        </w:trPr>
        <w:tc>
          <w:tcPr>
            <w:tcW w:w="2391" w:type="dxa"/>
            <w:vMerge/>
            <w:tcBorders>
              <w:top w:val="single" w:color="000000" w:sz="4"/>
              <w:left w:val="single" w:color="000000" w:sz="4"/>
              <w:bottom w:val="single" w:color="000000" w:sz="4"/>
              <w:right w:val="single" w:color="000000" w:sz="4"/>
            </w:tcBorders>
            <w:shd w:color="auto" w:fill="bdd6ee" w:val="clear"/>
            <w:tcMar>
              <w:left w:w="108" w:type="dxa"/>
              <w:right w:w="108"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2819" w:type="dxa"/>
            <w:vMerge/>
            <w:tcBorders>
              <w:top w:val="single" w:color="000000" w:sz="0"/>
              <w:left w:val="single" w:color="000000" w:sz="4"/>
              <w:bottom w:val="single" w:color="000000" w:sz="4"/>
              <w:right w:val="single" w:color="000000" w:sz="4"/>
            </w:tcBorders>
            <w:shd w:color="auto" w:fill="bdd6ee" w:val="clear"/>
            <w:tcMar>
              <w:left w:w="108" w:type="dxa"/>
              <w:right w:w="108"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2817" w:type="dxa"/>
            <w:vMerge/>
            <w:tcBorders>
              <w:top w:val="single" w:color="000000" w:sz="0"/>
              <w:left w:val="single" w:color="000000" w:sz="4"/>
              <w:bottom w:val="single" w:color="000000" w:sz="4"/>
              <w:right w:val="single" w:color="000000" w:sz="4"/>
            </w:tcBorders>
            <w:shd w:color="auto" w:fill="bdd6ee" w:val="clear"/>
            <w:tcMar>
              <w:left w:w="108" w:type="dxa"/>
              <w:right w:w="108"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r>
      <w:tr>
        <w:trPr>
          <w:trHeight w:val="227" w:hRule="auto"/>
          <w:jc w:val="center"/>
        </w:trPr>
        <w:tc>
          <w:tcPr>
            <w:tcW w:w="2391" w:type="dxa"/>
            <w:tcBorders>
              <w:top w:val="single" w:color="000000" w:sz="0"/>
              <w:left w:val="single" w:color="000000" w:sz="4"/>
              <w:bottom w:val="single" w:color="000000" w:sz="4"/>
              <w:right w:val="single" w:color="000000" w:sz="4"/>
            </w:tcBorders>
            <w:shd w:color="auto" w:fill="bdd6ee"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DIZEL</w:t>
            </w:r>
          </w:p>
        </w:tc>
        <w:tc>
          <w:tcPr>
            <w:tcW w:w="281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1.938,54</w:t>
            </w:r>
          </w:p>
        </w:tc>
        <w:tc>
          <w:tcPr>
            <w:tcW w:w="281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517,59</w:t>
            </w:r>
          </w:p>
        </w:tc>
      </w:tr>
    </w:tbl>
    <w:p>
      <w:pPr>
        <w:keepNext w:val="true"/>
        <w:spacing w:before="60" w:after="200" w:line="240"/>
        <w:ind w:right="0" w:left="0" w:firstLine="0"/>
        <w:jc w:val="center"/>
        <w:rPr>
          <w:rFonts w:ascii="Calibri" w:hAnsi="Calibri" w:cs="Calibri" w:eastAsia="Calibri"/>
          <w:i/>
          <w:color w:val="auto"/>
          <w:spacing w:val="0"/>
          <w:position w:val="0"/>
          <w:sz w:val="18"/>
          <w:shd w:fill="auto" w:val="clear"/>
        </w:rPr>
      </w:pPr>
      <w:r>
        <w:rPr>
          <w:rFonts w:ascii="Calibri" w:hAnsi="Calibri" w:cs="Calibri" w:eastAsia="Calibri"/>
          <w:i/>
          <w:color w:val="auto"/>
          <w:spacing w:val="0"/>
          <w:position w:val="0"/>
          <w:sz w:val="18"/>
          <w:shd w:fill="auto" w:val="clear"/>
        </w:rPr>
        <w:t xml:space="preserve">Tabela 515: Godišnja potrošnja energije i emisije CO</w:t>
      </w:r>
      <w:r>
        <w:rPr>
          <w:rFonts w:ascii="Calibri" w:hAnsi="Calibri" w:cs="Calibri" w:eastAsia="Calibri"/>
          <w:i/>
          <w:color w:val="auto"/>
          <w:spacing w:val="0"/>
          <w:position w:val="0"/>
          <w:sz w:val="18"/>
          <w:shd w:fill="auto" w:val="clear"/>
          <w:vertAlign w:val="subscript"/>
        </w:rPr>
        <w:t xml:space="preserve">2</w:t>
      </w:r>
      <w:r>
        <w:rPr>
          <w:rFonts w:ascii="Calibri" w:hAnsi="Calibri" w:cs="Calibri" w:eastAsia="Calibri"/>
          <w:i/>
          <w:color w:val="auto"/>
          <w:spacing w:val="0"/>
          <w:position w:val="0"/>
          <w:sz w:val="18"/>
          <w:shd w:fill="auto" w:val="clear"/>
        </w:rPr>
        <w:t xml:space="preserve"> za podsektor javnog prijevoza u baznoj godini</w:t>
      </w:r>
    </w:p>
    <w:p>
      <w:pPr>
        <w:spacing w:before="0" w:after="200" w:line="276"/>
        <w:ind w:right="0" w:left="0" w:firstLine="0"/>
        <w:jc w:val="both"/>
        <w:rPr>
          <w:rFonts w:ascii="Calibri" w:hAnsi="Calibri" w:cs="Calibri" w:eastAsia="Calibri"/>
          <w:color w:val="auto"/>
          <w:spacing w:val="0"/>
          <w:position w:val="0"/>
          <w:sz w:val="22"/>
          <w:shd w:fill="auto" w:val="clear"/>
        </w:rPr>
      </w:pP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Kao što je prikazano u prethodnoj tabeli, u 2010. godini su svi autobusi koristili dizel kao pogonsko gorivo, te je te godine utrošeno 1.938,54 MWh energije, što je uzrokovalo godišnje emisije od 517,59 tCO</w:t>
      </w:r>
      <w:r>
        <w:rPr>
          <w:rFonts w:ascii="Calibri" w:hAnsi="Calibri" w:cs="Calibri" w:eastAsia="Calibri"/>
          <w:color w:val="auto"/>
          <w:spacing w:val="0"/>
          <w:position w:val="0"/>
          <w:sz w:val="20"/>
          <w:shd w:fill="auto" w:val="clear"/>
          <w:vertAlign w:val="subscript"/>
        </w:rPr>
        <w:t xml:space="preserve">2. </w:t>
      </w:r>
      <w:r>
        <w:rPr>
          <w:rFonts w:ascii="Calibri" w:hAnsi="Calibri" w:cs="Calibri" w:eastAsia="Calibri"/>
          <w:color w:val="auto"/>
          <w:spacing w:val="0"/>
          <w:position w:val="0"/>
          <w:sz w:val="20"/>
          <w:shd w:fill="auto" w:val="clear"/>
        </w:rPr>
        <w:t xml:space="preserve">.</w:t>
      </w:r>
    </w:p>
    <w:p>
      <w:pPr>
        <w:keepNext w:val="true"/>
        <w:keepLines w:val="true"/>
        <w:numPr>
          <w:ilvl w:val="0"/>
          <w:numId w:val="1089"/>
        </w:numPr>
        <w:spacing w:before="120" w:after="0" w:line="240"/>
        <w:ind w:right="0" w:left="862" w:hanging="862"/>
        <w:jc w:val="both"/>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Emisije CO</w:t>
      </w:r>
      <w:r>
        <w:rPr>
          <w:rFonts w:ascii="Calibri" w:hAnsi="Calibri" w:cs="Calibri" w:eastAsia="Calibri"/>
          <w:b/>
          <w:color w:val="auto"/>
          <w:spacing w:val="0"/>
          <w:position w:val="0"/>
          <w:sz w:val="22"/>
          <w:shd w:fill="auto" w:val="clear"/>
          <w:vertAlign w:val="subscript"/>
        </w:rPr>
        <w:t xml:space="preserve">2</w:t>
      </w:r>
      <w:r>
        <w:rPr>
          <w:rFonts w:ascii="Calibri" w:hAnsi="Calibri" w:cs="Calibri" w:eastAsia="Calibri"/>
          <w:b/>
          <w:color w:val="auto"/>
          <w:spacing w:val="0"/>
          <w:position w:val="0"/>
          <w:sz w:val="22"/>
          <w:shd w:fill="auto" w:val="clear"/>
        </w:rPr>
        <w:t xml:space="preserve"> u baznoj godini iz podsektora osobnih i komercijalnih vozila</w:t>
      </w:r>
    </w:p>
    <w:p>
      <w:pPr>
        <w:spacing w:before="60" w:after="12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U 2010. godini je na podru</w:t>
      </w:r>
      <w:r>
        <w:rPr>
          <w:rFonts w:ascii="Calibri" w:hAnsi="Calibri" w:cs="Calibri" w:eastAsia="Calibri"/>
          <w:color w:val="auto"/>
          <w:spacing w:val="0"/>
          <w:position w:val="0"/>
          <w:sz w:val="20"/>
          <w:shd w:fill="auto" w:val="clear"/>
        </w:rPr>
        <w:t xml:space="preserve">čju općine Doboj Istok bilo registrirano ukupno 2.468 vozila, od čega 2.437 osobnih i komercijalnih. U strukturi vozila je veliki broj vozila (44,87% od ukupnopg broja) spadao u ekološke kategorije niže od EURO 1, što je prouzrokovalo visoke vrijednosti emisija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Pregled broja vozila prema ekološkim kategorijama dat je u narednoj tabeli i dijagramu.</w:t>
      </w:r>
    </w:p>
    <w:tbl>
      <w:tblPr/>
      <w:tblGrid>
        <w:gridCol w:w="4609"/>
        <w:gridCol w:w="4667"/>
      </w:tblGrid>
      <w:tr>
        <w:trPr>
          <w:trHeight w:val="1" w:hRule="atLeast"/>
          <w:jc w:val="center"/>
        </w:trPr>
        <w:tc>
          <w:tcPr>
            <w:tcW w:w="4609"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60" w:after="60" w:line="240"/>
              <w:ind w:right="0" w:left="0" w:firstLine="0"/>
              <w:jc w:val="center"/>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Tabela 516: Broj osobnih i komercijalnih vozila u baznoj godini prema ekološkim kategorijama</w:t>
            </w:r>
          </w:p>
          <w:tbl>
            <w:tblPr/>
            <w:tblGrid>
              <w:gridCol w:w="1843"/>
              <w:gridCol w:w="1213"/>
              <w:gridCol w:w="1321"/>
            </w:tblGrid>
            <w:tr>
              <w:trPr>
                <w:trHeight w:val="317" w:hRule="auto"/>
                <w:jc w:val="center"/>
              </w:trPr>
              <w:tc>
                <w:tcPr>
                  <w:tcW w:w="4377" w:type="dxa"/>
                  <w:gridSpan w:val="3"/>
                  <w:tcBorders>
                    <w:top w:val="single" w:color="000000" w:sz="6"/>
                    <w:left w:val="single" w:color="000000" w:sz="6"/>
                    <w:bottom w:val="single" w:color="000000" w:sz="6"/>
                    <w:right w:val="single" w:color="000000" w:sz="6"/>
                  </w:tcBorders>
                  <w:shd w:color="auto" w:fill="bdd6ee"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OSOBNA I KOMERCIJALNA VOZILA</w:t>
                  </w:r>
                </w:p>
              </w:tc>
            </w:tr>
            <w:tr>
              <w:trPr>
                <w:trHeight w:val="317" w:hRule="auto"/>
                <w:jc w:val="center"/>
              </w:trPr>
              <w:tc>
                <w:tcPr>
                  <w:tcW w:w="1843" w:type="dxa"/>
                  <w:tcBorders>
                    <w:top w:val="single" w:color="000000" w:sz="6"/>
                    <w:left w:val="single" w:color="000000" w:sz="6"/>
                    <w:bottom w:val="single" w:color="000000" w:sz="6"/>
                    <w:right w:val="single" w:color="000000" w:sz="6"/>
                  </w:tcBorders>
                  <w:shd w:color="auto" w:fill="bdd6ee"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EKOLOŠKA KATEGORIJA</w:t>
                  </w:r>
                </w:p>
              </w:tc>
              <w:tc>
                <w:tcPr>
                  <w:tcW w:w="1213" w:type="dxa"/>
                  <w:tcBorders>
                    <w:top w:val="single" w:color="000000" w:sz="6"/>
                    <w:left w:val="single" w:color="000000" w:sz="6"/>
                    <w:bottom w:val="single" w:color="000000" w:sz="6"/>
                    <w:right w:val="single" w:color="000000" w:sz="6"/>
                  </w:tcBorders>
                  <w:shd w:color="auto" w:fill="bdd6ee"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BROJ VOZILA</w:t>
                  </w:r>
                </w:p>
              </w:tc>
              <w:tc>
                <w:tcPr>
                  <w:tcW w:w="1321" w:type="dxa"/>
                  <w:tcBorders>
                    <w:top w:val="single" w:color="000000" w:sz="6"/>
                    <w:left w:val="single" w:color="000000" w:sz="6"/>
                    <w:bottom w:val="single" w:color="000000" w:sz="6"/>
                    <w:right w:val="single" w:color="000000" w:sz="6"/>
                  </w:tcBorders>
                  <w:shd w:color="auto" w:fill="bdd6ee"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U</w:t>
                  </w:r>
                  <w:r>
                    <w:rPr>
                      <w:rFonts w:ascii="Calibri" w:hAnsi="Calibri" w:cs="Calibri" w:eastAsia="Calibri"/>
                      <w:color w:val="000000"/>
                      <w:spacing w:val="0"/>
                      <w:position w:val="0"/>
                      <w:sz w:val="18"/>
                      <w:shd w:fill="auto" w:val="clear"/>
                    </w:rPr>
                    <w:t xml:space="preserve">ČEŠĆE [%]</w:t>
                  </w:r>
                </w:p>
              </w:tc>
            </w:tr>
            <w:tr>
              <w:trPr>
                <w:trHeight w:val="120" w:hRule="auto"/>
                <w:jc w:val="center"/>
              </w:trPr>
              <w:tc>
                <w:tcPr>
                  <w:tcW w:w="1843" w:type="dxa"/>
                  <w:tcBorders>
                    <w:top w:val="single" w:color="000000" w:sz="6"/>
                    <w:left w:val="single" w:color="000000" w:sz="6"/>
                    <w:bottom w:val="single" w:color="000000" w:sz="6"/>
                    <w:right w:val="single" w:color="000000" w:sz="6"/>
                  </w:tcBorders>
                  <w:shd w:color="auto" w:fill="bdd6ee"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PRE ECE</w:t>
                  </w:r>
                </w:p>
              </w:tc>
              <w:tc>
                <w:tcPr>
                  <w:tcW w:w="1213" w:type="dxa"/>
                  <w:tcBorders>
                    <w:top w:val="single" w:color="000000" w:sz="6"/>
                    <w:left w:val="single" w:color="000000" w:sz="6"/>
                    <w:bottom w:val="single" w:color="000000" w:sz="6"/>
                    <w:right w:val="single" w:color="000000" w:sz="6"/>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w:t>
                  </w:r>
                </w:p>
              </w:tc>
              <w:tc>
                <w:tcPr>
                  <w:tcW w:w="1321" w:type="dxa"/>
                  <w:tcBorders>
                    <w:top w:val="single" w:color="000000" w:sz="6"/>
                    <w:left w:val="single" w:color="000000" w:sz="6"/>
                    <w:bottom w:val="single" w:color="000000" w:sz="6"/>
                    <w:right w:val="single" w:color="000000" w:sz="6"/>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0,04%</w:t>
                  </w:r>
                </w:p>
              </w:tc>
            </w:tr>
            <w:tr>
              <w:trPr>
                <w:trHeight w:val="166" w:hRule="auto"/>
                <w:jc w:val="center"/>
              </w:trPr>
              <w:tc>
                <w:tcPr>
                  <w:tcW w:w="1843" w:type="dxa"/>
                  <w:tcBorders>
                    <w:top w:val="single" w:color="000000" w:sz="6"/>
                    <w:left w:val="single" w:color="000000" w:sz="6"/>
                    <w:bottom w:val="single" w:color="000000" w:sz="6"/>
                    <w:right w:val="single" w:color="000000" w:sz="6"/>
                  </w:tcBorders>
                  <w:shd w:color="auto" w:fill="bdd6ee"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ECE 15/00-01</w:t>
                  </w:r>
                </w:p>
              </w:tc>
              <w:tc>
                <w:tcPr>
                  <w:tcW w:w="1213" w:type="dxa"/>
                  <w:tcBorders>
                    <w:top w:val="single" w:color="000000" w:sz="6"/>
                    <w:left w:val="single" w:color="000000" w:sz="6"/>
                    <w:bottom w:val="single" w:color="000000" w:sz="6"/>
                    <w:right w:val="single" w:color="000000" w:sz="6"/>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3</w:t>
                  </w:r>
                </w:p>
              </w:tc>
              <w:tc>
                <w:tcPr>
                  <w:tcW w:w="1321" w:type="dxa"/>
                  <w:tcBorders>
                    <w:top w:val="single" w:color="000000" w:sz="6"/>
                    <w:left w:val="single" w:color="000000" w:sz="6"/>
                    <w:bottom w:val="single" w:color="000000" w:sz="6"/>
                    <w:right w:val="single" w:color="000000" w:sz="6"/>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0,12%</w:t>
                  </w:r>
                </w:p>
              </w:tc>
            </w:tr>
            <w:tr>
              <w:trPr>
                <w:trHeight w:val="227" w:hRule="auto"/>
                <w:jc w:val="center"/>
              </w:trPr>
              <w:tc>
                <w:tcPr>
                  <w:tcW w:w="1843" w:type="dxa"/>
                  <w:tcBorders>
                    <w:top w:val="single" w:color="000000" w:sz="6"/>
                    <w:left w:val="single" w:color="000000" w:sz="6"/>
                    <w:bottom w:val="single" w:color="000000" w:sz="6"/>
                    <w:right w:val="single" w:color="000000" w:sz="6"/>
                  </w:tcBorders>
                  <w:shd w:color="auto" w:fill="bdd6ee"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ECE 15/02</w:t>
                  </w:r>
                </w:p>
              </w:tc>
              <w:tc>
                <w:tcPr>
                  <w:tcW w:w="1213" w:type="dxa"/>
                  <w:tcBorders>
                    <w:top w:val="single" w:color="000000" w:sz="6"/>
                    <w:left w:val="single" w:color="000000" w:sz="6"/>
                    <w:bottom w:val="single" w:color="000000" w:sz="6"/>
                    <w:right w:val="single" w:color="000000" w:sz="6"/>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4</w:t>
                  </w:r>
                </w:p>
              </w:tc>
              <w:tc>
                <w:tcPr>
                  <w:tcW w:w="1321" w:type="dxa"/>
                  <w:tcBorders>
                    <w:top w:val="single" w:color="000000" w:sz="6"/>
                    <w:left w:val="single" w:color="000000" w:sz="6"/>
                    <w:bottom w:val="single" w:color="000000" w:sz="6"/>
                    <w:right w:val="single" w:color="000000" w:sz="6"/>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0,16%</w:t>
                  </w:r>
                </w:p>
              </w:tc>
            </w:tr>
            <w:tr>
              <w:trPr>
                <w:trHeight w:val="118" w:hRule="auto"/>
                <w:jc w:val="center"/>
              </w:trPr>
              <w:tc>
                <w:tcPr>
                  <w:tcW w:w="1843" w:type="dxa"/>
                  <w:tcBorders>
                    <w:top w:val="single" w:color="000000" w:sz="6"/>
                    <w:left w:val="single" w:color="000000" w:sz="6"/>
                    <w:bottom w:val="single" w:color="000000" w:sz="6"/>
                    <w:right w:val="single" w:color="000000" w:sz="6"/>
                  </w:tcBorders>
                  <w:shd w:color="auto" w:fill="bdd6ee"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ECE 15/03</w:t>
                  </w:r>
                </w:p>
              </w:tc>
              <w:tc>
                <w:tcPr>
                  <w:tcW w:w="1213" w:type="dxa"/>
                  <w:tcBorders>
                    <w:top w:val="single" w:color="000000" w:sz="6"/>
                    <w:left w:val="single" w:color="000000" w:sz="6"/>
                    <w:bottom w:val="single" w:color="000000" w:sz="6"/>
                    <w:right w:val="single" w:color="000000" w:sz="6"/>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125</w:t>
                  </w:r>
                </w:p>
              </w:tc>
              <w:tc>
                <w:tcPr>
                  <w:tcW w:w="1321" w:type="dxa"/>
                  <w:tcBorders>
                    <w:top w:val="single" w:color="000000" w:sz="6"/>
                    <w:left w:val="single" w:color="000000" w:sz="6"/>
                    <w:bottom w:val="single" w:color="000000" w:sz="6"/>
                    <w:right w:val="single" w:color="000000" w:sz="6"/>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5,09%</w:t>
                  </w:r>
                </w:p>
              </w:tc>
            </w:tr>
            <w:tr>
              <w:trPr>
                <w:trHeight w:val="164" w:hRule="auto"/>
                <w:jc w:val="center"/>
              </w:trPr>
              <w:tc>
                <w:tcPr>
                  <w:tcW w:w="1843" w:type="dxa"/>
                  <w:tcBorders>
                    <w:top w:val="single" w:color="000000" w:sz="6"/>
                    <w:left w:val="single" w:color="000000" w:sz="6"/>
                    <w:bottom w:val="single" w:color="000000" w:sz="6"/>
                    <w:right w:val="single" w:color="000000" w:sz="6"/>
                  </w:tcBorders>
                  <w:shd w:color="auto" w:fill="bdd6ee"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ECE 15/04</w:t>
                  </w:r>
                </w:p>
              </w:tc>
              <w:tc>
                <w:tcPr>
                  <w:tcW w:w="1213" w:type="dxa"/>
                  <w:tcBorders>
                    <w:top w:val="single" w:color="000000" w:sz="6"/>
                    <w:left w:val="single" w:color="000000" w:sz="6"/>
                    <w:bottom w:val="single" w:color="000000" w:sz="6"/>
                    <w:right w:val="single" w:color="000000" w:sz="6"/>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382</w:t>
                  </w:r>
                </w:p>
              </w:tc>
              <w:tc>
                <w:tcPr>
                  <w:tcW w:w="1321" w:type="dxa"/>
                  <w:tcBorders>
                    <w:top w:val="single" w:color="000000" w:sz="6"/>
                    <w:left w:val="single" w:color="000000" w:sz="6"/>
                    <w:bottom w:val="single" w:color="000000" w:sz="6"/>
                    <w:right w:val="single" w:color="000000" w:sz="6"/>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15,55%</w:t>
                  </w:r>
                </w:p>
              </w:tc>
            </w:tr>
            <w:tr>
              <w:trPr>
                <w:trHeight w:val="224" w:hRule="auto"/>
                <w:jc w:val="center"/>
              </w:trPr>
              <w:tc>
                <w:tcPr>
                  <w:tcW w:w="1843" w:type="dxa"/>
                  <w:tcBorders>
                    <w:top w:val="single" w:color="000000" w:sz="6"/>
                    <w:left w:val="single" w:color="000000" w:sz="6"/>
                    <w:bottom w:val="single" w:color="000000" w:sz="6"/>
                    <w:right w:val="single" w:color="000000" w:sz="6"/>
                  </w:tcBorders>
                  <w:shd w:color="auto" w:fill="bdd6ee"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KONVENCIONALNA</w:t>
                  </w:r>
                </w:p>
              </w:tc>
              <w:tc>
                <w:tcPr>
                  <w:tcW w:w="1213" w:type="dxa"/>
                  <w:tcBorders>
                    <w:top w:val="single" w:color="000000" w:sz="6"/>
                    <w:left w:val="single" w:color="000000" w:sz="6"/>
                    <w:bottom w:val="single" w:color="000000" w:sz="6"/>
                    <w:right w:val="single" w:color="000000" w:sz="6"/>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587</w:t>
                  </w:r>
                </w:p>
              </w:tc>
              <w:tc>
                <w:tcPr>
                  <w:tcW w:w="1321" w:type="dxa"/>
                  <w:tcBorders>
                    <w:top w:val="single" w:color="000000" w:sz="6"/>
                    <w:left w:val="single" w:color="000000" w:sz="6"/>
                    <w:bottom w:val="single" w:color="000000" w:sz="6"/>
                    <w:right w:val="single" w:color="000000" w:sz="6"/>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23,90%</w:t>
                  </w:r>
                </w:p>
              </w:tc>
            </w:tr>
            <w:tr>
              <w:trPr>
                <w:trHeight w:val="114" w:hRule="auto"/>
                <w:jc w:val="center"/>
              </w:trPr>
              <w:tc>
                <w:tcPr>
                  <w:tcW w:w="1843" w:type="dxa"/>
                  <w:tcBorders>
                    <w:top w:val="single" w:color="000000" w:sz="6"/>
                    <w:left w:val="single" w:color="000000" w:sz="6"/>
                    <w:bottom w:val="single" w:color="000000" w:sz="6"/>
                    <w:right w:val="single" w:color="000000" w:sz="6"/>
                  </w:tcBorders>
                  <w:shd w:color="auto" w:fill="bdd6ee"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EURO 1</w:t>
                  </w:r>
                </w:p>
              </w:tc>
              <w:tc>
                <w:tcPr>
                  <w:tcW w:w="1213" w:type="dxa"/>
                  <w:tcBorders>
                    <w:top w:val="single" w:color="000000" w:sz="6"/>
                    <w:left w:val="single" w:color="000000" w:sz="6"/>
                    <w:bottom w:val="single" w:color="000000" w:sz="6"/>
                    <w:right w:val="single" w:color="000000" w:sz="6"/>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252</w:t>
                  </w:r>
                </w:p>
              </w:tc>
              <w:tc>
                <w:tcPr>
                  <w:tcW w:w="1321" w:type="dxa"/>
                  <w:tcBorders>
                    <w:top w:val="single" w:color="000000" w:sz="6"/>
                    <w:left w:val="single" w:color="000000" w:sz="6"/>
                    <w:bottom w:val="single" w:color="000000" w:sz="6"/>
                    <w:right w:val="single" w:color="000000" w:sz="6"/>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10,26%</w:t>
                  </w:r>
                </w:p>
              </w:tc>
            </w:tr>
            <w:tr>
              <w:trPr>
                <w:trHeight w:val="160" w:hRule="auto"/>
                <w:jc w:val="center"/>
              </w:trPr>
              <w:tc>
                <w:tcPr>
                  <w:tcW w:w="1843" w:type="dxa"/>
                  <w:tcBorders>
                    <w:top w:val="single" w:color="000000" w:sz="6"/>
                    <w:left w:val="single" w:color="000000" w:sz="6"/>
                    <w:bottom w:val="single" w:color="000000" w:sz="6"/>
                    <w:right w:val="single" w:color="000000" w:sz="6"/>
                  </w:tcBorders>
                  <w:shd w:color="auto" w:fill="bdd6ee"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EURO 2</w:t>
                  </w:r>
                </w:p>
              </w:tc>
              <w:tc>
                <w:tcPr>
                  <w:tcW w:w="1213" w:type="dxa"/>
                  <w:tcBorders>
                    <w:top w:val="single" w:color="000000" w:sz="6"/>
                    <w:left w:val="single" w:color="000000" w:sz="6"/>
                    <w:bottom w:val="single" w:color="000000" w:sz="6"/>
                    <w:right w:val="single" w:color="000000" w:sz="6"/>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371</w:t>
                  </w:r>
                </w:p>
              </w:tc>
              <w:tc>
                <w:tcPr>
                  <w:tcW w:w="1321" w:type="dxa"/>
                  <w:tcBorders>
                    <w:top w:val="single" w:color="000000" w:sz="6"/>
                    <w:left w:val="single" w:color="000000" w:sz="6"/>
                    <w:bottom w:val="single" w:color="000000" w:sz="6"/>
                    <w:right w:val="single" w:color="000000" w:sz="6"/>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15,11%</w:t>
                  </w:r>
                </w:p>
              </w:tc>
            </w:tr>
            <w:tr>
              <w:trPr>
                <w:trHeight w:val="160" w:hRule="auto"/>
                <w:jc w:val="center"/>
              </w:trPr>
              <w:tc>
                <w:tcPr>
                  <w:tcW w:w="1843" w:type="dxa"/>
                  <w:tcBorders>
                    <w:top w:val="single" w:color="000000" w:sz="6"/>
                    <w:left w:val="single" w:color="000000" w:sz="6"/>
                    <w:bottom w:val="single" w:color="000000" w:sz="6"/>
                    <w:right w:val="single" w:color="000000" w:sz="6"/>
                  </w:tcBorders>
                  <w:shd w:color="auto" w:fill="bdd6ee"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EURO 3</w:t>
                  </w:r>
                </w:p>
              </w:tc>
              <w:tc>
                <w:tcPr>
                  <w:tcW w:w="1213" w:type="dxa"/>
                  <w:tcBorders>
                    <w:top w:val="single" w:color="000000" w:sz="6"/>
                    <w:left w:val="single" w:color="000000" w:sz="6"/>
                    <w:bottom w:val="single" w:color="000000" w:sz="6"/>
                    <w:right w:val="single" w:color="000000" w:sz="6"/>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573</w:t>
                  </w:r>
                </w:p>
              </w:tc>
              <w:tc>
                <w:tcPr>
                  <w:tcW w:w="1321" w:type="dxa"/>
                  <w:tcBorders>
                    <w:top w:val="single" w:color="000000" w:sz="6"/>
                    <w:left w:val="single" w:color="000000" w:sz="6"/>
                    <w:bottom w:val="single" w:color="000000" w:sz="6"/>
                    <w:right w:val="single" w:color="000000" w:sz="6"/>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23,33%</w:t>
                  </w:r>
                </w:p>
              </w:tc>
            </w:tr>
            <w:tr>
              <w:trPr>
                <w:trHeight w:val="160" w:hRule="auto"/>
                <w:jc w:val="center"/>
              </w:trPr>
              <w:tc>
                <w:tcPr>
                  <w:tcW w:w="1843" w:type="dxa"/>
                  <w:tcBorders>
                    <w:top w:val="single" w:color="000000" w:sz="6"/>
                    <w:left w:val="single" w:color="000000" w:sz="6"/>
                    <w:bottom w:val="single" w:color="000000" w:sz="6"/>
                    <w:right w:val="single" w:color="000000" w:sz="6"/>
                  </w:tcBorders>
                  <w:shd w:color="auto" w:fill="bdd6ee"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EURO 4</w:t>
                  </w:r>
                </w:p>
              </w:tc>
              <w:tc>
                <w:tcPr>
                  <w:tcW w:w="1213" w:type="dxa"/>
                  <w:tcBorders>
                    <w:top w:val="single" w:color="000000" w:sz="6"/>
                    <w:left w:val="single" w:color="000000" w:sz="6"/>
                    <w:bottom w:val="single" w:color="000000" w:sz="6"/>
                    <w:right w:val="single" w:color="000000" w:sz="6"/>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120</w:t>
                  </w:r>
                </w:p>
              </w:tc>
              <w:tc>
                <w:tcPr>
                  <w:tcW w:w="1321" w:type="dxa"/>
                  <w:tcBorders>
                    <w:top w:val="single" w:color="000000" w:sz="6"/>
                    <w:left w:val="single" w:color="000000" w:sz="6"/>
                    <w:bottom w:val="single" w:color="000000" w:sz="6"/>
                    <w:right w:val="single" w:color="000000" w:sz="6"/>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4,89%</w:t>
                  </w:r>
                </w:p>
              </w:tc>
            </w:tr>
            <w:tr>
              <w:trPr>
                <w:trHeight w:val="160" w:hRule="auto"/>
                <w:jc w:val="center"/>
              </w:trPr>
              <w:tc>
                <w:tcPr>
                  <w:tcW w:w="1843" w:type="dxa"/>
                  <w:tcBorders>
                    <w:top w:val="single" w:color="000000" w:sz="6"/>
                    <w:left w:val="single" w:color="000000" w:sz="6"/>
                    <w:bottom w:val="single" w:color="000000" w:sz="6"/>
                    <w:right w:val="single" w:color="000000" w:sz="6"/>
                  </w:tcBorders>
                  <w:shd w:color="auto" w:fill="bdd6ee"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EURO 5</w:t>
                  </w:r>
                </w:p>
              </w:tc>
              <w:tc>
                <w:tcPr>
                  <w:tcW w:w="1213" w:type="dxa"/>
                  <w:tcBorders>
                    <w:top w:val="single" w:color="000000" w:sz="6"/>
                    <w:left w:val="single" w:color="000000" w:sz="6"/>
                    <w:bottom w:val="single" w:color="000000" w:sz="6"/>
                    <w:right w:val="single" w:color="000000" w:sz="6"/>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38</w:t>
                  </w:r>
                </w:p>
              </w:tc>
              <w:tc>
                <w:tcPr>
                  <w:tcW w:w="1321" w:type="dxa"/>
                  <w:tcBorders>
                    <w:top w:val="single" w:color="000000" w:sz="6"/>
                    <w:left w:val="single" w:color="000000" w:sz="6"/>
                    <w:bottom w:val="single" w:color="000000" w:sz="6"/>
                    <w:right w:val="single" w:color="000000" w:sz="6"/>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1,55%</w:t>
                  </w:r>
                </w:p>
              </w:tc>
            </w:tr>
            <w:tr>
              <w:trPr>
                <w:trHeight w:val="160" w:hRule="auto"/>
                <w:jc w:val="center"/>
              </w:trPr>
              <w:tc>
                <w:tcPr>
                  <w:tcW w:w="1843" w:type="dxa"/>
                  <w:tcBorders>
                    <w:top w:val="single" w:color="000000" w:sz="6"/>
                    <w:left w:val="single" w:color="000000" w:sz="6"/>
                    <w:bottom w:val="single" w:color="000000" w:sz="6"/>
                    <w:right w:val="single" w:color="000000" w:sz="6"/>
                  </w:tcBorders>
                  <w:shd w:color="auto" w:fill="bdd6ee" w:val="clear"/>
                  <w:tcMar>
                    <w:left w:w="108" w:type="dxa"/>
                    <w:right w:w="108" w:type="dxa"/>
                  </w:tcMar>
                  <w:vAlign w:val="center"/>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UKUPNO</w:t>
                  </w:r>
                </w:p>
              </w:tc>
              <w:tc>
                <w:tcPr>
                  <w:tcW w:w="1213" w:type="dxa"/>
                  <w:tcBorders>
                    <w:top w:val="single" w:color="000000" w:sz="6"/>
                    <w:left w:val="single" w:color="000000" w:sz="6"/>
                    <w:bottom w:val="single" w:color="000000" w:sz="6"/>
                    <w:right w:val="single" w:color="000000" w:sz="6"/>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2456</w:t>
                  </w:r>
                </w:p>
              </w:tc>
              <w:tc>
                <w:tcPr>
                  <w:tcW w:w="1321" w:type="dxa"/>
                  <w:tcBorders>
                    <w:top w:val="single" w:color="000000" w:sz="6"/>
                    <w:left w:val="single" w:color="000000" w:sz="6"/>
                    <w:bottom w:val="single" w:color="000000" w:sz="6"/>
                    <w:right w:val="single" w:color="000000" w:sz="6"/>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100.00%</w:t>
                  </w:r>
                </w:p>
              </w:tc>
            </w:tr>
          </w:tbl>
          <w:p>
            <w:pPr>
              <w:spacing w:before="0" w:after="0" w:line="240"/>
              <w:ind w:right="0" w:left="0" w:firstLine="0"/>
              <w:jc w:val="left"/>
              <w:rPr>
                <w:rFonts w:ascii="Calibri" w:hAnsi="Calibri" w:cs="Calibri" w:eastAsia="Calibri"/>
                <w:spacing w:val="0"/>
                <w:position w:val="0"/>
              </w:rPr>
            </w:pPr>
          </w:p>
        </w:tc>
        <w:tc>
          <w:tcPr>
            <w:tcW w:w="4667"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p>
            <w:pPr>
              <w:spacing w:before="60" w:after="16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Dijagram 511: Struktura osobnih i komercijalnih vozila u baznoj godini prema ekološkim kategorijama</w:t>
            </w:r>
          </w:p>
        </w:tc>
      </w:tr>
    </w:tbl>
    <w:p>
      <w:pPr>
        <w:spacing w:before="60" w:after="120" w:line="240"/>
        <w:ind w:right="0" w:left="0" w:firstLine="0"/>
        <w:jc w:val="both"/>
        <w:rPr>
          <w:rFonts w:ascii="Calibri" w:hAnsi="Calibri" w:cs="Calibri" w:eastAsia="Calibri"/>
          <w:b/>
          <w:color w:val="auto"/>
          <w:spacing w:val="0"/>
          <w:position w:val="0"/>
          <w:sz w:val="18"/>
          <w:shd w:fill="auto" w:val="clear"/>
        </w:rPr>
      </w:pPr>
      <w:r>
        <w:rPr>
          <w:rFonts w:ascii="Calibri" w:hAnsi="Calibri" w:cs="Calibri" w:eastAsia="Calibri"/>
          <w:color w:val="auto"/>
          <w:spacing w:val="0"/>
          <w:position w:val="0"/>
          <w:sz w:val="20"/>
          <w:shd w:fill="auto" w:val="clear"/>
        </w:rPr>
        <w:t xml:space="preserve">Pregled ukupne energije utrošene u baznoj godini u ovom podsektoru i emisija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dat je u narednoj tabeli. </w:t>
      </w:r>
    </w:p>
    <w:tbl>
      <w:tblPr/>
      <w:tblGrid>
        <w:gridCol w:w="1735"/>
        <w:gridCol w:w="2905"/>
        <w:gridCol w:w="3048"/>
      </w:tblGrid>
      <w:tr>
        <w:trPr>
          <w:trHeight w:val="227" w:hRule="auto"/>
          <w:jc w:val="center"/>
        </w:trPr>
        <w:tc>
          <w:tcPr>
            <w:tcW w:w="1735" w:type="dxa"/>
            <w:vMerge w:val="restart"/>
            <w:tcBorders>
              <w:top w:val="single" w:color="000000" w:sz="4"/>
              <w:left w:val="single" w:color="000000" w:sz="4"/>
              <w:bottom w:val="single" w:color="000000" w:sz="4"/>
              <w:right w:val="single" w:color="000000" w:sz="4"/>
            </w:tcBorders>
            <w:shd w:color="auto" w:fill="bdd6ee"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ENERGENT</w:t>
            </w:r>
          </w:p>
        </w:tc>
        <w:tc>
          <w:tcPr>
            <w:tcW w:w="5953" w:type="dxa"/>
            <w:gridSpan w:val="2"/>
            <w:tcBorders>
              <w:top w:val="single" w:color="000000" w:sz="4"/>
              <w:left w:val="single" w:color="000000" w:sz="0"/>
              <w:bottom w:val="single" w:color="000000" w:sz="4"/>
              <w:right w:val="single" w:color="000000" w:sz="4"/>
            </w:tcBorders>
            <w:shd w:color="auto" w:fill="bdd6ee"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OSOBNA I KOMERCIJALNA VOZILA</w:t>
            </w:r>
          </w:p>
        </w:tc>
      </w:tr>
      <w:tr>
        <w:trPr>
          <w:trHeight w:val="57" w:hRule="auto"/>
          <w:jc w:val="center"/>
        </w:trPr>
        <w:tc>
          <w:tcPr>
            <w:tcW w:w="1735" w:type="dxa"/>
            <w:vMerge/>
            <w:tcBorders>
              <w:top w:val="single" w:color="000000" w:sz="4"/>
              <w:left w:val="single" w:color="000000" w:sz="4"/>
              <w:bottom w:val="single" w:color="000000" w:sz="4"/>
              <w:right w:val="single" w:color="000000" w:sz="4"/>
            </w:tcBorders>
            <w:shd w:color="auto" w:fill="bdd6ee" w:val="clear"/>
            <w:tcMar>
              <w:left w:w="108" w:type="dxa"/>
              <w:right w:w="108"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2905" w:type="dxa"/>
            <w:vMerge w:val="restart"/>
            <w:tcBorders>
              <w:top w:val="single" w:color="000000" w:sz="0"/>
              <w:left w:val="single" w:color="000000" w:sz="4"/>
              <w:bottom w:val="single" w:color="000000" w:sz="4"/>
              <w:right w:val="single" w:color="000000" w:sz="4"/>
            </w:tcBorders>
            <w:shd w:color="auto" w:fill="bdd6ee"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FINALNA ENERGIJA [MWh]</w:t>
            </w:r>
          </w:p>
        </w:tc>
        <w:tc>
          <w:tcPr>
            <w:tcW w:w="3048" w:type="dxa"/>
            <w:vMerge w:val="restart"/>
            <w:tcBorders>
              <w:top w:val="single" w:color="000000" w:sz="0"/>
              <w:left w:val="single" w:color="000000" w:sz="4"/>
              <w:bottom w:val="single" w:color="000000" w:sz="4"/>
              <w:right w:val="single" w:color="000000" w:sz="4"/>
            </w:tcBorders>
            <w:shd w:color="auto" w:fill="bdd6ee"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EMISIJE [tCO</w:t>
            </w:r>
            <w:r>
              <w:rPr>
                <w:rFonts w:ascii="Calibri" w:hAnsi="Calibri" w:cs="Calibri" w:eastAsia="Calibri"/>
                <w:color w:val="000000"/>
                <w:spacing w:val="0"/>
                <w:position w:val="0"/>
                <w:sz w:val="18"/>
                <w:shd w:fill="auto" w:val="clear"/>
                <w:vertAlign w:val="subscript"/>
              </w:rPr>
              <w:t xml:space="preserve">2</w:t>
            </w:r>
            <w:r>
              <w:rPr>
                <w:rFonts w:ascii="Calibri" w:hAnsi="Calibri" w:cs="Calibri" w:eastAsia="Calibri"/>
                <w:color w:val="000000"/>
                <w:spacing w:val="0"/>
                <w:position w:val="0"/>
                <w:sz w:val="18"/>
                <w:shd w:fill="auto" w:val="clear"/>
              </w:rPr>
              <w:t xml:space="preserve">]</w:t>
            </w:r>
          </w:p>
        </w:tc>
      </w:tr>
      <w:tr>
        <w:trPr>
          <w:trHeight w:val="269" w:hRule="auto"/>
          <w:jc w:val="center"/>
        </w:trPr>
        <w:tc>
          <w:tcPr>
            <w:tcW w:w="1735" w:type="dxa"/>
            <w:vMerge/>
            <w:tcBorders>
              <w:top w:val="single" w:color="000000" w:sz="4"/>
              <w:left w:val="single" w:color="000000" w:sz="4"/>
              <w:bottom w:val="single" w:color="000000" w:sz="4"/>
              <w:right w:val="single" w:color="000000" w:sz="4"/>
            </w:tcBorders>
            <w:shd w:color="auto" w:fill="bdd6ee" w:val="clear"/>
            <w:tcMar>
              <w:left w:w="108" w:type="dxa"/>
              <w:right w:w="108"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2905" w:type="dxa"/>
            <w:vMerge/>
            <w:tcBorders>
              <w:top w:val="single" w:color="000000" w:sz="0"/>
              <w:left w:val="single" w:color="000000" w:sz="4"/>
              <w:bottom w:val="single" w:color="000000" w:sz="4"/>
              <w:right w:val="single" w:color="000000" w:sz="4"/>
            </w:tcBorders>
            <w:shd w:color="auto" w:fill="bdd6ee" w:val="clear"/>
            <w:tcMar>
              <w:left w:w="108" w:type="dxa"/>
              <w:right w:w="108"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3048" w:type="dxa"/>
            <w:vMerge/>
            <w:tcBorders>
              <w:top w:val="single" w:color="000000" w:sz="0"/>
              <w:left w:val="single" w:color="000000" w:sz="4"/>
              <w:bottom w:val="single" w:color="000000" w:sz="4"/>
              <w:right w:val="single" w:color="000000" w:sz="4"/>
            </w:tcBorders>
            <w:shd w:color="auto" w:fill="bdd6ee" w:val="clear"/>
            <w:tcMar>
              <w:left w:w="108" w:type="dxa"/>
              <w:right w:w="108"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r>
      <w:tr>
        <w:trPr>
          <w:trHeight w:val="227" w:hRule="auto"/>
          <w:jc w:val="center"/>
        </w:trPr>
        <w:tc>
          <w:tcPr>
            <w:tcW w:w="1735" w:type="dxa"/>
            <w:tcBorders>
              <w:top w:val="single" w:color="000000" w:sz="0"/>
              <w:left w:val="single" w:color="000000" w:sz="4"/>
              <w:bottom w:val="single" w:color="000000" w:sz="4"/>
              <w:right w:val="single" w:color="000000" w:sz="4"/>
            </w:tcBorders>
            <w:shd w:color="auto" w:fill="bdd6ee"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DIZEL</w:t>
            </w:r>
          </w:p>
        </w:tc>
        <w:tc>
          <w:tcPr>
            <w:tcW w:w="290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20.886,23</w:t>
            </w:r>
          </w:p>
        </w:tc>
        <w:tc>
          <w:tcPr>
            <w:tcW w:w="304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5.576,62</w:t>
            </w:r>
          </w:p>
        </w:tc>
      </w:tr>
      <w:tr>
        <w:trPr>
          <w:trHeight w:val="227" w:hRule="auto"/>
          <w:jc w:val="center"/>
        </w:trPr>
        <w:tc>
          <w:tcPr>
            <w:tcW w:w="1735" w:type="dxa"/>
            <w:tcBorders>
              <w:top w:val="single" w:color="000000" w:sz="0"/>
              <w:left w:val="single" w:color="000000" w:sz="4"/>
              <w:bottom w:val="single" w:color="000000" w:sz="4"/>
              <w:right w:val="single" w:color="000000" w:sz="4"/>
            </w:tcBorders>
            <w:shd w:color="auto" w:fill="bdd6ee"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BENZIN</w:t>
            </w:r>
          </w:p>
        </w:tc>
        <w:tc>
          <w:tcPr>
            <w:tcW w:w="290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11.104,97</w:t>
            </w:r>
          </w:p>
        </w:tc>
        <w:tc>
          <w:tcPr>
            <w:tcW w:w="304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2.765,14</w:t>
            </w:r>
          </w:p>
        </w:tc>
      </w:tr>
      <w:tr>
        <w:trPr>
          <w:trHeight w:val="227" w:hRule="auto"/>
          <w:jc w:val="center"/>
        </w:trPr>
        <w:tc>
          <w:tcPr>
            <w:tcW w:w="1735" w:type="dxa"/>
            <w:tcBorders>
              <w:top w:val="single" w:color="000000" w:sz="0"/>
              <w:left w:val="single" w:color="000000" w:sz="4"/>
              <w:bottom w:val="single" w:color="000000" w:sz="4"/>
              <w:right w:val="single" w:color="000000" w:sz="4"/>
            </w:tcBorders>
            <w:shd w:color="auto" w:fill="bdd6ee" w:val="clear"/>
            <w:tcMar>
              <w:left w:w="108" w:type="dxa"/>
              <w:right w:w="108" w:type="dxa"/>
            </w:tcMar>
            <w:vAlign w:val="center"/>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UKUPNO</w:t>
            </w:r>
          </w:p>
        </w:tc>
        <w:tc>
          <w:tcPr>
            <w:tcW w:w="2905" w:type="dxa"/>
            <w:tcBorders>
              <w:top w:val="single" w:color="000000" w:sz="0"/>
              <w:left w:val="single" w:color="000000" w:sz="0"/>
              <w:bottom w:val="single" w:color="000000" w:sz="4"/>
              <w:right w:val="single" w:color="000000" w:sz="4"/>
            </w:tcBorders>
            <w:shd w:color="auto" w:fill="deeaf6"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31.991,21</w:t>
            </w:r>
          </w:p>
        </w:tc>
        <w:tc>
          <w:tcPr>
            <w:tcW w:w="3048" w:type="dxa"/>
            <w:tcBorders>
              <w:top w:val="single" w:color="000000" w:sz="0"/>
              <w:left w:val="single" w:color="000000" w:sz="0"/>
              <w:bottom w:val="single" w:color="000000" w:sz="4"/>
              <w:right w:val="single" w:color="000000" w:sz="4"/>
            </w:tcBorders>
            <w:shd w:color="auto" w:fill="deeaf6"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8.341,76</w:t>
            </w:r>
          </w:p>
        </w:tc>
      </w:tr>
    </w:tbl>
    <w:p>
      <w:pPr>
        <w:keepNext w:val="true"/>
        <w:spacing w:before="60" w:after="120" w:line="240"/>
        <w:ind w:right="0" w:left="0" w:firstLine="0"/>
        <w:jc w:val="center"/>
        <w:rPr>
          <w:rFonts w:ascii="Calibri" w:hAnsi="Calibri" w:cs="Calibri" w:eastAsia="Calibri"/>
          <w:i/>
          <w:color w:val="auto"/>
          <w:spacing w:val="0"/>
          <w:position w:val="0"/>
          <w:sz w:val="18"/>
          <w:shd w:fill="auto" w:val="clear"/>
        </w:rPr>
      </w:pPr>
      <w:r>
        <w:rPr>
          <w:rFonts w:ascii="Calibri" w:hAnsi="Calibri" w:cs="Calibri" w:eastAsia="Calibri"/>
          <w:i/>
          <w:color w:val="auto"/>
          <w:spacing w:val="0"/>
          <w:position w:val="0"/>
          <w:sz w:val="18"/>
          <w:shd w:fill="auto" w:val="clear"/>
        </w:rPr>
        <w:t xml:space="preserve">Tabela 517: Godišnja potrošnja energije i emisije CO</w:t>
      </w:r>
      <w:r>
        <w:rPr>
          <w:rFonts w:ascii="Calibri" w:hAnsi="Calibri" w:cs="Calibri" w:eastAsia="Calibri"/>
          <w:i/>
          <w:color w:val="auto"/>
          <w:spacing w:val="0"/>
          <w:position w:val="0"/>
          <w:sz w:val="18"/>
          <w:shd w:fill="auto" w:val="clear"/>
          <w:vertAlign w:val="subscript"/>
        </w:rPr>
        <w:t xml:space="preserve">2</w:t>
      </w:r>
      <w:r>
        <w:rPr>
          <w:rFonts w:ascii="Calibri" w:hAnsi="Calibri" w:cs="Calibri" w:eastAsia="Calibri"/>
          <w:i/>
          <w:color w:val="auto"/>
          <w:spacing w:val="0"/>
          <w:position w:val="0"/>
          <w:sz w:val="18"/>
          <w:shd w:fill="auto" w:val="clear"/>
        </w:rPr>
        <w:t xml:space="preserve"> za podsektor osobnih i komercijalnih vozila u baznoj godini</w:t>
      </w:r>
    </w:p>
    <w:p>
      <w:pPr>
        <w:spacing w:before="60" w:after="12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U baznoj 2010. godini je u ovom podsektoru utrošeno ukupno 31.991,21 MWh energije, i to 20.886,23 MWh ili 65,29% iz dizel goriva, te 11.104,97  MWh ili 34,71% iz benzina. Sagorijevanjem ovih goriva u atmosferu je oslobo</w:t>
      </w:r>
      <w:r>
        <w:rPr>
          <w:rFonts w:ascii="Calibri" w:hAnsi="Calibri" w:cs="Calibri" w:eastAsia="Calibri"/>
          <w:color w:val="auto"/>
          <w:spacing w:val="0"/>
          <w:position w:val="0"/>
          <w:sz w:val="20"/>
          <w:shd w:fill="auto" w:val="clear"/>
        </w:rPr>
        <w:t xml:space="preserve">đeno 8.341,76 t 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od čega je 5.576,62 tCO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odnosno 66,85% nastalo sagorijevanjem dizela, i 2.2765,14 tCO</w:t>
      </w:r>
      <w:r>
        <w:rPr>
          <w:rFonts w:ascii="Calibri" w:hAnsi="Calibri" w:cs="Calibri" w:eastAsia="Calibri"/>
          <w:color w:val="auto"/>
          <w:spacing w:val="0"/>
          <w:position w:val="0"/>
          <w:sz w:val="20"/>
          <w:shd w:fill="auto" w:val="clear"/>
          <w:vertAlign w:val="subscript"/>
        </w:rPr>
        <w:t xml:space="preserve">2 </w:t>
      </w:r>
      <w:r>
        <w:rPr>
          <w:rFonts w:ascii="Calibri" w:hAnsi="Calibri" w:cs="Calibri" w:eastAsia="Calibri"/>
          <w:color w:val="auto"/>
          <w:spacing w:val="0"/>
          <w:position w:val="0"/>
          <w:sz w:val="20"/>
          <w:shd w:fill="auto" w:val="clear"/>
        </w:rPr>
        <w:t xml:space="preserve">odnosno 33,15% sagorijevanjem motornog benzina. Ovi omjeri su prikazani i na narednim dijagramima.</w:t>
      </w:r>
    </w:p>
    <w:tbl>
      <w:tblPr/>
      <w:tblGrid>
        <w:gridCol w:w="4962"/>
        <w:gridCol w:w="4819"/>
      </w:tblGrid>
      <w:tr>
        <w:trPr>
          <w:trHeight w:val="1" w:hRule="atLeast"/>
          <w:jc w:val="center"/>
        </w:trPr>
        <w:tc>
          <w:tcPr>
            <w:tcW w:w="4962"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b/>
                <w:color w:val="auto"/>
                <w:spacing w:val="0"/>
                <w:position w:val="0"/>
                <w:sz w:val="18"/>
                <w:shd w:fill="auto" w:val="clear"/>
              </w:rPr>
            </w:pPr>
          </w:p>
          <w:p>
            <w:pPr>
              <w:spacing w:before="60" w:after="16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Dijagram 512: Potrošnja energije u podsektoru osobnih  i komercijalnih vozila u baznoj godini prema energentima</w:t>
            </w:r>
          </w:p>
        </w:tc>
        <w:tc>
          <w:tcPr>
            <w:tcW w:w="4819"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b/>
                <w:color w:val="auto"/>
                <w:spacing w:val="0"/>
                <w:position w:val="0"/>
                <w:sz w:val="18"/>
                <w:shd w:fill="auto" w:val="clear"/>
              </w:rPr>
            </w:pPr>
          </w:p>
          <w:p>
            <w:pPr>
              <w:spacing w:before="60" w:after="16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Dijagram 513: Udio razmatranih energenata u emisijama CO</w:t>
            </w:r>
            <w:r>
              <w:rPr>
                <w:rFonts w:ascii="Calibri" w:hAnsi="Calibri" w:cs="Calibri" w:eastAsia="Calibri"/>
                <w:b/>
                <w:i/>
                <w:color w:val="auto"/>
                <w:spacing w:val="0"/>
                <w:position w:val="0"/>
                <w:sz w:val="18"/>
                <w:shd w:fill="auto" w:val="clear"/>
                <w:vertAlign w:val="subscript"/>
              </w:rPr>
              <w:t xml:space="preserve">2</w:t>
            </w:r>
            <w:r>
              <w:rPr>
                <w:rFonts w:ascii="Calibri" w:hAnsi="Calibri" w:cs="Calibri" w:eastAsia="Calibri"/>
                <w:color w:val="auto"/>
                <w:spacing w:val="0"/>
                <w:position w:val="0"/>
                <w:sz w:val="18"/>
                <w:shd w:fill="auto" w:val="clear"/>
              </w:rPr>
              <w:t xml:space="preserve"> iz podsektora osobnih i komercijalnih vozila u baznoj godini</w:t>
            </w:r>
          </w:p>
        </w:tc>
      </w:tr>
    </w:tbl>
    <w:p>
      <w:pPr>
        <w:keepNext w:val="true"/>
        <w:keepLines w:val="true"/>
        <w:numPr>
          <w:ilvl w:val="0"/>
          <w:numId w:val="1179"/>
        </w:numPr>
        <w:spacing w:before="120" w:after="0" w:line="240"/>
        <w:ind w:right="0" w:left="720" w:hanging="72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Emisije CO</w:t>
      </w:r>
      <w:r>
        <w:rPr>
          <w:rFonts w:ascii="Calibri" w:hAnsi="Calibri" w:cs="Calibri" w:eastAsia="Calibri"/>
          <w:b/>
          <w:color w:val="auto"/>
          <w:spacing w:val="0"/>
          <w:position w:val="0"/>
          <w:sz w:val="24"/>
          <w:shd w:fill="auto" w:val="clear"/>
          <w:vertAlign w:val="subscript"/>
        </w:rPr>
        <w:t xml:space="preserve">2</w:t>
      </w:r>
      <w:r>
        <w:rPr>
          <w:rFonts w:ascii="Calibri" w:hAnsi="Calibri" w:cs="Calibri" w:eastAsia="Calibri"/>
          <w:b/>
          <w:color w:val="auto"/>
          <w:spacing w:val="0"/>
          <w:position w:val="0"/>
          <w:sz w:val="24"/>
          <w:shd w:fill="auto" w:val="clear"/>
        </w:rPr>
        <w:t xml:space="preserve"> u baznoj godini iz sektora javne rasvjete</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Mreža javne rasvjete u op</w:t>
      </w:r>
      <w:r>
        <w:rPr>
          <w:rFonts w:ascii="Calibri" w:hAnsi="Calibri" w:cs="Calibri" w:eastAsia="Calibri"/>
          <w:color w:val="auto"/>
          <w:spacing w:val="0"/>
          <w:position w:val="0"/>
          <w:sz w:val="20"/>
          <w:shd w:fill="auto" w:val="clear"/>
        </w:rPr>
        <w:t xml:space="preserve">ćini Doboj Istok se u baznoj godini napajala putem 25 priključnih tačaka na kojima se i vršilo mjerenje potrošnje energije. Ukupan broj rasvjetnih tijela je bio 740, pri čemu su bili zastupljeni isključivo izvori svjetla na izboj (100%). Ukupna instalirana snaga na nivou mreže za baznu godinu iznosila je 0,14 MW, a prosječno dnevno vrijeme rada rasvjete tokom godine je iznosilo 10,5 h/dan. </w:t>
      </w:r>
    </w:p>
    <w:p>
      <w:pPr>
        <w:spacing w:before="60" w:after="120" w:line="240"/>
        <w:ind w:right="0" w:left="0" w:firstLine="0"/>
        <w:jc w:val="both"/>
        <w:rPr>
          <w:rFonts w:ascii="Calibri" w:hAnsi="Calibri" w:cs="Calibri" w:eastAsia="Calibri"/>
          <w:b/>
          <w:color w:val="auto"/>
          <w:spacing w:val="0"/>
          <w:position w:val="0"/>
          <w:sz w:val="18"/>
          <w:shd w:fill="auto" w:val="clear"/>
        </w:rPr>
      </w:pPr>
      <w:r>
        <w:rPr>
          <w:rFonts w:ascii="Calibri" w:hAnsi="Calibri" w:cs="Calibri" w:eastAsia="Calibri"/>
          <w:color w:val="auto"/>
          <w:spacing w:val="0"/>
          <w:position w:val="0"/>
          <w:sz w:val="20"/>
          <w:shd w:fill="auto" w:val="clear"/>
        </w:rPr>
        <w:t xml:space="preserve">Prora</w:t>
      </w:r>
      <w:r>
        <w:rPr>
          <w:rFonts w:ascii="Calibri" w:hAnsi="Calibri" w:cs="Calibri" w:eastAsia="Calibri"/>
          <w:color w:val="auto"/>
          <w:spacing w:val="0"/>
          <w:position w:val="0"/>
          <w:sz w:val="20"/>
          <w:shd w:fill="auto" w:val="clear"/>
        </w:rPr>
        <w:t xml:space="preserve">čunom baznog inventara emisija CO</w:t>
      </w:r>
      <w:r>
        <w:rPr>
          <w:rFonts w:ascii="Calibri" w:hAnsi="Calibri" w:cs="Calibri" w:eastAsia="Calibri"/>
          <w:color w:val="auto"/>
          <w:spacing w:val="0"/>
          <w:position w:val="0"/>
          <w:sz w:val="20"/>
          <w:shd w:fill="auto" w:val="clear"/>
          <w:vertAlign w:val="subscript"/>
        </w:rPr>
        <w:t xml:space="preserve">2 </w:t>
      </w:r>
      <w:r>
        <w:rPr>
          <w:rFonts w:ascii="Calibri" w:hAnsi="Calibri" w:cs="Calibri" w:eastAsia="Calibri"/>
          <w:color w:val="auto"/>
          <w:spacing w:val="0"/>
          <w:position w:val="0"/>
          <w:sz w:val="20"/>
          <w:shd w:fill="auto" w:val="clear"/>
        </w:rPr>
        <w:t xml:space="preserve">obuhvaćena su sva rasvjetna tijela u okviru sistema javne rasvjete u 2010. godini. Prikazane ukupne godišnje emisije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iz sektora javne rasvjete odnose se na indirektne emisije nastale zbog potrošnje električne energije, dok direktne emisije nastale izgaranjem goriva (plin, ostalo) ne postoje. Pregled ukupne količine električne energije utrošene u baznoj godini u ovom sektoru, te pripadajućih emisija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dat je u narednoj tabeli. </w:t>
      </w:r>
    </w:p>
    <w:tbl>
      <w:tblPr/>
      <w:tblGrid>
        <w:gridCol w:w="2406"/>
        <w:gridCol w:w="2404"/>
        <w:gridCol w:w="2405"/>
      </w:tblGrid>
      <w:tr>
        <w:trPr>
          <w:trHeight w:val="284" w:hRule="auto"/>
          <w:jc w:val="center"/>
        </w:trPr>
        <w:tc>
          <w:tcPr>
            <w:tcW w:w="2406" w:type="dxa"/>
            <w:tcBorders>
              <w:top w:val="single" w:color="000000" w:sz="4"/>
              <w:left w:val="single" w:color="000000" w:sz="4"/>
              <w:bottom w:val="single" w:color="000000" w:sz="4"/>
              <w:right w:val="single" w:color="000000" w:sz="4"/>
            </w:tcBorders>
            <w:shd w:color="auto" w:fill="bdd6ee"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VRSTA ENERGENTA</w:t>
            </w:r>
          </w:p>
        </w:tc>
        <w:tc>
          <w:tcPr>
            <w:tcW w:w="2404" w:type="dxa"/>
            <w:tcBorders>
              <w:top w:val="single" w:color="000000" w:sz="4"/>
              <w:left w:val="single" w:color="000000" w:sz="4"/>
              <w:bottom w:val="single" w:color="000000" w:sz="4"/>
              <w:right w:val="single" w:color="000000" w:sz="4"/>
            </w:tcBorders>
            <w:shd w:color="auto" w:fill="bdd6ee"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FINALNA ENERGIJA [MWh]</w:t>
            </w:r>
          </w:p>
        </w:tc>
        <w:tc>
          <w:tcPr>
            <w:tcW w:w="2405" w:type="dxa"/>
            <w:tcBorders>
              <w:top w:val="single" w:color="000000" w:sz="4"/>
              <w:left w:val="single" w:color="000000" w:sz="4"/>
              <w:bottom w:val="single" w:color="000000" w:sz="4"/>
              <w:right w:val="single" w:color="000000" w:sz="4"/>
            </w:tcBorders>
            <w:shd w:color="auto" w:fill="bdd6ee"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EMISIJE [tCO</w:t>
            </w:r>
            <w:r>
              <w:rPr>
                <w:rFonts w:ascii="Calibri" w:hAnsi="Calibri" w:cs="Calibri" w:eastAsia="Calibri"/>
                <w:color w:val="auto"/>
                <w:spacing w:val="0"/>
                <w:position w:val="0"/>
                <w:sz w:val="18"/>
                <w:shd w:fill="auto" w:val="clear"/>
                <w:vertAlign w:val="subscript"/>
              </w:rPr>
              <w:t xml:space="preserve">2</w:t>
            </w:r>
            <w:r>
              <w:rPr>
                <w:rFonts w:ascii="Calibri" w:hAnsi="Calibri" w:cs="Calibri" w:eastAsia="Calibri"/>
                <w:color w:val="auto"/>
                <w:spacing w:val="0"/>
                <w:position w:val="0"/>
                <w:sz w:val="18"/>
                <w:shd w:fill="auto" w:val="clear"/>
              </w:rPr>
              <w:t xml:space="preserve">]</w:t>
            </w:r>
            <w:r>
              <w:rPr>
                <w:rFonts w:ascii="Calibri" w:hAnsi="Calibri" w:cs="Calibri" w:eastAsia="Calibri"/>
                <w:color w:val="auto"/>
                <w:spacing w:val="0"/>
                <w:position w:val="0"/>
                <w:sz w:val="18"/>
                <w:shd w:fill="auto" w:val="clear"/>
                <w:vertAlign w:val="subscript"/>
              </w:rPr>
              <w:t xml:space="preserve"> </w:t>
            </w:r>
          </w:p>
        </w:tc>
      </w:tr>
      <w:tr>
        <w:trPr>
          <w:trHeight w:val="284" w:hRule="auto"/>
          <w:jc w:val="center"/>
        </w:trPr>
        <w:tc>
          <w:tcPr>
            <w:tcW w:w="2406" w:type="dxa"/>
            <w:tcBorders>
              <w:top w:val="single" w:color="000000" w:sz="4"/>
              <w:left w:val="single" w:color="000000" w:sz="4"/>
              <w:bottom w:val="single" w:color="000000" w:sz="4"/>
              <w:right w:val="single" w:color="000000" w:sz="4"/>
            </w:tcBorders>
            <w:shd w:color="auto" w:fill="bdd6ee"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ELEKTRI</w:t>
            </w:r>
            <w:r>
              <w:rPr>
                <w:rFonts w:ascii="Calibri" w:hAnsi="Calibri" w:cs="Calibri" w:eastAsia="Calibri"/>
                <w:color w:val="auto"/>
                <w:spacing w:val="0"/>
                <w:position w:val="0"/>
                <w:sz w:val="18"/>
                <w:shd w:fill="auto" w:val="clear"/>
              </w:rPr>
              <w:t xml:space="preserve">ČNA ENERGIJA</w:t>
            </w:r>
          </w:p>
        </w:tc>
        <w:tc>
          <w:tcPr>
            <w:tcW w:w="24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549,70</w:t>
            </w:r>
          </w:p>
        </w:tc>
        <w:tc>
          <w:tcPr>
            <w:tcW w:w="24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417,77</w:t>
            </w:r>
          </w:p>
        </w:tc>
      </w:tr>
      <w:tr>
        <w:trPr>
          <w:trHeight w:val="284" w:hRule="auto"/>
          <w:jc w:val="center"/>
        </w:trPr>
        <w:tc>
          <w:tcPr>
            <w:tcW w:w="2406" w:type="dxa"/>
            <w:tcBorders>
              <w:top w:val="single" w:color="000000" w:sz="4"/>
              <w:left w:val="single" w:color="000000" w:sz="4"/>
              <w:bottom w:val="single" w:color="000000" w:sz="4"/>
              <w:right w:val="single" w:color="000000" w:sz="4"/>
            </w:tcBorders>
            <w:shd w:color="auto" w:fill="bdd6ee"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UKUPNO</w:t>
            </w:r>
          </w:p>
        </w:tc>
        <w:tc>
          <w:tcPr>
            <w:tcW w:w="2404" w:type="dxa"/>
            <w:tcBorders>
              <w:top w:val="single" w:color="000000" w:sz="4"/>
              <w:left w:val="single" w:color="000000" w:sz="4"/>
              <w:bottom w:val="single" w:color="000000" w:sz="4"/>
              <w:right w:val="single" w:color="000000" w:sz="4"/>
            </w:tcBorders>
            <w:shd w:color="auto" w:fill="deeaf6"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549,70</w:t>
            </w:r>
          </w:p>
        </w:tc>
        <w:tc>
          <w:tcPr>
            <w:tcW w:w="2405" w:type="dxa"/>
            <w:tcBorders>
              <w:top w:val="single" w:color="000000" w:sz="4"/>
              <w:left w:val="single" w:color="000000" w:sz="4"/>
              <w:bottom w:val="single" w:color="000000" w:sz="4"/>
              <w:right w:val="single" w:color="000000" w:sz="4"/>
            </w:tcBorders>
            <w:shd w:color="auto" w:fill="deeaf6"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417,77</w:t>
            </w:r>
          </w:p>
        </w:tc>
      </w:tr>
    </w:tbl>
    <w:p>
      <w:pPr>
        <w:spacing w:before="60" w:after="160" w:line="240"/>
        <w:ind w:right="0" w:left="0" w:firstLine="0"/>
        <w:jc w:val="center"/>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Tabela 518: Godišnja potrošnja energije i emisije CO</w:t>
      </w:r>
      <w:r>
        <w:rPr>
          <w:rFonts w:ascii="Calibri" w:hAnsi="Calibri" w:cs="Calibri" w:eastAsia="Calibri"/>
          <w:color w:val="auto"/>
          <w:spacing w:val="0"/>
          <w:position w:val="0"/>
          <w:sz w:val="18"/>
          <w:shd w:fill="auto" w:val="clear"/>
          <w:vertAlign w:val="subscript"/>
        </w:rPr>
        <w:t xml:space="preserve">2</w:t>
      </w:r>
      <w:r>
        <w:rPr>
          <w:rFonts w:ascii="Calibri" w:hAnsi="Calibri" w:cs="Calibri" w:eastAsia="Calibri"/>
          <w:color w:val="auto"/>
          <w:spacing w:val="0"/>
          <w:position w:val="0"/>
          <w:sz w:val="18"/>
          <w:shd w:fill="auto" w:val="clear"/>
        </w:rPr>
        <w:t xml:space="preserve">  za sektor javne rasvjete u baznoj godini</w:t>
      </w:r>
    </w:p>
    <w:p>
      <w:pPr>
        <w:spacing w:before="12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Ukupna izmjerena godišnja potrošnja elektri</w:t>
      </w:r>
      <w:r>
        <w:rPr>
          <w:rFonts w:ascii="Calibri" w:hAnsi="Calibri" w:cs="Calibri" w:eastAsia="Calibri"/>
          <w:color w:val="auto"/>
          <w:spacing w:val="0"/>
          <w:position w:val="0"/>
          <w:sz w:val="20"/>
          <w:shd w:fill="auto" w:val="clear"/>
        </w:rPr>
        <w:t xml:space="preserve">čne energije na nivou sistema iznosila je 549,70 MWh, a ukupne godišnje indirektne emisije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nastale zbog potrošnje električne energije iznosile su 417,77 tCO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Specifična godišnja potrošnja električne energije po jednoj svjetiljci iznosi 742,8 kWh/god., a specifične godišnje emisije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iznose 0,56 tCO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/god. </w:t>
      </w:r>
    </w:p>
    <w:p>
      <w:pPr>
        <w:keepNext w:val="true"/>
        <w:keepLines w:val="true"/>
        <w:numPr>
          <w:ilvl w:val="0"/>
          <w:numId w:val="1196"/>
        </w:numPr>
        <w:spacing w:before="120" w:after="0" w:line="240"/>
        <w:ind w:right="0" w:left="720" w:hanging="72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Emisije CO</w:t>
      </w:r>
      <w:r>
        <w:rPr>
          <w:rFonts w:ascii="Calibri" w:hAnsi="Calibri" w:cs="Calibri" w:eastAsia="Calibri"/>
          <w:b/>
          <w:color w:val="auto"/>
          <w:spacing w:val="0"/>
          <w:position w:val="0"/>
          <w:sz w:val="24"/>
          <w:shd w:fill="auto" w:val="clear"/>
          <w:vertAlign w:val="subscript"/>
        </w:rPr>
        <w:t xml:space="preserve">2</w:t>
      </w:r>
      <w:r>
        <w:rPr>
          <w:rFonts w:ascii="Calibri" w:hAnsi="Calibri" w:cs="Calibri" w:eastAsia="Calibri"/>
          <w:b/>
          <w:color w:val="auto"/>
          <w:spacing w:val="0"/>
          <w:position w:val="0"/>
          <w:sz w:val="24"/>
          <w:shd w:fill="auto" w:val="clear"/>
        </w:rPr>
        <w:t xml:space="preserve"> u baznoj godini iz sektora vodosnabdijevanja</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U baznoj 2010. godini se 2.347 doma</w:t>
      </w:r>
      <w:r>
        <w:rPr>
          <w:rFonts w:ascii="Calibri" w:hAnsi="Calibri" w:cs="Calibri" w:eastAsia="Calibri"/>
          <w:color w:val="auto"/>
          <w:spacing w:val="0"/>
          <w:position w:val="0"/>
          <w:sz w:val="20"/>
          <w:shd w:fill="auto" w:val="clear"/>
        </w:rPr>
        <w:t xml:space="preserve">ćinstava i 106 privrednih subjekata pitkom vodom snabdijevalo putem 3 zasebno odvojena dijela sistema vodosnabdijevanja, ukupne dužine primarne mreže 13,29 km i sekundarne mreže 53,35 km. Ukupna električna snaga pumpi u funkciji u cjelokupnom sistemu iznosila je 74,5 kW, a ukupna količina izmjerene i obračunate električne energije utrošene za pogon tih pumpi iznosila je 305,57 MWh. Ukupna količina zahvaćene vode iznosila je 304.000 m</w:t>
      </w:r>
      <w:r>
        <w:rPr>
          <w:rFonts w:ascii="Calibri" w:hAnsi="Calibri" w:cs="Calibri" w:eastAsia="Calibri"/>
          <w:color w:val="auto"/>
          <w:spacing w:val="0"/>
          <w:position w:val="0"/>
          <w:sz w:val="20"/>
          <w:shd w:fill="auto" w:val="clear"/>
          <w:vertAlign w:val="superscript"/>
        </w:rPr>
        <w:t xml:space="preserve">3</w:t>
      </w:r>
      <w:r>
        <w:rPr>
          <w:rFonts w:ascii="Calibri" w:hAnsi="Calibri" w:cs="Calibri" w:eastAsia="Calibri"/>
          <w:color w:val="auto"/>
          <w:spacing w:val="0"/>
          <w:position w:val="0"/>
          <w:sz w:val="20"/>
          <w:shd w:fill="auto" w:val="clear"/>
        </w:rPr>
        <w:t xml:space="preserve">, dok je u istoj godini količina isporučene vode iznosila 260.000 m</w:t>
      </w:r>
      <w:r>
        <w:rPr>
          <w:rFonts w:ascii="Calibri" w:hAnsi="Calibri" w:cs="Calibri" w:eastAsia="Calibri"/>
          <w:color w:val="auto"/>
          <w:spacing w:val="0"/>
          <w:position w:val="0"/>
          <w:sz w:val="20"/>
          <w:shd w:fill="auto" w:val="clear"/>
          <w:vertAlign w:val="superscript"/>
        </w:rPr>
        <w:t xml:space="preserve">3</w:t>
      </w:r>
      <w:r>
        <w:rPr>
          <w:rFonts w:ascii="Calibri" w:hAnsi="Calibri" w:cs="Calibri" w:eastAsia="Calibri"/>
          <w:color w:val="auto"/>
          <w:spacing w:val="0"/>
          <w:position w:val="0"/>
          <w:sz w:val="20"/>
          <w:shd w:fill="auto" w:val="clear"/>
        </w:rPr>
        <w:t xml:space="preserve">.  Procijenjeni gubici u mreži iznosili su  14,50 %.</w:t>
      </w:r>
    </w:p>
    <w:p>
      <w:pPr>
        <w:spacing w:before="60" w:after="12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Prora</w:t>
      </w:r>
      <w:r>
        <w:rPr>
          <w:rFonts w:ascii="Calibri" w:hAnsi="Calibri" w:cs="Calibri" w:eastAsia="Calibri"/>
          <w:color w:val="auto"/>
          <w:spacing w:val="0"/>
          <w:position w:val="0"/>
          <w:sz w:val="20"/>
          <w:shd w:fill="auto" w:val="clear"/>
        </w:rPr>
        <w:t xml:space="preserve">čunom baznog inventara emisija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obuhvaćene su emisije nastale korištenjem električne energije za rad pumpi u sistemu vodosnabdijevanja koje su bile u funkciji u baznoj godini, dok pumpe i ostali  elektropotrošači u sistemima odvodnje i tretmana otpadnih voda nisu uzeti u obzir zbog toga što uređeni sistemi odvodnje  i tretmana oborinskih i otpadnih voda u baznoj godini ne postoje. Pregled ukupne količine električne energije utrošene u baznoj godini u ovom sektoru, te pripadajućih emisija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dat je u narednoj tabeli. Prikazane ukupne godišnje emisije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na nivou cijelog sistema odnose se na indirektne emisije nastale zbog potrošnje električne energije, dok direktne emisije nastale izgaranjem goriva (plin, ostalo) ne postoje.</w:t>
      </w:r>
    </w:p>
    <w:tbl>
      <w:tblPr/>
      <w:tblGrid>
        <w:gridCol w:w="2406"/>
        <w:gridCol w:w="2404"/>
        <w:gridCol w:w="2405"/>
      </w:tblGrid>
      <w:tr>
        <w:trPr>
          <w:trHeight w:val="227" w:hRule="auto"/>
          <w:jc w:val="center"/>
        </w:trPr>
        <w:tc>
          <w:tcPr>
            <w:tcW w:w="2406" w:type="dxa"/>
            <w:tcBorders>
              <w:top w:val="single" w:color="000000" w:sz="4"/>
              <w:left w:val="single" w:color="000000" w:sz="4"/>
              <w:bottom w:val="single" w:color="000000" w:sz="4"/>
              <w:right w:val="single" w:color="000000" w:sz="4"/>
            </w:tcBorders>
            <w:shd w:color="auto" w:fill="bdd6ee" w:val="clear"/>
            <w:tcMar>
              <w:left w:w="108" w:type="dxa"/>
              <w:right w:w="108" w:type="dxa"/>
            </w:tcMar>
            <w:vAlign w:val="center"/>
          </w:tcPr>
          <w:p>
            <w:pPr>
              <w:spacing w:before="0" w:after="0" w:line="276"/>
              <w:ind w:right="0" w:left="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VRSTA ENERGENTA</w:t>
            </w:r>
          </w:p>
        </w:tc>
        <w:tc>
          <w:tcPr>
            <w:tcW w:w="2404" w:type="dxa"/>
            <w:tcBorders>
              <w:top w:val="single" w:color="000000" w:sz="4"/>
              <w:left w:val="single" w:color="000000" w:sz="4"/>
              <w:bottom w:val="single" w:color="000000" w:sz="4"/>
              <w:right w:val="single" w:color="000000" w:sz="4"/>
            </w:tcBorders>
            <w:shd w:color="auto" w:fill="bdd6ee" w:val="clear"/>
            <w:tcMar>
              <w:left w:w="108" w:type="dxa"/>
              <w:right w:w="108" w:type="dxa"/>
            </w:tcMar>
            <w:vAlign w:val="center"/>
          </w:tcPr>
          <w:p>
            <w:pPr>
              <w:spacing w:before="0" w:after="0" w:line="276"/>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FINALNA ENERGIJA [MWh]</w:t>
            </w:r>
          </w:p>
        </w:tc>
        <w:tc>
          <w:tcPr>
            <w:tcW w:w="2405" w:type="dxa"/>
            <w:tcBorders>
              <w:top w:val="single" w:color="000000" w:sz="4"/>
              <w:left w:val="single" w:color="000000" w:sz="4"/>
              <w:bottom w:val="single" w:color="000000" w:sz="4"/>
              <w:right w:val="single" w:color="000000" w:sz="4"/>
            </w:tcBorders>
            <w:shd w:color="auto" w:fill="bdd6ee" w:val="clear"/>
            <w:tcMar>
              <w:left w:w="108" w:type="dxa"/>
              <w:right w:w="108" w:type="dxa"/>
            </w:tcMar>
            <w:vAlign w:val="center"/>
          </w:tcPr>
          <w:p>
            <w:pPr>
              <w:spacing w:before="0" w:after="0" w:line="276"/>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EMISIJE [tCO</w:t>
            </w:r>
            <w:r>
              <w:rPr>
                <w:rFonts w:ascii="Calibri" w:hAnsi="Calibri" w:cs="Calibri" w:eastAsia="Calibri"/>
                <w:color w:val="auto"/>
                <w:spacing w:val="0"/>
                <w:position w:val="0"/>
                <w:sz w:val="18"/>
                <w:shd w:fill="auto" w:val="clear"/>
                <w:vertAlign w:val="subscript"/>
              </w:rPr>
              <w:t xml:space="preserve">2</w:t>
            </w:r>
            <w:r>
              <w:rPr>
                <w:rFonts w:ascii="Calibri" w:hAnsi="Calibri" w:cs="Calibri" w:eastAsia="Calibri"/>
                <w:color w:val="auto"/>
                <w:spacing w:val="0"/>
                <w:position w:val="0"/>
                <w:sz w:val="18"/>
                <w:shd w:fill="auto" w:val="clear"/>
              </w:rPr>
              <w:t xml:space="preserve">]</w:t>
            </w:r>
          </w:p>
        </w:tc>
      </w:tr>
      <w:tr>
        <w:trPr>
          <w:trHeight w:val="227" w:hRule="auto"/>
          <w:jc w:val="center"/>
        </w:trPr>
        <w:tc>
          <w:tcPr>
            <w:tcW w:w="2406" w:type="dxa"/>
            <w:tcBorders>
              <w:top w:val="single" w:color="000000" w:sz="4"/>
              <w:left w:val="single" w:color="000000" w:sz="4"/>
              <w:bottom w:val="single" w:color="000000" w:sz="4"/>
              <w:right w:val="single" w:color="000000" w:sz="4"/>
            </w:tcBorders>
            <w:shd w:color="auto" w:fill="bdd6ee" w:val="clear"/>
            <w:tcMar>
              <w:left w:w="108" w:type="dxa"/>
              <w:right w:w="108" w:type="dxa"/>
            </w:tcMar>
            <w:vAlign w:val="center"/>
          </w:tcPr>
          <w:p>
            <w:pPr>
              <w:spacing w:before="0" w:after="0" w:line="276"/>
              <w:ind w:right="0" w:left="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ELEKTRI</w:t>
            </w:r>
            <w:r>
              <w:rPr>
                <w:rFonts w:ascii="Calibri" w:hAnsi="Calibri" w:cs="Calibri" w:eastAsia="Calibri"/>
                <w:color w:val="auto"/>
                <w:spacing w:val="0"/>
                <w:position w:val="0"/>
                <w:sz w:val="18"/>
                <w:shd w:fill="auto" w:val="clear"/>
              </w:rPr>
              <w:t xml:space="preserve">ČNA ENERGIJA</w:t>
            </w:r>
          </w:p>
        </w:tc>
        <w:tc>
          <w:tcPr>
            <w:tcW w:w="24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76"/>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305,57</w:t>
            </w:r>
          </w:p>
        </w:tc>
        <w:tc>
          <w:tcPr>
            <w:tcW w:w="24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76"/>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232,20</w:t>
            </w:r>
          </w:p>
        </w:tc>
      </w:tr>
      <w:tr>
        <w:trPr>
          <w:trHeight w:val="227" w:hRule="auto"/>
          <w:jc w:val="center"/>
        </w:trPr>
        <w:tc>
          <w:tcPr>
            <w:tcW w:w="2406" w:type="dxa"/>
            <w:tcBorders>
              <w:top w:val="single" w:color="000000" w:sz="4"/>
              <w:left w:val="single" w:color="000000" w:sz="4"/>
              <w:bottom w:val="single" w:color="000000" w:sz="4"/>
              <w:right w:val="single" w:color="000000" w:sz="4"/>
            </w:tcBorders>
            <w:shd w:color="auto" w:fill="bdd6ee" w:val="clear"/>
            <w:tcMar>
              <w:left w:w="108" w:type="dxa"/>
              <w:right w:w="108" w:type="dxa"/>
            </w:tcMar>
            <w:vAlign w:val="center"/>
          </w:tcPr>
          <w:p>
            <w:pPr>
              <w:spacing w:before="0" w:after="0" w:line="276"/>
              <w:ind w:right="0" w:left="0" w:firstLine="0"/>
              <w:jc w:val="righ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UKUPNO</w:t>
            </w:r>
          </w:p>
        </w:tc>
        <w:tc>
          <w:tcPr>
            <w:tcW w:w="2404" w:type="dxa"/>
            <w:tcBorders>
              <w:top w:val="single" w:color="000000" w:sz="4"/>
              <w:left w:val="single" w:color="000000" w:sz="4"/>
              <w:bottom w:val="single" w:color="000000" w:sz="4"/>
              <w:right w:val="single" w:color="000000" w:sz="4"/>
            </w:tcBorders>
            <w:shd w:color="auto" w:fill="deeaf6" w:val="clear"/>
            <w:tcMar>
              <w:left w:w="108" w:type="dxa"/>
              <w:right w:w="108" w:type="dxa"/>
            </w:tcMar>
            <w:vAlign w:val="center"/>
          </w:tcPr>
          <w:p>
            <w:pPr>
              <w:spacing w:before="0" w:after="0" w:line="276"/>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305,57</w:t>
            </w:r>
          </w:p>
        </w:tc>
        <w:tc>
          <w:tcPr>
            <w:tcW w:w="2405" w:type="dxa"/>
            <w:tcBorders>
              <w:top w:val="single" w:color="000000" w:sz="4"/>
              <w:left w:val="single" w:color="000000" w:sz="4"/>
              <w:bottom w:val="single" w:color="000000" w:sz="4"/>
              <w:right w:val="single" w:color="000000" w:sz="4"/>
            </w:tcBorders>
            <w:shd w:color="auto" w:fill="deeaf6" w:val="clear"/>
            <w:tcMar>
              <w:left w:w="108" w:type="dxa"/>
              <w:right w:w="108" w:type="dxa"/>
            </w:tcMar>
            <w:vAlign w:val="center"/>
          </w:tcPr>
          <w:p>
            <w:pPr>
              <w:spacing w:before="0" w:after="0" w:line="276"/>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232,20</w:t>
            </w:r>
          </w:p>
        </w:tc>
      </w:tr>
    </w:tbl>
    <w:p>
      <w:pPr>
        <w:spacing w:before="60" w:after="160" w:line="240"/>
        <w:ind w:right="0" w:left="0" w:firstLine="0"/>
        <w:jc w:val="center"/>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Tabela 519: Godišnja potrošnja energije i emisije CO</w:t>
      </w:r>
      <w:r>
        <w:rPr>
          <w:rFonts w:ascii="Calibri" w:hAnsi="Calibri" w:cs="Calibri" w:eastAsia="Calibri"/>
          <w:color w:val="auto"/>
          <w:spacing w:val="0"/>
          <w:position w:val="0"/>
          <w:sz w:val="18"/>
          <w:shd w:fill="auto" w:val="clear"/>
          <w:vertAlign w:val="subscript"/>
        </w:rPr>
        <w:t xml:space="preserve">2</w:t>
      </w:r>
      <w:r>
        <w:rPr>
          <w:rFonts w:ascii="Calibri" w:hAnsi="Calibri" w:cs="Calibri" w:eastAsia="Calibri"/>
          <w:color w:val="auto"/>
          <w:spacing w:val="0"/>
          <w:position w:val="0"/>
          <w:sz w:val="18"/>
          <w:shd w:fill="auto" w:val="clear"/>
        </w:rPr>
        <w:t xml:space="preserve"> za sektor vodosnabdijevanja u baznoj godini</w:t>
      </w:r>
    </w:p>
    <w:p>
      <w:pPr>
        <w:spacing w:before="0" w:after="0" w:line="240"/>
        <w:ind w:right="0" w:left="0" w:firstLine="0"/>
        <w:jc w:val="both"/>
        <w:rPr>
          <w:rFonts w:ascii="Calibri" w:hAnsi="Calibri" w:cs="Calibri" w:eastAsia="Calibri"/>
          <w:color w:val="auto"/>
          <w:spacing w:val="0"/>
          <w:position w:val="0"/>
          <w:sz w:val="20"/>
          <w:shd w:fill="00FFFF" w:val="clear"/>
        </w:rPr>
      </w:pPr>
      <w:r>
        <w:rPr>
          <w:rFonts w:ascii="Calibri" w:hAnsi="Calibri" w:cs="Calibri" w:eastAsia="Calibri"/>
          <w:color w:val="auto"/>
          <w:spacing w:val="0"/>
          <w:position w:val="0"/>
          <w:sz w:val="20"/>
          <w:shd w:fill="auto" w:val="clear"/>
        </w:rPr>
        <w:t xml:space="preserve">Ukupna godišnja koli</w:t>
      </w:r>
      <w:r>
        <w:rPr>
          <w:rFonts w:ascii="Calibri" w:hAnsi="Calibri" w:cs="Calibri" w:eastAsia="Calibri"/>
          <w:color w:val="auto"/>
          <w:spacing w:val="0"/>
          <w:position w:val="0"/>
          <w:sz w:val="20"/>
          <w:shd w:fill="auto" w:val="clear"/>
        </w:rPr>
        <w:t xml:space="preserve">čina izmjerene i obračunate električne energije utrošene za pogon pumpi iznosila je 305,57 MWh, a ukupne godišnje indirektne emisije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nastale zbog potrošnje električne energije iznosile su 232,20 tCO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Uzimajući u obzir broj, snagu, vrijeme rada i način upravljanja radom pumpi u baznoj godini, specifične godišnje emisije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za sektor vodosnabdijevanja iznose 8,93x10</w:t>
      </w:r>
      <w:r>
        <w:rPr>
          <w:rFonts w:ascii="Calibri" w:hAnsi="Calibri" w:cs="Calibri" w:eastAsia="Calibri"/>
          <w:color w:val="auto"/>
          <w:spacing w:val="0"/>
          <w:position w:val="0"/>
          <w:sz w:val="20"/>
          <w:shd w:fill="auto" w:val="clear"/>
          <w:vertAlign w:val="superscript"/>
        </w:rPr>
        <w:t xml:space="preserve">-4</w:t>
      </w:r>
      <w:r>
        <w:rPr>
          <w:rFonts w:ascii="Calibri" w:hAnsi="Calibri" w:cs="Calibri" w:eastAsia="Calibri"/>
          <w:color w:val="auto"/>
          <w:spacing w:val="0"/>
          <w:position w:val="0"/>
          <w:sz w:val="20"/>
          <w:shd w:fill="auto" w:val="clear"/>
        </w:rPr>
        <w:t xml:space="preserve"> tCO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/m</w:t>
      </w:r>
      <w:r>
        <w:rPr>
          <w:rFonts w:ascii="Calibri" w:hAnsi="Calibri" w:cs="Calibri" w:eastAsia="Calibri"/>
          <w:color w:val="auto"/>
          <w:spacing w:val="0"/>
          <w:position w:val="0"/>
          <w:sz w:val="20"/>
          <w:shd w:fill="auto" w:val="clear"/>
          <w:vertAlign w:val="superscript"/>
        </w:rPr>
        <w:t xml:space="preserve">3</w:t>
      </w:r>
      <w:r>
        <w:rPr>
          <w:rFonts w:ascii="Calibri" w:hAnsi="Calibri" w:cs="Calibri" w:eastAsia="Calibri"/>
          <w:color w:val="auto"/>
          <w:spacing w:val="0"/>
          <w:position w:val="0"/>
          <w:sz w:val="20"/>
          <w:shd w:fill="auto" w:val="clear"/>
        </w:rPr>
        <w:t xml:space="preserve"> isporučene vode. </w:t>
      </w:r>
    </w:p>
    <w:p>
      <w:pPr>
        <w:keepNext w:val="true"/>
        <w:keepLines w:val="true"/>
        <w:numPr>
          <w:ilvl w:val="0"/>
          <w:numId w:val="1213"/>
        </w:numPr>
        <w:spacing w:before="240" w:after="0" w:line="240"/>
        <w:ind w:right="0" w:left="720" w:hanging="72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Ukupni bazni inventar emisija CO</w:t>
      </w:r>
      <w:r>
        <w:rPr>
          <w:rFonts w:ascii="Calibri" w:hAnsi="Calibri" w:cs="Calibri" w:eastAsia="Calibri"/>
          <w:b/>
          <w:color w:val="auto"/>
          <w:spacing w:val="0"/>
          <w:position w:val="0"/>
          <w:sz w:val="24"/>
          <w:shd w:fill="auto" w:val="clear"/>
          <w:vertAlign w:val="subscript"/>
        </w:rPr>
        <w:t xml:space="preserve">2</w:t>
      </w:r>
    </w:p>
    <w:p>
      <w:pPr>
        <w:keepNext w:val="true"/>
        <w:keepLines w:val="true"/>
        <w:numPr>
          <w:ilvl w:val="0"/>
          <w:numId w:val="1213"/>
        </w:numPr>
        <w:spacing w:before="120" w:after="0" w:line="240"/>
        <w:ind w:right="0" w:left="862" w:hanging="862"/>
        <w:jc w:val="both"/>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Ukupna finalna energije u baznoj godini u svim razmatranim sektorima</w:t>
      </w:r>
    </w:p>
    <w:p>
      <w:pPr>
        <w:spacing w:before="60" w:after="12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U narednoj tabeli prikazana je ukupna finalna energija u baznoj godini u svim razmatranim sektorima energetske potrošnje u op</w:t>
      </w:r>
      <w:r>
        <w:rPr>
          <w:rFonts w:ascii="Calibri" w:hAnsi="Calibri" w:cs="Calibri" w:eastAsia="Calibri"/>
          <w:color w:val="auto"/>
          <w:spacing w:val="0"/>
          <w:position w:val="0"/>
          <w:sz w:val="20"/>
          <w:shd w:fill="auto" w:val="clear"/>
        </w:rPr>
        <w:t xml:space="preserve">ćini Doboj Istok (sektor zgradarstva - javne zgrade u vlasništvu Općine, javne zgrade koje nisu vlasništvu Općine, te stambene zgrade; sektor saobraćaja - vozila u vlasništvu Općine, javni gradski prijevoz, osobna i komercijalna vozila; sektor javne rasvjete i sektor vodosnabdijevanja) i za sve razmatrane energente.  </w:t>
      </w:r>
    </w:p>
    <w:tbl>
      <w:tblPr/>
      <w:tblGrid>
        <w:gridCol w:w="988"/>
        <w:gridCol w:w="1068"/>
        <w:gridCol w:w="961"/>
        <w:gridCol w:w="960"/>
        <w:gridCol w:w="826"/>
        <w:gridCol w:w="960"/>
        <w:gridCol w:w="835"/>
        <w:gridCol w:w="1059"/>
        <w:gridCol w:w="1189"/>
        <w:gridCol w:w="1174"/>
      </w:tblGrid>
      <w:tr>
        <w:trPr>
          <w:trHeight w:val="227" w:hRule="auto"/>
          <w:jc w:val="left"/>
        </w:trPr>
        <w:tc>
          <w:tcPr>
            <w:tcW w:w="988" w:type="dxa"/>
            <w:vMerge w:val="restart"/>
            <w:tcBorders>
              <w:top w:val="single" w:color="000000" w:sz="4"/>
              <w:left w:val="single" w:color="000000" w:sz="4"/>
              <w:bottom w:val="single" w:color="000000" w:sz="4"/>
              <w:right w:val="single" w:color="000000" w:sz="4"/>
            </w:tcBorders>
            <w:shd w:color="auto" w:fill="b4c6e7"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ENERGENT</w:t>
            </w:r>
          </w:p>
        </w:tc>
        <w:tc>
          <w:tcPr>
            <w:tcW w:w="9032" w:type="dxa"/>
            <w:gridSpan w:val="9"/>
            <w:tcBorders>
              <w:top w:val="single" w:color="000000" w:sz="4"/>
              <w:left w:val="single" w:color="000000" w:sz="0"/>
              <w:bottom w:val="single" w:color="000000" w:sz="4"/>
              <w:right w:val="single" w:color="000000" w:sz="4"/>
            </w:tcBorders>
            <w:shd w:color="auto" w:fill="b4c6e7"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BAZNI INVENTAR - FINALNA ENERGIJA [MWh]</w:t>
            </w:r>
          </w:p>
        </w:tc>
      </w:tr>
      <w:tr>
        <w:trPr>
          <w:trHeight w:val="465" w:hRule="auto"/>
          <w:jc w:val="left"/>
        </w:trPr>
        <w:tc>
          <w:tcPr>
            <w:tcW w:w="988" w:type="dxa"/>
            <w:vMerge/>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3815" w:type="dxa"/>
            <w:gridSpan w:val="4"/>
            <w:tcBorders>
              <w:top w:val="single" w:color="000000" w:sz="4"/>
              <w:left w:val="single" w:color="000000" w:sz="0"/>
              <w:bottom w:val="single" w:color="000000" w:sz="4"/>
              <w:right w:val="single" w:color="000000" w:sz="4"/>
            </w:tcBorders>
            <w:shd w:color="auto" w:fill="b4c6e7"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ZGRADARSTVO I JAVNA RASVJETA</w:t>
            </w:r>
          </w:p>
        </w:tc>
        <w:tc>
          <w:tcPr>
            <w:tcW w:w="2854" w:type="dxa"/>
            <w:gridSpan w:val="3"/>
            <w:tcBorders>
              <w:top w:val="single" w:color="000000" w:sz="4"/>
              <w:left w:val="single" w:color="000000" w:sz="0"/>
              <w:bottom w:val="single" w:color="000000" w:sz="4"/>
              <w:right w:val="single" w:color="000000" w:sz="4"/>
            </w:tcBorders>
            <w:shd w:color="auto" w:fill="b4c6e7"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SAOBRA</w:t>
            </w:r>
            <w:r>
              <w:rPr>
                <w:rFonts w:ascii="Calibri" w:hAnsi="Calibri" w:cs="Calibri" w:eastAsia="Calibri"/>
                <w:color w:val="000000"/>
                <w:spacing w:val="0"/>
                <w:position w:val="0"/>
                <w:sz w:val="18"/>
                <w:shd w:fill="auto" w:val="clear"/>
              </w:rPr>
              <w:t xml:space="preserve">ĆAJ</w:t>
            </w:r>
          </w:p>
        </w:tc>
        <w:tc>
          <w:tcPr>
            <w:tcW w:w="1189" w:type="dxa"/>
            <w:tcBorders>
              <w:top w:val="single" w:color="000000" w:sz="0"/>
              <w:left w:val="single" w:color="000000" w:sz="0"/>
              <w:bottom w:val="single" w:color="000000" w:sz="4"/>
              <w:right w:val="single" w:color="000000" w:sz="4"/>
            </w:tcBorders>
            <w:shd w:color="auto" w:fill="b4c6e7"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NEENERGETSKI SEKTOR</w:t>
            </w:r>
          </w:p>
        </w:tc>
        <w:tc>
          <w:tcPr>
            <w:tcW w:w="1174" w:type="dxa"/>
            <w:vMerge w:val="restart"/>
            <w:tcBorders>
              <w:top w:val="single" w:color="000000" w:sz="0"/>
              <w:left w:val="single" w:color="000000" w:sz="0"/>
              <w:bottom w:val="single" w:color="000000" w:sz="4"/>
              <w:right w:val="single" w:color="000000" w:sz="4"/>
            </w:tcBorders>
            <w:shd w:color="auto" w:fill="b4c6e7"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UKUPNO PO ENERGENTIMA</w:t>
            </w:r>
          </w:p>
        </w:tc>
      </w:tr>
      <w:tr>
        <w:trPr>
          <w:trHeight w:val="691" w:hRule="auto"/>
          <w:jc w:val="left"/>
        </w:trPr>
        <w:tc>
          <w:tcPr>
            <w:tcW w:w="988" w:type="dxa"/>
            <w:vMerge/>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068" w:type="dxa"/>
            <w:tcBorders>
              <w:top w:val="single" w:color="000000" w:sz="0"/>
              <w:left w:val="single" w:color="000000" w:sz="0"/>
              <w:bottom w:val="single" w:color="000000" w:sz="4"/>
              <w:right w:val="single" w:color="000000" w:sz="4"/>
            </w:tcBorders>
            <w:shd w:color="auto" w:fill="b4c6e7"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Javne zgrade u vlasništvu Op</w:t>
            </w:r>
            <w:r>
              <w:rPr>
                <w:rFonts w:ascii="Calibri" w:hAnsi="Calibri" w:cs="Calibri" w:eastAsia="Calibri"/>
                <w:color w:val="000000"/>
                <w:spacing w:val="0"/>
                <w:position w:val="0"/>
                <w:sz w:val="18"/>
                <w:shd w:fill="auto" w:val="clear"/>
              </w:rPr>
              <w:t xml:space="preserve">ćine</w:t>
            </w:r>
          </w:p>
        </w:tc>
        <w:tc>
          <w:tcPr>
            <w:tcW w:w="961" w:type="dxa"/>
            <w:tcBorders>
              <w:top w:val="single" w:color="000000" w:sz="0"/>
              <w:left w:val="single" w:color="000000" w:sz="0"/>
              <w:bottom w:val="single" w:color="000000" w:sz="4"/>
              <w:right w:val="single" w:color="000000" w:sz="4"/>
            </w:tcBorders>
            <w:shd w:color="auto" w:fill="b4c6e7"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Javne zgrade koje nisu u vlasništvu Op</w:t>
            </w:r>
            <w:r>
              <w:rPr>
                <w:rFonts w:ascii="Calibri" w:hAnsi="Calibri" w:cs="Calibri" w:eastAsia="Calibri"/>
                <w:color w:val="000000"/>
                <w:spacing w:val="0"/>
                <w:position w:val="0"/>
                <w:sz w:val="18"/>
                <w:shd w:fill="auto" w:val="clear"/>
              </w:rPr>
              <w:t xml:space="preserve">ćine</w:t>
            </w:r>
          </w:p>
        </w:tc>
        <w:tc>
          <w:tcPr>
            <w:tcW w:w="960" w:type="dxa"/>
            <w:tcBorders>
              <w:top w:val="single" w:color="000000" w:sz="0"/>
              <w:left w:val="single" w:color="000000" w:sz="0"/>
              <w:bottom w:val="single" w:color="000000" w:sz="4"/>
              <w:right w:val="single" w:color="000000" w:sz="4"/>
            </w:tcBorders>
            <w:shd w:color="auto" w:fill="b4c6e7"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Stambene zgrade</w:t>
            </w:r>
          </w:p>
        </w:tc>
        <w:tc>
          <w:tcPr>
            <w:tcW w:w="826" w:type="dxa"/>
            <w:tcBorders>
              <w:top w:val="single" w:color="000000" w:sz="0"/>
              <w:left w:val="single" w:color="000000" w:sz="0"/>
              <w:bottom w:val="single" w:color="000000" w:sz="4"/>
              <w:right w:val="single" w:color="000000" w:sz="4"/>
            </w:tcBorders>
            <w:shd w:color="auto" w:fill="b4c6e7"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Javna rasvjeta</w:t>
            </w:r>
          </w:p>
        </w:tc>
        <w:tc>
          <w:tcPr>
            <w:tcW w:w="960" w:type="dxa"/>
            <w:tcBorders>
              <w:top w:val="single" w:color="000000" w:sz="0"/>
              <w:left w:val="single" w:color="000000" w:sz="0"/>
              <w:bottom w:val="single" w:color="000000" w:sz="4"/>
              <w:right w:val="single" w:color="000000" w:sz="4"/>
            </w:tcBorders>
            <w:shd w:color="auto" w:fill="b4c6e7"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Vozila u vlasništvu  Op</w:t>
            </w:r>
            <w:r>
              <w:rPr>
                <w:rFonts w:ascii="Calibri" w:hAnsi="Calibri" w:cs="Calibri" w:eastAsia="Calibri"/>
                <w:color w:val="000000"/>
                <w:spacing w:val="0"/>
                <w:position w:val="0"/>
                <w:sz w:val="18"/>
                <w:shd w:fill="auto" w:val="clear"/>
              </w:rPr>
              <w:t xml:space="preserve">ćine</w:t>
            </w:r>
          </w:p>
        </w:tc>
        <w:tc>
          <w:tcPr>
            <w:tcW w:w="835" w:type="dxa"/>
            <w:tcBorders>
              <w:top w:val="single" w:color="000000" w:sz="0"/>
              <w:left w:val="single" w:color="000000" w:sz="0"/>
              <w:bottom w:val="single" w:color="000000" w:sz="4"/>
              <w:right w:val="single" w:color="000000" w:sz="4"/>
            </w:tcBorders>
            <w:shd w:color="auto" w:fill="b4c6e7"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Javni prijevoz</w:t>
            </w:r>
          </w:p>
        </w:tc>
        <w:tc>
          <w:tcPr>
            <w:tcW w:w="1059" w:type="dxa"/>
            <w:tcBorders>
              <w:top w:val="single" w:color="000000" w:sz="0"/>
              <w:left w:val="single" w:color="000000" w:sz="0"/>
              <w:bottom w:val="single" w:color="000000" w:sz="4"/>
              <w:right w:val="single" w:color="000000" w:sz="4"/>
            </w:tcBorders>
            <w:shd w:color="auto" w:fill="b4c6e7"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Osobna i komercijalna vozila</w:t>
            </w:r>
          </w:p>
        </w:tc>
        <w:tc>
          <w:tcPr>
            <w:tcW w:w="1189" w:type="dxa"/>
            <w:tcBorders>
              <w:top w:val="single" w:color="000000" w:sz="0"/>
              <w:left w:val="single" w:color="000000" w:sz="0"/>
              <w:bottom w:val="single" w:color="000000" w:sz="4"/>
              <w:right w:val="single" w:color="000000" w:sz="4"/>
            </w:tcBorders>
            <w:shd w:color="auto" w:fill="b4c6e7" w:val="clear"/>
            <w:tcMar>
              <w:left w:w="10" w:type="dxa"/>
              <w:right w:w="10" w:type="dxa"/>
            </w:tcMar>
            <w:vAlign w:val="center"/>
          </w:tcPr>
          <w:p>
            <w:pPr>
              <w:spacing w:before="0" w:after="0" w:line="240"/>
              <w:ind w:right="0" w:left="0" w:firstLine="0"/>
              <w:jc w:val="center"/>
              <w:rPr>
                <w:rFonts w:ascii="Calibri" w:hAnsi="Calibri" w:cs="Calibri" w:eastAsia="Calibri"/>
                <w:color w:val="000000"/>
                <w:spacing w:val="0"/>
                <w:position w:val="0"/>
                <w:sz w:val="18"/>
                <w:shd w:fill="auto" w:val="clear"/>
              </w:rPr>
            </w:pPr>
            <w:r>
              <w:rPr>
                <w:rFonts w:ascii="Calibri" w:hAnsi="Calibri" w:cs="Calibri" w:eastAsia="Calibri"/>
                <w:color w:val="000000"/>
                <w:spacing w:val="0"/>
                <w:position w:val="0"/>
                <w:sz w:val="18"/>
                <w:shd w:fill="auto" w:val="clear"/>
              </w:rPr>
              <w:t xml:space="preserve">Vodo-</w:t>
            </w:r>
          </w:p>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snadbijevanje</w:t>
            </w:r>
          </w:p>
        </w:tc>
        <w:tc>
          <w:tcPr>
            <w:tcW w:w="1174" w:type="dxa"/>
            <w:vMerge/>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r>
      <w:tr>
        <w:trPr>
          <w:trHeight w:val="454" w:hRule="auto"/>
          <w:jc w:val="left"/>
        </w:trPr>
        <w:tc>
          <w:tcPr>
            <w:tcW w:w="988" w:type="dxa"/>
            <w:tcBorders>
              <w:top w:val="single" w:color="000000" w:sz="0"/>
              <w:left w:val="single" w:color="000000" w:sz="4"/>
              <w:bottom w:val="single" w:color="000000" w:sz="4"/>
              <w:right w:val="single" w:color="000000" w:sz="4"/>
            </w:tcBorders>
            <w:shd w:color="auto" w:fill="b4c6e7"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Elektri</w:t>
            </w:r>
            <w:r>
              <w:rPr>
                <w:rFonts w:ascii="Calibri" w:hAnsi="Calibri" w:cs="Calibri" w:eastAsia="Calibri"/>
                <w:color w:val="000000"/>
                <w:spacing w:val="0"/>
                <w:position w:val="0"/>
                <w:sz w:val="18"/>
                <w:shd w:fill="auto" w:val="clear"/>
              </w:rPr>
              <w:t xml:space="preserve">čna energija</w:t>
            </w:r>
          </w:p>
        </w:tc>
        <w:tc>
          <w:tcPr>
            <w:tcW w:w="1068"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218,99</w:t>
            </w:r>
          </w:p>
        </w:tc>
        <w:tc>
          <w:tcPr>
            <w:tcW w:w="961" w:type="dxa"/>
            <w:tcBorders>
              <w:top w:val="single" w:color="000000" w:sz="4"/>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14,48</w:t>
            </w:r>
          </w:p>
        </w:tc>
        <w:tc>
          <w:tcPr>
            <w:tcW w:w="960" w:type="dxa"/>
            <w:tcBorders>
              <w:top w:val="single" w:color="000000" w:sz="4"/>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179,75</w:t>
            </w:r>
          </w:p>
        </w:tc>
        <w:tc>
          <w:tcPr>
            <w:tcW w:w="826" w:type="dxa"/>
            <w:tcBorders>
              <w:top w:val="single" w:color="000000" w:sz="4"/>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549,70</w:t>
            </w:r>
          </w:p>
        </w:tc>
        <w:tc>
          <w:tcPr>
            <w:tcW w:w="960" w:type="dxa"/>
            <w:tcBorders>
              <w:top w:val="single" w:color="000000" w:sz="4"/>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835" w:type="dxa"/>
            <w:tcBorders>
              <w:top w:val="single" w:color="000000" w:sz="4"/>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1059" w:type="dxa"/>
            <w:tcBorders>
              <w:top w:val="single" w:color="000000" w:sz="4"/>
              <w:left w:val="single" w:color="000000" w:sz="0"/>
              <w:bottom w:val="single" w:color="000000" w:sz="4"/>
              <w:right w:val="single" w:color="000000" w:sz="0"/>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1189" w:type="dxa"/>
            <w:tcBorders>
              <w:top w:val="single" w:color="000000" w:sz="4"/>
              <w:left w:val="single" w:color="000000" w:sz="4"/>
              <w:bottom w:val="single" w:color="000000" w:sz="4"/>
              <w:right w:val="single" w:color="000000" w:sz="0"/>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305,53</w:t>
            </w:r>
          </w:p>
        </w:tc>
        <w:tc>
          <w:tcPr>
            <w:tcW w:w="1174" w:type="dxa"/>
            <w:tcBorders>
              <w:top w:val="single" w:color="000000" w:sz="4"/>
              <w:left w:val="single" w:color="000000" w:sz="4"/>
              <w:bottom w:val="single" w:color="000000" w:sz="4"/>
              <w:right w:val="single" w:color="000000" w:sz="4"/>
            </w:tcBorders>
            <w:shd w:color="auto" w:fill="ddebf7"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1.268,45</w:t>
            </w:r>
          </w:p>
        </w:tc>
      </w:tr>
      <w:tr>
        <w:trPr>
          <w:trHeight w:val="284" w:hRule="auto"/>
          <w:jc w:val="left"/>
        </w:trPr>
        <w:tc>
          <w:tcPr>
            <w:tcW w:w="988" w:type="dxa"/>
            <w:tcBorders>
              <w:top w:val="single" w:color="000000" w:sz="0"/>
              <w:left w:val="single" w:color="000000" w:sz="4"/>
              <w:bottom w:val="single" w:color="000000" w:sz="4"/>
              <w:right w:val="single" w:color="000000" w:sz="4"/>
            </w:tcBorders>
            <w:shd w:color="auto" w:fill="b4c6e7"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Prirodni plin</w:t>
            </w:r>
          </w:p>
        </w:tc>
        <w:tc>
          <w:tcPr>
            <w:tcW w:w="1068" w:type="dxa"/>
            <w:tcBorders>
              <w:top w:val="single" w:color="000000" w:sz="0"/>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961" w:type="dxa"/>
            <w:tcBorders>
              <w:top w:val="single" w:color="000000" w:sz="4"/>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960"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145,82</w:t>
            </w:r>
          </w:p>
        </w:tc>
        <w:tc>
          <w:tcPr>
            <w:tcW w:w="826" w:type="dxa"/>
            <w:tcBorders>
              <w:top w:val="single" w:color="000000" w:sz="4"/>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960" w:type="dxa"/>
            <w:tcBorders>
              <w:top w:val="single" w:color="000000" w:sz="4"/>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835" w:type="dxa"/>
            <w:tcBorders>
              <w:top w:val="single" w:color="000000" w:sz="4"/>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1059" w:type="dxa"/>
            <w:tcBorders>
              <w:top w:val="single" w:color="000000" w:sz="4"/>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1189"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1174" w:type="dxa"/>
            <w:tcBorders>
              <w:top w:val="single" w:color="000000" w:sz="0"/>
              <w:left w:val="single" w:color="000000" w:sz="4"/>
              <w:bottom w:val="single" w:color="000000" w:sz="4"/>
              <w:right w:val="single" w:color="000000" w:sz="4"/>
            </w:tcBorders>
            <w:shd w:color="auto" w:fill="ddebf7"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145,82</w:t>
            </w:r>
          </w:p>
        </w:tc>
      </w:tr>
      <w:tr>
        <w:trPr>
          <w:trHeight w:val="284" w:hRule="auto"/>
          <w:jc w:val="left"/>
        </w:trPr>
        <w:tc>
          <w:tcPr>
            <w:tcW w:w="988" w:type="dxa"/>
            <w:tcBorders>
              <w:top w:val="single" w:color="000000" w:sz="0"/>
              <w:left w:val="single" w:color="000000" w:sz="4"/>
              <w:bottom w:val="single" w:color="000000" w:sz="4"/>
              <w:right w:val="single" w:color="000000" w:sz="4"/>
            </w:tcBorders>
            <w:shd w:color="auto" w:fill="b4c6e7"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Lož ulje</w:t>
            </w:r>
          </w:p>
        </w:tc>
        <w:tc>
          <w:tcPr>
            <w:tcW w:w="1068" w:type="dxa"/>
            <w:tcBorders>
              <w:top w:val="single" w:color="000000" w:sz="0"/>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961" w:type="dxa"/>
            <w:tcBorders>
              <w:top w:val="single" w:color="000000" w:sz="4"/>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960"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198,74</w:t>
            </w:r>
          </w:p>
        </w:tc>
        <w:tc>
          <w:tcPr>
            <w:tcW w:w="826" w:type="dxa"/>
            <w:tcBorders>
              <w:top w:val="single" w:color="000000" w:sz="4"/>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960" w:type="dxa"/>
            <w:tcBorders>
              <w:top w:val="single" w:color="000000" w:sz="4"/>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835" w:type="dxa"/>
            <w:tcBorders>
              <w:top w:val="single" w:color="000000" w:sz="4"/>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1059" w:type="dxa"/>
            <w:tcBorders>
              <w:top w:val="single" w:color="000000" w:sz="4"/>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1189"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1174" w:type="dxa"/>
            <w:tcBorders>
              <w:top w:val="single" w:color="000000" w:sz="0"/>
              <w:left w:val="single" w:color="000000" w:sz="4"/>
              <w:bottom w:val="single" w:color="000000" w:sz="4"/>
              <w:right w:val="single" w:color="000000" w:sz="4"/>
            </w:tcBorders>
            <w:shd w:color="auto" w:fill="ddebf7"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198,74</w:t>
            </w:r>
          </w:p>
        </w:tc>
      </w:tr>
      <w:tr>
        <w:trPr>
          <w:trHeight w:val="284" w:hRule="auto"/>
          <w:jc w:val="left"/>
        </w:trPr>
        <w:tc>
          <w:tcPr>
            <w:tcW w:w="988" w:type="dxa"/>
            <w:tcBorders>
              <w:top w:val="single" w:color="000000" w:sz="0"/>
              <w:left w:val="single" w:color="000000" w:sz="4"/>
              <w:bottom w:val="single" w:color="000000" w:sz="4"/>
              <w:right w:val="single" w:color="000000" w:sz="4"/>
            </w:tcBorders>
            <w:shd w:color="auto" w:fill="b4c6e7"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Dizel</w:t>
            </w:r>
          </w:p>
        </w:tc>
        <w:tc>
          <w:tcPr>
            <w:tcW w:w="1068" w:type="dxa"/>
            <w:tcBorders>
              <w:top w:val="single" w:color="000000" w:sz="0"/>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961" w:type="dxa"/>
            <w:tcBorders>
              <w:top w:val="single" w:color="000000" w:sz="4"/>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960"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826" w:type="dxa"/>
            <w:tcBorders>
              <w:top w:val="single" w:color="000000" w:sz="4"/>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960"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253,13</w:t>
            </w:r>
          </w:p>
        </w:tc>
        <w:tc>
          <w:tcPr>
            <w:tcW w:w="835"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1.938,54</w:t>
            </w:r>
          </w:p>
        </w:tc>
        <w:tc>
          <w:tcPr>
            <w:tcW w:w="1059" w:type="dxa"/>
            <w:tcBorders>
              <w:top w:val="single" w:color="000000" w:sz="4"/>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20.886,23</w:t>
            </w:r>
          </w:p>
        </w:tc>
        <w:tc>
          <w:tcPr>
            <w:tcW w:w="1189"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1174" w:type="dxa"/>
            <w:tcBorders>
              <w:top w:val="single" w:color="000000" w:sz="0"/>
              <w:left w:val="single" w:color="000000" w:sz="4"/>
              <w:bottom w:val="single" w:color="000000" w:sz="4"/>
              <w:right w:val="single" w:color="000000" w:sz="4"/>
            </w:tcBorders>
            <w:shd w:color="auto" w:fill="ddebf7"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23.059,91</w:t>
            </w:r>
          </w:p>
        </w:tc>
      </w:tr>
      <w:tr>
        <w:trPr>
          <w:trHeight w:val="454" w:hRule="auto"/>
          <w:jc w:val="left"/>
        </w:trPr>
        <w:tc>
          <w:tcPr>
            <w:tcW w:w="988" w:type="dxa"/>
            <w:tcBorders>
              <w:top w:val="single" w:color="000000" w:sz="0"/>
              <w:left w:val="single" w:color="000000" w:sz="4"/>
              <w:bottom w:val="single" w:color="000000" w:sz="4"/>
              <w:right w:val="single" w:color="000000" w:sz="4"/>
            </w:tcBorders>
            <w:shd w:color="auto" w:fill="b4c6e7"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Motorni benzin</w:t>
            </w:r>
          </w:p>
        </w:tc>
        <w:tc>
          <w:tcPr>
            <w:tcW w:w="1068" w:type="dxa"/>
            <w:tcBorders>
              <w:top w:val="single" w:color="000000" w:sz="0"/>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961" w:type="dxa"/>
            <w:tcBorders>
              <w:top w:val="single" w:color="000000" w:sz="4"/>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960"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826" w:type="dxa"/>
            <w:tcBorders>
              <w:top w:val="single" w:color="000000" w:sz="4"/>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960"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13,06</w:t>
            </w:r>
          </w:p>
        </w:tc>
        <w:tc>
          <w:tcPr>
            <w:tcW w:w="835"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1059" w:type="dxa"/>
            <w:tcBorders>
              <w:top w:val="single" w:color="000000" w:sz="4"/>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11.104,97</w:t>
            </w:r>
          </w:p>
        </w:tc>
        <w:tc>
          <w:tcPr>
            <w:tcW w:w="1189"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1174" w:type="dxa"/>
            <w:tcBorders>
              <w:top w:val="single" w:color="000000" w:sz="0"/>
              <w:left w:val="single" w:color="000000" w:sz="4"/>
              <w:bottom w:val="single" w:color="000000" w:sz="4"/>
              <w:right w:val="single" w:color="000000" w:sz="4"/>
            </w:tcBorders>
            <w:shd w:color="auto" w:fill="ddebf7"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11.118,04</w:t>
            </w:r>
          </w:p>
        </w:tc>
      </w:tr>
      <w:tr>
        <w:trPr>
          <w:trHeight w:val="284" w:hRule="auto"/>
          <w:jc w:val="left"/>
        </w:trPr>
        <w:tc>
          <w:tcPr>
            <w:tcW w:w="988" w:type="dxa"/>
            <w:tcBorders>
              <w:top w:val="single" w:color="000000" w:sz="4"/>
              <w:left w:val="single" w:color="000000" w:sz="4"/>
              <w:bottom w:val="single" w:color="000000" w:sz="4"/>
              <w:right w:val="single" w:color="000000" w:sz="4"/>
            </w:tcBorders>
            <w:shd w:color="auto" w:fill="b4c6e7"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Lignit</w:t>
            </w:r>
          </w:p>
        </w:tc>
        <w:tc>
          <w:tcPr>
            <w:tcW w:w="1068"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867,47</w:t>
            </w:r>
          </w:p>
        </w:tc>
        <w:tc>
          <w:tcPr>
            <w:tcW w:w="961"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756,97</w:t>
            </w:r>
          </w:p>
        </w:tc>
        <w:tc>
          <w:tcPr>
            <w:tcW w:w="960"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25.006,88</w:t>
            </w:r>
          </w:p>
        </w:tc>
        <w:tc>
          <w:tcPr>
            <w:tcW w:w="826"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960"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835"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1059"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1189"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1174" w:type="dxa"/>
            <w:tcBorders>
              <w:top w:val="single" w:color="000000" w:sz="4"/>
              <w:left w:val="single" w:color="000000" w:sz="4"/>
              <w:bottom w:val="single" w:color="000000" w:sz="4"/>
              <w:right w:val="single" w:color="000000" w:sz="4"/>
            </w:tcBorders>
            <w:shd w:color="auto" w:fill="ddebf7"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26.631,32</w:t>
            </w:r>
          </w:p>
        </w:tc>
      </w:tr>
      <w:tr>
        <w:trPr>
          <w:trHeight w:val="284" w:hRule="auto"/>
          <w:jc w:val="left"/>
        </w:trPr>
        <w:tc>
          <w:tcPr>
            <w:tcW w:w="988" w:type="dxa"/>
            <w:tcBorders>
              <w:top w:val="single" w:color="000000" w:sz="4"/>
              <w:left w:val="single" w:color="000000" w:sz="4"/>
              <w:bottom w:val="single" w:color="000000" w:sz="4"/>
              <w:right w:val="single" w:color="000000" w:sz="4"/>
            </w:tcBorders>
            <w:shd w:color="auto" w:fill="b4c6e7"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Mrki ugalj</w:t>
            </w:r>
          </w:p>
        </w:tc>
        <w:tc>
          <w:tcPr>
            <w:tcW w:w="1068"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867,47</w:t>
            </w:r>
          </w:p>
        </w:tc>
        <w:tc>
          <w:tcPr>
            <w:tcW w:w="961"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756,97</w:t>
            </w:r>
          </w:p>
        </w:tc>
        <w:tc>
          <w:tcPr>
            <w:tcW w:w="960"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25.006,88</w:t>
            </w:r>
          </w:p>
        </w:tc>
        <w:tc>
          <w:tcPr>
            <w:tcW w:w="826"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960"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835"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1059"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1189"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1174" w:type="dxa"/>
            <w:tcBorders>
              <w:top w:val="single" w:color="000000" w:sz="4"/>
              <w:left w:val="single" w:color="000000" w:sz="4"/>
              <w:bottom w:val="single" w:color="000000" w:sz="4"/>
              <w:right w:val="single" w:color="000000" w:sz="4"/>
            </w:tcBorders>
            <w:shd w:color="auto" w:fill="ddebf7"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26.631,32</w:t>
            </w:r>
          </w:p>
        </w:tc>
      </w:tr>
      <w:tr>
        <w:trPr>
          <w:trHeight w:val="284" w:hRule="auto"/>
          <w:jc w:val="left"/>
        </w:trPr>
        <w:tc>
          <w:tcPr>
            <w:tcW w:w="988" w:type="dxa"/>
            <w:tcBorders>
              <w:top w:val="single" w:color="000000" w:sz="4"/>
              <w:left w:val="single" w:color="000000" w:sz="4"/>
              <w:bottom w:val="single" w:color="000000" w:sz="4"/>
              <w:right w:val="single" w:color="000000" w:sz="4"/>
            </w:tcBorders>
            <w:shd w:color="auto" w:fill="b4c6e7"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Biomasa</w:t>
            </w:r>
          </w:p>
        </w:tc>
        <w:tc>
          <w:tcPr>
            <w:tcW w:w="1068"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120,08</w:t>
            </w:r>
          </w:p>
        </w:tc>
        <w:tc>
          <w:tcPr>
            <w:tcW w:w="961"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960"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3.814,53</w:t>
            </w:r>
          </w:p>
        </w:tc>
        <w:tc>
          <w:tcPr>
            <w:tcW w:w="826"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960"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835"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1059"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1189"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1174" w:type="dxa"/>
            <w:tcBorders>
              <w:top w:val="single" w:color="000000" w:sz="4"/>
              <w:left w:val="single" w:color="000000" w:sz="4"/>
              <w:bottom w:val="single" w:color="000000" w:sz="4"/>
              <w:right w:val="single" w:color="000000" w:sz="4"/>
            </w:tcBorders>
            <w:shd w:color="auto" w:fill="ddebf7"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3.934,61</w:t>
            </w:r>
          </w:p>
        </w:tc>
      </w:tr>
      <w:tr>
        <w:trPr>
          <w:trHeight w:val="284" w:hRule="auto"/>
          <w:jc w:val="left"/>
        </w:trPr>
        <w:tc>
          <w:tcPr>
            <w:tcW w:w="988" w:type="dxa"/>
            <w:tcBorders>
              <w:top w:val="single" w:color="000000" w:sz="4"/>
              <w:left w:val="single" w:color="000000" w:sz="4"/>
              <w:bottom w:val="single" w:color="000000" w:sz="4"/>
              <w:right w:val="single" w:color="000000" w:sz="0"/>
            </w:tcBorders>
            <w:shd w:color="auto" w:fill="b4c6e7"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UKUPNO</w:t>
            </w:r>
          </w:p>
        </w:tc>
        <w:tc>
          <w:tcPr>
            <w:tcW w:w="1068" w:type="dxa"/>
            <w:tcBorders>
              <w:top w:val="single" w:color="000000" w:sz="4"/>
              <w:left w:val="single" w:color="000000" w:sz="4"/>
              <w:bottom w:val="single" w:color="000000" w:sz="4"/>
              <w:right w:val="single" w:color="000000" w:sz="4"/>
            </w:tcBorders>
            <w:shd w:color="auto" w:fill="ddebf7"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2.074,02</w:t>
            </w:r>
          </w:p>
        </w:tc>
        <w:tc>
          <w:tcPr>
            <w:tcW w:w="961" w:type="dxa"/>
            <w:tcBorders>
              <w:top w:val="single" w:color="000000" w:sz="4"/>
              <w:left w:val="single" w:color="000000" w:sz="0"/>
              <w:bottom w:val="single" w:color="000000" w:sz="4"/>
              <w:right w:val="single" w:color="000000" w:sz="4"/>
            </w:tcBorders>
            <w:shd w:color="auto" w:fill="ddebf7"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1.528,42</w:t>
            </w:r>
          </w:p>
        </w:tc>
        <w:tc>
          <w:tcPr>
            <w:tcW w:w="960" w:type="dxa"/>
            <w:tcBorders>
              <w:top w:val="single" w:color="000000" w:sz="4"/>
              <w:left w:val="single" w:color="000000" w:sz="0"/>
              <w:bottom w:val="single" w:color="000000" w:sz="4"/>
              <w:right w:val="single" w:color="000000" w:sz="4"/>
            </w:tcBorders>
            <w:shd w:color="auto" w:fill="ddebf7"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54.352,61</w:t>
            </w:r>
          </w:p>
        </w:tc>
        <w:tc>
          <w:tcPr>
            <w:tcW w:w="826" w:type="dxa"/>
            <w:tcBorders>
              <w:top w:val="single" w:color="000000" w:sz="4"/>
              <w:left w:val="single" w:color="000000" w:sz="0"/>
              <w:bottom w:val="single" w:color="000000" w:sz="4"/>
              <w:right w:val="single" w:color="000000" w:sz="4"/>
            </w:tcBorders>
            <w:shd w:color="auto" w:fill="ddebf7"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549,70</w:t>
            </w:r>
          </w:p>
        </w:tc>
        <w:tc>
          <w:tcPr>
            <w:tcW w:w="960" w:type="dxa"/>
            <w:tcBorders>
              <w:top w:val="single" w:color="000000" w:sz="4"/>
              <w:left w:val="single" w:color="000000" w:sz="0"/>
              <w:bottom w:val="single" w:color="000000" w:sz="4"/>
              <w:right w:val="single" w:color="000000" w:sz="4"/>
            </w:tcBorders>
            <w:shd w:color="auto" w:fill="ddebf7"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248,20</w:t>
            </w:r>
          </w:p>
        </w:tc>
        <w:tc>
          <w:tcPr>
            <w:tcW w:w="835" w:type="dxa"/>
            <w:tcBorders>
              <w:top w:val="single" w:color="000000" w:sz="4"/>
              <w:left w:val="single" w:color="000000" w:sz="0"/>
              <w:bottom w:val="single" w:color="000000" w:sz="4"/>
              <w:right w:val="single" w:color="000000" w:sz="4"/>
            </w:tcBorders>
            <w:shd w:color="auto" w:fill="ddebf7"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1.938,54</w:t>
            </w:r>
          </w:p>
        </w:tc>
        <w:tc>
          <w:tcPr>
            <w:tcW w:w="1059" w:type="dxa"/>
            <w:tcBorders>
              <w:top w:val="single" w:color="000000" w:sz="4"/>
              <w:left w:val="single" w:color="000000" w:sz="0"/>
              <w:bottom w:val="single" w:color="000000" w:sz="4"/>
              <w:right w:val="single" w:color="000000" w:sz="0"/>
            </w:tcBorders>
            <w:shd w:color="auto" w:fill="ddebf7"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31.991,21</w:t>
            </w:r>
          </w:p>
        </w:tc>
        <w:tc>
          <w:tcPr>
            <w:tcW w:w="1189" w:type="dxa"/>
            <w:tcBorders>
              <w:top w:val="single" w:color="000000" w:sz="4"/>
              <w:left w:val="single" w:color="000000" w:sz="4"/>
              <w:bottom w:val="single" w:color="000000" w:sz="4"/>
              <w:right w:val="single" w:color="000000" w:sz="0"/>
            </w:tcBorders>
            <w:shd w:color="auto" w:fill="ddebf7" w:val="clear"/>
            <w:tcMar>
              <w:left w:w="10" w:type="dxa"/>
              <w:right w:w="10" w:type="dxa"/>
            </w:tcMar>
            <w:vAlign w:val="center"/>
          </w:tcPr>
          <w:p>
            <w:pPr>
              <w:keepNext w:val="true"/>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305,53</w:t>
            </w:r>
          </w:p>
        </w:tc>
        <w:tc>
          <w:tcPr>
            <w:tcW w:w="1174" w:type="dxa"/>
            <w:tcBorders>
              <w:top w:val="single" w:color="000000" w:sz="4"/>
              <w:left w:val="single" w:color="000000" w:sz="4"/>
              <w:bottom w:val="single" w:color="000000" w:sz="4"/>
              <w:right w:val="single" w:color="000000" w:sz="4"/>
            </w:tcBorders>
            <w:shd w:color="auto" w:fill="ddebf7" w:val="clear"/>
            <w:tcMar>
              <w:left w:w="10" w:type="dxa"/>
              <w:right w:w="10" w:type="dxa"/>
            </w:tcMar>
            <w:vAlign w:val="center"/>
          </w:tcPr>
          <w:p>
            <w:pPr>
              <w:keepNext w:val="true"/>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92.988,22</w:t>
            </w:r>
          </w:p>
        </w:tc>
      </w:tr>
    </w:tbl>
    <w:p>
      <w:pPr>
        <w:spacing w:before="60" w:after="160" w:line="240"/>
        <w:ind w:right="0" w:left="0" w:firstLine="0"/>
        <w:jc w:val="center"/>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Tabela 520: Bazni inventar finalne energije za sve razmatrane sektore</w:t>
      </w:r>
    </w:p>
    <w:p>
      <w:pPr>
        <w:spacing w:before="120" w:after="12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U</w:t>
      </w:r>
      <w:r>
        <w:rPr>
          <w:rFonts w:ascii="Calibri" w:hAnsi="Calibri" w:cs="Calibri" w:eastAsia="Calibri"/>
          <w:color w:val="auto"/>
          <w:spacing w:val="0"/>
          <w:position w:val="0"/>
          <w:sz w:val="20"/>
          <w:shd w:fill="auto" w:val="clear"/>
        </w:rPr>
        <w:t xml:space="preserve">češće razmatranih sektora i energenata u ukupnoj finalnoj energiji prikazano je u narednim dijagramima.</w:t>
      </w:r>
    </w:p>
    <w:tbl>
      <w:tblPr/>
      <w:tblGrid>
        <w:gridCol w:w="5106"/>
        <w:gridCol w:w="5166"/>
      </w:tblGrid>
      <w:tr>
        <w:trPr>
          <w:trHeight w:val="1" w:hRule="atLeast"/>
          <w:jc w:val="left"/>
        </w:trPr>
        <w:tc>
          <w:tcPr>
            <w:tcW w:w="5106"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p>
            <w:pPr>
              <w:tabs>
                <w:tab w:val="left" w:pos="2299" w:leader="none"/>
              </w:tabs>
              <w:spacing w:before="60" w:after="16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Dijagram 514: Udio razmatranih sektora u ukupnoj finalnoj energiji u  baznoj godini</w:t>
            </w:r>
          </w:p>
        </w:tc>
        <w:tc>
          <w:tcPr>
            <w:tcW w:w="5166"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p>
            <w:pPr>
              <w:spacing w:before="60" w:after="16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Dijagram 515: Udio razmatranih energenata u ukupnoj finalnoj energiji u baznoj godini</w:t>
            </w:r>
          </w:p>
        </w:tc>
      </w:tr>
    </w:tbl>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Ukupna finalna energija obuhva</w:t>
      </w:r>
      <w:r>
        <w:rPr>
          <w:rFonts w:ascii="Calibri" w:hAnsi="Calibri" w:cs="Calibri" w:eastAsia="Calibri"/>
          <w:color w:val="auto"/>
          <w:spacing w:val="0"/>
          <w:position w:val="0"/>
          <w:sz w:val="20"/>
          <w:shd w:fill="auto" w:val="clear"/>
        </w:rPr>
        <w:t xml:space="preserve">ćena baznim inventarom iznosi </w:t>
      </w:r>
      <w:r>
        <w:rPr>
          <w:rFonts w:ascii="Calibri" w:hAnsi="Calibri" w:cs="Calibri" w:eastAsia="Calibri"/>
          <w:b/>
          <w:color w:val="auto"/>
          <w:spacing w:val="0"/>
          <w:position w:val="0"/>
          <w:sz w:val="20"/>
          <w:shd w:fill="auto" w:val="clear"/>
        </w:rPr>
        <w:t xml:space="preserve">92.988,22 MWh. </w:t>
      </w:r>
      <w:r>
        <w:rPr>
          <w:rFonts w:ascii="Calibri" w:hAnsi="Calibri" w:cs="Calibri" w:eastAsia="Calibri"/>
          <w:color w:val="auto"/>
          <w:spacing w:val="0"/>
          <w:position w:val="0"/>
          <w:sz w:val="20"/>
          <w:shd w:fill="auto" w:val="clear"/>
        </w:rPr>
        <w:t xml:space="preserve">Iz gornje tabele i dijagrama je evidentno da najveće učešće u finalnoj energiji imaju slijedeća dva podsektora:</w:t>
      </w:r>
    </w:p>
    <w:p>
      <w:pPr>
        <w:numPr>
          <w:ilvl w:val="0"/>
          <w:numId w:val="1262"/>
        </w:numPr>
        <w:spacing w:before="60" w:after="0" w:line="240"/>
        <w:ind w:right="0" w:left="720" w:hanging="360"/>
        <w:jc w:val="both"/>
        <w:rPr>
          <w:rFonts w:ascii="Calibri" w:hAnsi="Calibri" w:cs="Calibri" w:eastAsia="Calibri"/>
          <w:color w:val="auto"/>
          <w:spacing w:val="0"/>
          <w:position w:val="0"/>
          <w:sz w:val="20"/>
          <w:shd w:fill="auto" w:val="clear"/>
        </w:rPr>
      </w:pPr>
      <w:r>
        <w:rPr>
          <w:rFonts w:ascii="Calibri" w:hAnsi="Calibri" w:cs="Calibri" w:eastAsia="Calibri"/>
          <w:b/>
          <w:color w:val="auto"/>
          <w:spacing w:val="0"/>
          <w:position w:val="0"/>
          <w:sz w:val="20"/>
          <w:shd w:fill="auto" w:val="clear"/>
        </w:rPr>
        <w:t xml:space="preserve">stambene zgrade</w:t>
      </w:r>
      <w:r>
        <w:rPr>
          <w:rFonts w:ascii="Calibri" w:hAnsi="Calibri" w:cs="Calibri" w:eastAsia="Calibri"/>
          <w:color w:val="auto"/>
          <w:spacing w:val="0"/>
          <w:position w:val="0"/>
          <w:sz w:val="20"/>
          <w:shd w:fill="auto" w:val="clear"/>
        </w:rPr>
        <w:t xml:space="preserve">, sa 54.352,61 MWh, što predstavlja 58,45% od ukupne finalne energije iz svih sektora; i</w:t>
      </w:r>
    </w:p>
    <w:p>
      <w:pPr>
        <w:numPr>
          <w:ilvl w:val="0"/>
          <w:numId w:val="1262"/>
        </w:numPr>
        <w:spacing w:before="60" w:after="0" w:line="240"/>
        <w:ind w:right="0" w:left="720" w:hanging="360"/>
        <w:jc w:val="both"/>
        <w:rPr>
          <w:rFonts w:ascii="Calibri" w:hAnsi="Calibri" w:cs="Calibri" w:eastAsia="Calibri"/>
          <w:color w:val="auto"/>
          <w:spacing w:val="0"/>
          <w:position w:val="0"/>
          <w:sz w:val="20"/>
          <w:shd w:fill="auto" w:val="clear"/>
        </w:rPr>
      </w:pPr>
      <w:r>
        <w:rPr>
          <w:rFonts w:ascii="Calibri" w:hAnsi="Calibri" w:cs="Calibri" w:eastAsia="Calibri"/>
          <w:b/>
          <w:color w:val="auto"/>
          <w:spacing w:val="0"/>
          <w:position w:val="0"/>
          <w:sz w:val="20"/>
          <w:shd w:fill="auto" w:val="clear"/>
        </w:rPr>
        <w:t xml:space="preserve">osobna i komercijalna vozila</w:t>
      </w:r>
      <w:r>
        <w:rPr>
          <w:rFonts w:ascii="Calibri" w:hAnsi="Calibri" w:cs="Calibri" w:eastAsia="Calibri"/>
          <w:color w:val="auto"/>
          <w:spacing w:val="0"/>
          <w:position w:val="0"/>
          <w:sz w:val="20"/>
          <w:shd w:fill="auto" w:val="clear"/>
        </w:rPr>
        <w:t xml:space="preserve">, sa 31.991,21 MWh odnosno 34,40% od ukupne finalne energije svih sektora.</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Ostali podsektori u ukupnoj finalnoj energiji u</w:t>
      </w:r>
      <w:r>
        <w:rPr>
          <w:rFonts w:ascii="Calibri" w:hAnsi="Calibri" w:cs="Calibri" w:eastAsia="Calibri"/>
          <w:color w:val="auto"/>
          <w:spacing w:val="0"/>
          <w:position w:val="0"/>
          <w:sz w:val="20"/>
          <w:shd w:fill="auto" w:val="clear"/>
        </w:rPr>
        <w:t xml:space="preserve">čestvuju u znatno manjem obimu, i to: javne zgrade u vlasništvu Općine sa 2,23%, zatim javni prijevoz sa 2,08%, a slijede ga javne zgrade u koje nisu u vlasništvu Općine sa 1,64%, javna rasvjeta sa 0,59%, vodosnabdijevanje sa 0,33% i vozila u vlasništvu Općine sa 0,27%. S obzirom na to da je područje Tuzlanskog kantona poznato kao rudarski kraj u kome se nalazi nekoliko rudnika uglja, najveće učešće u ukupnoj finalnoj energiji imaju zgrade u kojima se kao energenti koriste mrki ugalj i lignit, i to sa po 26.631,32 MWh (po 28,64% učešća). Osim lignita i mrkog uglja, dominantni energenti su još i dizel gorivo sa  23.059,91 MWh (24,80%) i motorni benzin sa 11.118,04 MWh (11,96%). Zatim slijedi biomasa (4,23%), električna energija (1,72%), te lože ulje i prirodni plin sa neznatnih 0,21% odnosno 0,16% učešća. </w:t>
      </w:r>
    </w:p>
    <w:p>
      <w:pPr>
        <w:keepNext w:val="true"/>
        <w:keepLines w:val="true"/>
        <w:numPr>
          <w:ilvl w:val="0"/>
          <w:numId w:val="1264"/>
        </w:numPr>
        <w:spacing w:before="120" w:after="0" w:line="240"/>
        <w:ind w:right="0" w:left="862" w:hanging="862"/>
        <w:jc w:val="both"/>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Ukupne emisije CO</w:t>
      </w:r>
      <w:r>
        <w:rPr>
          <w:rFonts w:ascii="Calibri" w:hAnsi="Calibri" w:cs="Calibri" w:eastAsia="Calibri"/>
          <w:b/>
          <w:color w:val="auto"/>
          <w:spacing w:val="0"/>
          <w:position w:val="0"/>
          <w:sz w:val="22"/>
          <w:shd w:fill="auto" w:val="clear"/>
          <w:vertAlign w:val="subscript"/>
        </w:rPr>
        <w:t xml:space="preserve">2</w:t>
      </w:r>
      <w:r>
        <w:rPr>
          <w:rFonts w:ascii="Calibri" w:hAnsi="Calibri" w:cs="Calibri" w:eastAsia="Calibri"/>
          <w:b/>
          <w:color w:val="auto"/>
          <w:spacing w:val="0"/>
          <w:position w:val="0"/>
          <w:sz w:val="22"/>
          <w:shd w:fill="auto" w:val="clear"/>
        </w:rPr>
        <w:t xml:space="preserve"> u baznoj godini u svim razmatranim sektorima</w:t>
      </w:r>
    </w:p>
    <w:p>
      <w:pPr>
        <w:spacing w:before="60" w:after="12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U narednoj tabeli prikazane su ukupne emisije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nastale kao rezultat potrošnje ukupne finalne energije u baznoj godini u svim razmatranim sektorima.   </w:t>
      </w:r>
    </w:p>
    <w:tbl>
      <w:tblPr/>
      <w:tblGrid>
        <w:gridCol w:w="988"/>
        <w:gridCol w:w="1068"/>
        <w:gridCol w:w="961"/>
        <w:gridCol w:w="960"/>
        <w:gridCol w:w="826"/>
        <w:gridCol w:w="960"/>
        <w:gridCol w:w="835"/>
        <w:gridCol w:w="1059"/>
        <w:gridCol w:w="1189"/>
        <w:gridCol w:w="1174"/>
      </w:tblGrid>
      <w:tr>
        <w:trPr>
          <w:trHeight w:val="340" w:hRule="auto"/>
          <w:jc w:val="left"/>
        </w:trPr>
        <w:tc>
          <w:tcPr>
            <w:tcW w:w="988" w:type="dxa"/>
            <w:vMerge w:val="restart"/>
            <w:tcBorders>
              <w:top w:val="single" w:color="000000" w:sz="4"/>
              <w:left w:val="single" w:color="000000" w:sz="4"/>
              <w:bottom w:val="single" w:color="000000" w:sz="4"/>
              <w:right w:val="single" w:color="000000" w:sz="4"/>
            </w:tcBorders>
            <w:shd w:color="auto" w:fill="b4c6e7" w:val="clear"/>
            <w:tcMar>
              <w:left w:w="10" w:type="dxa"/>
              <w:right w:w="10"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ENERGENT</w:t>
            </w:r>
          </w:p>
        </w:tc>
        <w:tc>
          <w:tcPr>
            <w:tcW w:w="9032" w:type="dxa"/>
            <w:gridSpan w:val="9"/>
            <w:tcBorders>
              <w:top w:val="single" w:color="000000" w:sz="4"/>
              <w:left w:val="single" w:color="000000" w:sz="4"/>
              <w:bottom w:val="single" w:color="000000" w:sz="4"/>
              <w:right w:val="single" w:color="000000" w:sz="4"/>
            </w:tcBorders>
            <w:shd w:color="auto" w:fill="b4c6e7"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BAZNI INVENTAR EMISIJA CO</w:t>
            </w:r>
            <w:r>
              <w:rPr>
                <w:rFonts w:ascii="Calibri" w:hAnsi="Calibri" w:cs="Calibri" w:eastAsia="Calibri"/>
                <w:color w:val="000000"/>
                <w:spacing w:val="0"/>
                <w:position w:val="0"/>
                <w:sz w:val="18"/>
                <w:shd w:fill="auto" w:val="clear"/>
                <w:vertAlign w:val="subscript"/>
              </w:rPr>
              <w:t xml:space="preserve">2</w:t>
            </w:r>
            <w:r>
              <w:rPr>
                <w:rFonts w:ascii="Calibri" w:hAnsi="Calibri" w:cs="Calibri" w:eastAsia="Calibri"/>
                <w:color w:val="000000"/>
                <w:spacing w:val="0"/>
                <w:position w:val="0"/>
                <w:sz w:val="18"/>
                <w:shd w:fill="auto" w:val="clear"/>
              </w:rPr>
              <w:t xml:space="preserve"> [tCO</w:t>
            </w:r>
            <w:r>
              <w:rPr>
                <w:rFonts w:ascii="Calibri" w:hAnsi="Calibri" w:cs="Calibri" w:eastAsia="Calibri"/>
                <w:color w:val="000000"/>
                <w:spacing w:val="0"/>
                <w:position w:val="0"/>
                <w:sz w:val="18"/>
                <w:shd w:fill="auto" w:val="clear"/>
                <w:vertAlign w:val="subscript"/>
              </w:rPr>
              <w:t xml:space="preserve">2</w:t>
            </w:r>
            <w:r>
              <w:rPr>
                <w:rFonts w:ascii="Calibri" w:hAnsi="Calibri" w:cs="Calibri" w:eastAsia="Calibri"/>
                <w:color w:val="000000"/>
                <w:spacing w:val="0"/>
                <w:position w:val="0"/>
                <w:sz w:val="18"/>
                <w:shd w:fill="auto" w:val="clear"/>
              </w:rPr>
              <w:t xml:space="preserve">]</w:t>
            </w:r>
          </w:p>
        </w:tc>
      </w:tr>
      <w:tr>
        <w:trPr>
          <w:trHeight w:val="465" w:hRule="auto"/>
          <w:jc w:val="left"/>
        </w:trPr>
        <w:tc>
          <w:tcPr>
            <w:tcW w:w="988" w:type="dxa"/>
            <w:vMerge/>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3815" w:type="dxa"/>
            <w:gridSpan w:val="4"/>
            <w:tcBorders>
              <w:top w:val="single" w:color="000000" w:sz="4"/>
              <w:left w:val="single" w:color="000000" w:sz="4"/>
              <w:bottom w:val="single" w:color="000000" w:sz="4"/>
              <w:right w:val="single" w:color="000000" w:sz="4"/>
            </w:tcBorders>
            <w:shd w:color="auto" w:fill="b4c6e7"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ZGRADARSTVO I JAVNA RASVJETA</w:t>
            </w:r>
          </w:p>
        </w:tc>
        <w:tc>
          <w:tcPr>
            <w:tcW w:w="2854" w:type="dxa"/>
            <w:gridSpan w:val="3"/>
            <w:tcBorders>
              <w:top w:val="single" w:color="000000" w:sz="4"/>
              <w:left w:val="single" w:color="000000" w:sz="4"/>
              <w:bottom w:val="single" w:color="000000" w:sz="4"/>
              <w:right w:val="single" w:color="000000" w:sz="4"/>
            </w:tcBorders>
            <w:shd w:color="auto" w:fill="b4c6e7"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SAOBRA</w:t>
            </w:r>
            <w:r>
              <w:rPr>
                <w:rFonts w:ascii="Calibri" w:hAnsi="Calibri" w:cs="Calibri" w:eastAsia="Calibri"/>
                <w:color w:val="000000"/>
                <w:spacing w:val="0"/>
                <w:position w:val="0"/>
                <w:sz w:val="18"/>
                <w:shd w:fill="auto" w:val="clear"/>
              </w:rPr>
              <w:t xml:space="preserve">ĆAJ</w:t>
            </w:r>
          </w:p>
        </w:tc>
        <w:tc>
          <w:tcPr>
            <w:tcW w:w="1189" w:type="dxa"/>
            <w:tcBorders>
              <w:top w:val="single" w:color="000000" w:sz="4"/>
              <w:left w:val="single" w:color="000000" w:sz="4"/>
              <w:bottom w:val="single" w:color="000000" w:sz="4"/>
              <w:right w:val="single" w:color="000000" w:sz="4"/>
            </w:tcBorders>
            <w:shd w:color="auto" w:fill="b4c6e7"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NEENERGETSKI SEKTOR</w:t>
            </w:r>
          </w:p>
        </w:tc>
        <w:tc>
          <w:tcPr>
            <w:tcW w:w="1174" w:type="dxa"/>
            <w:vMerge w:val="restart"/>
            <w:tcBorders>
              <w:top w:val="single" w:color="000000" w:sz="4"/>
              <w:left w:val="single" w:color="000000" w:sz="4"/>
              <w:bottom w:val="single" w:color="000000" w:sz="4"/>
              <w:right w:val="single" w:color="000000" w:sz="4"/>
            </w:tcBorders>
            <w:shd w:color="auto" w:fill="b4c6e7"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UKUPNO PO ENERGENTIMA</w:t>
            </w:r>
          </w:p>
        </w:tc>
      </w:tr>
      <w:tr>
        <w:trPr>
          <w:trHeight w:val="691" w:hRule="auto"/>
          <w:jc w:val="left"/>
        </w:trPr>
        <w:tc>
          <w:tcPr>
            <w:tcW w:w="988" w:type="dxa"/>
            <w:vMerge/>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068" w:type="dxa"/>
            <w:tcBorders>
              <w:top w:val="single" w:color="000000" w:sz="4"/>
              <w:left w:val="single" w:color="000000" w:sz="4"/>
              <w:bottom w:val="single" w:color="000000" w:sz="4"/>
              <w:right w:val="single" w:color="000000" w:sz="4"/>
            </w:tcBorders>
            <w:shd w:color="auto" w:fill="b4c6e7"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Javne zgrade u vlasništvu Op</w:t>
            </w:r>
            <w:r>
              <w:rPr>
                <w:rFonts w:ascii="Calibri" w:hAnsi="Calibri" w:cs="Calibri" w:eastAsia="Calibri"/>
                <w:color w:val="000000"/>
                <w:spacing w:val="0"/>
                <w:position w:val="0"/>
                <w:sz w:val="18"/>
                <w:shd w:fill="auto" w:val="clear"/>
              </w:rPr>
              <w:t xml:space="preserve">ćine</w:t>
            </w:r>
          </w:p>
        </w:tc>
        <w:tc>
          <w:tcPr>
            <w:tcW w:w="961" w:type="dxa"/>
            <w:tcBorders>
              <w:top w:val="single" w:color="000000" w:sz="4"/>
              <w:left w:val="single" w:color="000000" w:sz="4"/>
              <w:bottom w:val="single" w:color="000000" w:sz="4"/>
              <w:right w:val="single" w:color="000000" w:sz="4"/>
            </w:tcBorders>
            <w:shd w:color="auto" w:fill="b4c6e7"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Javne zgrade koje nisu u vlasništvu Op</w:t>
            </w:r>
            <w:r>
              <w:rPr>
                <w:rFonts w:ascii="Calibri" w:hAnsi="Calibri" w:cs="Calibri" w:eastAsia="Calibri"/>
                <w:color w:val="000000"/>
                <w:spacing w:val="0"/>
                <w:position w:val="0"/>
                <w:sz w:val="18"/>
                <w:shd w:fill="auto" w:val="clear"/>
              </w:rPr>
              <w:t xml:space="preserve">ćine</w:t>
            </w:r>
          </w:p>
        </w:tc>
        <w:tc>
          <w:tcPr>
            <w:tcW w:w="960" w:type="dxa"/>
            <w:tcBorders>
              <w:top w:val="single" w:color="000000" w:sz="4"/>
              <w:left w:val="single" w:color="000000" w:sz="4"/>
              <w:bottom w:val="single" w:color="000000" w:sz="4"/>
              <w:right w:val="single" w:color="000000" w:sz="4"/>
            </w:tcBorders>
            <w:shd w:color="auto" w:fill="b4c6e7"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Stambene zgrade</w:t>
            </w:r>
          </w:p>
        </w:tc>
        <w:tc>
          <w:tcPr>
            <w:tcW w:w="826" w:type="dxa"/>
            <w:tcBorders>
              <w:top w:val="single" w:color="000000" w:sz="4"/>
              <w:left w:val="single" w:color="000000" w:sz="4"/>
              <w:bottom w:val="single" w:color="000000" w:sz="4"/>
              <w:right w:val="single" w:color="000000" w:sz="4"/>
            </w:tcBorders>
            <w:shd w:color="auto" w:fill="b4c6e7"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Javna rasvjeta</w:t>
            </w:r>
          </w:p>
        </w:tc>
        <w:tc>
          <w:tcPr>
            <w:tcW w:w="960" w:type="dxa"/>
            <w:tcBorders>
              <w:top w:val="single" w:color="000000" w:sz="4"/>
              <w:left w:val="single" w:color="000000" w:sz="4"/>
              <w:bottom w:val="single" w:color="000000" w:sz="4"/>
              <w:right w:val="single" w:color="000000" w:sz="4"/>
            </w:tcBorders>
            <w:shd w:color="auto" w:fill="b4c6e7"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Vozila u vlasništvu Op</w:t>
            </w:r>
            <w:r>
              <w:rPr>
                <w:rFonts w:ascii="Calibri" w:hAnsi="Calibri" w:cs="Calibri" w:eastAsia="Calibri"/>
                <w:color w:val="000000"/>
                <w:spacing w:val="0"/>
                <w:position w:val="0"/>
                <w:sz w:val="18"/>
                <w:shd w:fill="auto" w:val="clear"/>
              </w:rPr>
              <w:t xml:space="preserve">ćine</w:t>
            </w:r>
          </w:p>
        </w:tc>
        <w:tc>
          <w:tcPr>
            <w:tcW w:w="835" w:type="dxa"/>
            <w:tcBorders>
              <w:top w:val="single" w:color="000000" w:sz="4"/>
              <w:left w:val="single" w:color="000000" w:sz="4"/>
              <w:bottom w:val="single" w:color="000000" w:sz="4"/>
              <w:right w:val="single" w:color="000000" w:sz="4"/>
            </w:tcBorders>
            <w:shd w:color="auto" w:fill="b4c6e7"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Javni prijevoz</w:t>
            </w:r>
          </w:p>
        </w:tc>
        <w:tc>
          <w:tcPr>
            <w:tcW w:w="1059" w:type="dxa"/>
            <w:tcBorders>
              <w:top w:val="single" w:color="000000" w:sz="4"/>
              <w:left w:val="single" w:color="000000" w:sz="4"/>
              <w:bottom w:val="single" w:color="000000" w:sz="4"/>
              <w:right w:val="single" w:color="000000" w:sz="4"/>
            </w:tcBorders>
            <w:shd w:color="auto" w:fill="b4c6e7"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Osobna i komercijalna vozila</w:t>
            </w:r>
          </w:p>
        </w:tc>
        <w:tc>
          <w:tcPr>
            <w:tcW w:w="1189" w:type="dxa"/>
            <w:tcBorders>
              <w:top w:val="single" w:color="000000" w:sz="4"/>
              <w:left w:val="single" w:color="000000" w:sz="4"/>
              <w:bottom w:val="single" w:color="000000" w:sz="4"/>
              <w:right w:val="single" w:color="000000" w:sz="4"/>
            </w:tcBorders>
            <w:shd w:color="auto" w:fill="b4c6e7" w:val="clear"/>
            <w:tcMar>
              <w:left w:w="10" w:type="dxa"/>
              <w:right w:w="10" w:type="dxa"/>
            </w:tcMar>
            <w:vAlign w:val="center"/>
          </w:tcPr>
          <w:p>
            <w:pPr>
              <w:spacing w:before="0" w:after="0" w:line="240"/>
              <w:ind w:right="0" w:left="0" w:firstLine="0"/>
              <w:jc w:val="center"/>
              <w:rPr>
                <w:rFonts w:ascii="Calibri" w:hAnsi="Calibri" w:cs="Calibri" w:eastAsia="Calibri"/>
                <w:color w:val="000000"/>
                <w:spacing w:val="0"/>
                <w:position w:val="0"/>
                <w:sz w:val="18"/>
                <w:shd w:fill="auto" w:val="clear"/>
              </w:rPr>
            </w:pPr>
            <w:r>
              <w:rPr>
                <w:rFonts w:ascii="Calibri" w:hAnsi="Calibri" w:cs="Calibri" w:eastAsia="Calibri"/>
                <w:color w:val="000000"/>
                <w:spacing w:val="0"/>
                <w:position w:val="0"/>
                <w:sz w:val="18"/>
                <w:shd w:fill="auto" w:val="clear"/>
              </w:rPr>
              <w:t xml:space="preserve">Vodo-</w:t>
            </w:r>
          </w:p>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snadbijevanje</w:t>
            </w:r>
          </w:p>
        </w:tc>
        <w:tc>
          <w:tcPr>
            <w:tcW w:w="1174" w:type="dxa"/>
            <w:vMerge/>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r>
      <w:tr>
        <w:trPr>
          <w:trHeight w:val="454" w:hRule="auto"/>
          <w:jc w:val="left"/>
        </w:trPr>
        <w:tc>
          <w:tcPr>
            <w:tcW w:w="988" w:type="dxa"/>
            <w:tcBorders>
              <w:top w:val="single" w:color="000000" w:sz="4"/>
              <w:left w:val="single" w:color="000000" w:sz="4"/>
              <w:bottom w:val="single" w:color="000000" w:sz="4"/>
              <w:right w:val="single" w:color="000000" w:sz="4"/>
            </w:tcBorders>
            <w:shd w:color="auto" w:fill="b4c6e7" w:val="clear"/>
            <w:tcMar>
              <w:left w:w="10" w:type="dxa"/>
              <w:right w:w="10"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Elektri</w:t>
            </w:r>
            <w:r>
              <w:rPr>
                <w:rFonts w:ascii="Calibri" w:hAnsi="Calibri" w:cs="Calibri" w:eastAsia="Calibri"/>
                <w:color w:val="000000"/>
                <w:spacing w:val="0"/>
                <w:position w:val="0"/>
                <w:sz w:val="18"/>
                <w:shd w:fill="auto" w:val="clear"/>
              </w:rPr>
              <w:t xml:space="preserve">čna energija</w:t>
            </w:r>
          </w:p>
        </w:tc>
        <w:tc>
          <w:tcPr>
            <w:tcW w:w="1068"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166,43</w:t>
            </w:r>
          </w:p>
        </w:tc>
        <w:tc>
          <w:tcPr>
            <w:tcW w:w="961"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11,00</w:t>
            </w:r>
          </w:p>
        </w:tc>
        <w:tc>
          <w:tcPr>
            <w:tcW w:w="960"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136,61</w:t>
            </w:r>
          </w:p>
        </w:tc>
        <w:tc>
          <w:tcPr>
            <w:tcW w:w="826"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417,77</w:t>
            </w:r>
          </w:p>
        </w:tc>
        <w:tc>
          <w:tcPr>
            <w:tcW w:w="960"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835"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1059"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1189"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232,20</w:t>
            </w:r>
          </w:p>
        </w:tc>
        <w:tc>
          <w:tcPr>
            <w:tcW w:w="1174" w:type="dxa"/>
            <w:tcBorders>
              <w:top w:val="single" w:color="000000" w:sz="4"/>
              <w:left w:val="single" w:color="000000" w:sz="4"/>
              <w:bottom w:val="single" w:color="000000" w:sz="4"/>
              <w:right w:val="single" w:color="000000" w:sz="4"/>
            </w:tcBorders>
            <w:shd w:color="auto" w:fill="deeaf6"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964,02</w:t>
            </w:r>
          </w:p>
        </w:tc>
      </w:tr>
      <w:tr>
        <w:trPr>
          <w:trHeight w:val="284" w:hRule="auto"/>
          <w:jc w:val="left"/>
        </w:trPr>
        <w:tc>
          <w:tcPr>
            <w:tcW w:w="988" w:type="dxa"/>
            <w:tcBorders>
              <w:top w:val="single" w:color="000000" w:sz="4"/>
              <w:left w:val="single" w:color="000000" w:sz="4"/>
              <w:bottom w:val="single" w:color="000000" w:sz="4"/>
              <w:right w:val="single" w:color="000000" w:sz="4"/>
            </w:tcBorders>
            <w:shd w:color="auto" w:fill="b4c6e7" w:val="clear"/>
            <w:tcMar>
              <w:left w:w="10" w:type="dxa"/>
              <w:right w:w="10"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Prirodni plin</w:t>
            </w:r>
          </w:p>
        </w:tc>
        <w:tc>
          <w:tcPr>
            <w:tcW w:w="1068"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961"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960"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33,68</w:t>
            </w:r>
          </w:p>
        </w:tc>
        <w:tc>
          <w:tcPr>
            <w:tcW w:w="826"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960"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835"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1059"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1189"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1174" w:type="dxa"/>
            <w:tcBorders>
              <w:top w:val="single" w:color="000000" w:sz="4"/>
              <w:left w:val="single" w:color="000000" w:sz="4"/>
              <w:bottom w:val="single" w:color="000000" w:sz="4"/>
              <w:right w:val="single" w:color="000000" w:sz="4"/>
            </w:tcBorders>
            <w:shd w:color="auto" w:fill="deeaf6"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33,68</w:t>
            </w:r>
          </w:p>
        </w:tc>
      </w:tr>
      <w:tr>
        <w:trPr>
          <w:trHeight w:val="284" w:hRule="auto"/>
          <w:jc w:val="left"/>
        </w:trPr>
        <w:tc>
          <w:tcPr>
            <w:tcW w:w="988" w:type="dxa"/>
            <w:tcBorders>
              <w:top w:val="single" w:color="000000" w:sz="4"/>
              <w:left w:val="single" w:color="000000" w:sz="4"/>
              <w:bottom w:val="single" w:color="000000" w:sz="4"/>
              <w:right w:val="single" w:color="000000" w:sz="4"/>
            </w:tcBorders>
            <w:shd w:color="auto" w:fill="b4c6e7" w:val="clear"/>
            <w:tcMar>
              <w:left w:w="10" w:type="dxa"/>
              <w:right w:w="10"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Lož ulje</w:t>
            </w:r>
          </w:p>
        </w:tc>
        <w:tc>
          <w:tcPr>
            <w:tcW w:w="1068"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961"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960"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53,06</w:t>
            </w:r>
          </w:p>
        </w:tc>
        <w:tc>
          <w:tcPr>
            <w:tcW w:w="826"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960"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835"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1059"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1189"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1174" w:type="dxa"/>
            <w:tcBorders>
              <w:top w:val="single" w:color="000000" w:sz="4"/>
              <w:left w:val="single" w:color="000000" w:sz="4"/>
              <w:bottom w:val="single" w:color="000000" w:sz="4"/>
              <w:right w:val="single" w:color="000000" w:sz="4"/>
            </w:tcBorders>
            <w:shd w:color="auto" w:fill="deeaf6"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53,06</w:t>
            </w:r>
          </w:p>
        </w:tc>
      </w:tr>
      <w:tr>
        <w:trPr>
          <w:trHeight w:val="284" w:hRule="auto"/>
          <w:jc w:val="left"/>
        </w:trPr>
        <w:tc>
          <w:tcPr>
            <w:tcW w:w="988" w:type="dxa"/>
            <w:tcBorders>
              <w:top w:val="single" w:color="000000" w:sz="4"/>
              <w:left w:val="single" w:color="000000" w:sz="4"/>
              <w:bottom w:val="single" w:color="000000" w:sz="4"/>
              <w:right w:val="single" w:color="000000" w:sz="4"/>
            </w:tcBorders>
            <w:shd w:color="auto" w:fill="b4c6e7" w:val="clear"/>
            <w:tcMar>
              <w:left w:w="10" w:type="dxa"/>
              <w:right w:w="10"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Dizel</w:t>
            </w:r>
          </w:p>
        </w:tc>
        <w:tc>
          <w:tcPr>
            <w:tcW w:w="1068"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961"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960"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826"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960"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62,78</w:t>
            </w:r>
          </w:p>
        </w:tc>
        <w:tc>
          <w:tcPr>
            <w:tcW w:w="835"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517,59</w:t>
            </w:r>
          </w:p>
        </w:tc>
        <w:tc>
          <w:tcPr>
            <w:tcW w:w="1059"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5.576,62</w:t>
            </w:r>
          </w:p>
        </w:tc>
        <w:tc>
          <w:tcPr>
            <w:tcW w:w="1189"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1174" w:type="dxa"/>
            <w:tcBorders>
              <w:top w:val="single" w:color="000000" w:sz="4"/>
              <w:left w:val="single" w:color="000000" w:sz="4"/>
              <w:bottom w:val="single" w:color="000000" w:sz="4"/>
              <w:right w:val="single" w:color="000000" w:sz="4"/>
            </w:tcBorders>
            <w:shd w:color="auto" w:fill="deeaf6"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6.157,00</w:t>
            </w:r>
          </w:p>
        </w:tc>
      </w:tr>
      <w:tr>
        <w:trPr>
          <w:trHeight w:val="454" w:hRule="auto"/>
          <w:jc w:val="left"/>
        </w:trPr>
        <w:tc>
          <w:tcPr>
            <w:tcW w:w="988" w:type="dxa"/>
            <w:tcBorders>
              <w:top w:val="single" w:color="000000" w:sz="4"/>
              <w:left w:val="single" w:color="000000" w:sz="4"/>
              <w:bottom w:val="single" w:color="000000" w:sz="4"/>
              <w:right w:val="single" w:color="000000" w:sz="4"/>
            </w:tcBorders>
            <w:shd w:color="auto" w:fill="b4c6e7" w:val="clear"/>
            <w:tcMar>
              <w:left w:w="10" w:type="dxa"/>
              <w:right w:w="10"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Motorni benzin</w:t>
            </w:r>
          </w:p>
        </w:tc>
        <w:tc>
          <w:tcPr>
            <w:tcW w:w="1068"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961"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960"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826"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960"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3,25</w:t>
            </w:r>
          </w:p>
        </w:tc>
        <w:tc>
          <w:tcPr>
            <w:tcW w:w="835"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1059"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2.765,14</w:t>
            </w:r>
          </w:p>
        </w:tc>
        <w:tc>
          <w:tcPr>
            <w:tcW w:w="1189"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1174" w:type="dxa"/>
            <w:tcBorders>
              <w:top w:val="single" w:color="000000" w:sz="4"/>
              <w:left w:val="single" w:color="000000" w:sz="4"/>
              <w:bottom w:val="single" w:color="000000" w:sz="4"/>
              <w:right w:val="single" w:color="000000" w:sz="4"/>
            </w:tcBorders>
            <w:shd w:color="auto" w:fill="deeaf6"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2.768,39</w:t>
            </w:r>
          </w:p>
        </w:tc>
      </w:tr>
      <w:tr>
        <w:trPr>
          <w:trHeight w:val="284" w:hRule="auto"/>
          <w:jc w:val="left"/>
        </w:trPr>
        <w:tc>
          <w:tcPr>
            <w:tcW w:w="988" w:type="dxa"/>
            <w:tcBorders>
              <w:top w:val="single" w:color="000000" w:sz="4"/>
              <w:left w:val="single" w:color="000000" w:sz="4"/>
              <w:bottom w:val="single" w:color="000000" w:sz="4"/>
              <w:right w:val="single" w:color="000000" w:sz="4"/>
            </w:tcBorders>
            <w:shd w:color="auto" w:fill="b4c6e7" w:val="clear"/>
            <w:tcMar>
              <w:left w:w="10" w:type="dxa"/>
              <w:right w:w="10"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Lignit</w:t>
            </w:r>
          </w:p>
        </w:tc>
        <w:tc>
          <w:tcPr>
            <w:tcW w:w="1068"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315,76</w:t>
            </w:r>
          </w:p>
        </w:tc>
        <w:tc>
          <w:tcPr>
            <w:tcW w:w="961"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275,54</w:t>
            </w:r>
          </w:p>
        </w:tc>
        <w:tc>
          <w:tcPr>
            <w:tcW w:w="960"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9.102,51</w:t>
            </w:r>
          </w:p>
        </w:tc>
        <w:tc>
          <w:tcPr>
            <w:tcW w:w="826"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960"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835"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1059"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1189"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1174" w:type="dxa"/>
            <w:tcBorders>
              <w:top w:val="single" w:color="000000" w:sz="4"/>
              <w:left w:val="single" w:color="000000" w:sz="4"/>
              <w:bottom w:val="single" w:color="000000" w:sz="4"/>
              <w:right w:val="single" w:color="000000" w:sz="4"/>
            </w:tcBorders>
            <w:shd w:color="auto" w:fill="deeaf6"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9.693,80</w:t>
            </w:r>
          </w:p>
        </w:tc>
      </w:tr>
      <w:tr>
        <w:trPr>
          <w:trHeight w:val="284" w:hRule="auto"/>
          <w:jc w:val="left"/>
        </w:trPr>
        <w:tc>
          <w:tcPr>
            <w:tcW w:w="988" w:type="dxa"/>
            <w:tcBorders>
              <w:top w:val="single" w:color="000000" w:sz="4"/>
              <w:left w:val="single" w:color="000000" w:sz="4"/>
              <w:bottom w:val="single" w:color="000000" w:sz="4"/>
              <w:right w:val="single" w:color="000000" w:sz="4"/>
            </w:tcBorders>
            <w:shd w:color="auto" w:fill="b4c6e7" w:val="clear"/>
            <w:tcMar>
              <w:left w:w="10" w:type="dxa"/>
              <w:right w:w="10"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Mrki ugalj</w:t>
            </w:r>
          </w:p>
        </w:tc>
        <w:tc>
          <w:tcPr>
            <w:tcW w:w="1068"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295,81</w:t>
            </w:r>
          </w:p>
        </w:tc>
        <w:tc>
          <w:tcPr>
            <w:tcW w:w="961"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258,13</w:t>
            </w:r>
          </w:p>
        </w:tc>
        <w:tc>
          <w:tcPr>
            <w:tcW w:w="960"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8.527,35</w:t>
            </w:r>
          </w:p>
        </w:tc>
        <w:tc>
          <w:tcPr>
            <w:tcW w:w="826"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960"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835"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1059"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1189"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1174" w:type="dxa"/>
            <w:tcBorders>
              <w:top w:val="single" w:color="000000" w:sz="4"/>
              <w:left w:val="single" w:color="000000" w:sz="4"/>
              <w:bottom w:val="single" w:color="000000" w:sz="4"/>
              <w:right w:val="single" w:color="000000" w:sz="4"/>
            </w:tcBorders>
            <w:shd w:color="auto" w:fill="deeaf6"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9.081,28</w:t>
            </w:r>
          </w:p>
        </w:tc>
      </w:tr>
      <w:tr>
        <w:trPr>
          <w:trHeight w:val="284" w:hRule="auto"/>
          <w:jc w:val="left"/>
        </w:trPr>
        <w:tc>
          <w:tcPr>
            <w:tcW w:w="988" w:type="dxa"/>
            <w:tcBorders>
              <w:top w:val="single" w:color="000000" w:sz="4"/>
              <w:left w:val="single" w:color="000000" w:sz="4"/>
              <w:bottom w:val="single" w:color="000000" w:sz="4"/>
              <w:right w:val="single" w:color="000000" w:sz="4"/>
            </w:tcBorders>
            <w:shd w:color="auto" w:fill="b4c6e7" w:val="clear"/>
            <w:tcMar>
              <w:left w:w="10" w:type="dxa"/>
              <w:right w:w="10"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Biomasa</w:t>
            </w:r>
          </w:p>
        </w:tc>
        <w:tc>
          <w:tcPr>
            <w:tcW w:w="1068"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48,39</w:t>
            </w:r>
          </w:p>
        </w:tc>
        <w:tc>
          <w:tcPr>
            <w:tcW w:w="961"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960"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1.537,25</w:t>
            </w:r>
          </w:p>
        </w:tc>
        <w:tc>
          <w:tcPr>
            <w:tcW w:w="826"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960"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835"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1059"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1189"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1174" w:type="dxa"/>
            <w:tcBorders>
              <w:top w:val="single" w:color="000000" w:sz="4"/>
              <w:left w:val="single" w:color="000000" w:sz="4"/>
              <w:bottom w:val="single" w:color="000000" w:sz="4"/>
              <w:right w:val="single" w:color="000000" w:sz="4"/>
            </w:tcBorders>
            <w:shd w:color="auto" w:fill="deeaf6"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1.585,65</w:t>
            </w:r>
          </w:p>
        </w:tc>
      </w:tr>
      <w:tr>
        <w:trPr>
          <w:trHeight w:val="510" w:hRule="auto"/>
          <w:jc w:val="left"/>
        </w:trPr>
        <w:tc>
          <w:tcPr>
            <w:tcW w:w="988" w:type="dxa"/>
            <w:tcBorders>
              <w:top w:val="single" w:color="000000" w:sz="4"/>
              <w:left w:val="single" w:color="000000" w:sz="4"/>
              <w:bottom w:val="single" w:color="000000" w:sz="4"/>
              <w:right w:val="single" w:color="000000" w:sz="4"/>
            </w:tcBorders>
            <w:shd w:color="auto" w:fill="b4c6e7" w:val="clear"/>
            <w:tcMar>
              <w:left w:w="10" w:type="dxa"/>
              <w:right w:w="10"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UKUPNO PO SEKTORIMA</w:t>
            </w:r>
          </w:p>
        </w:tc>
        <w:tc>
          <w:tcPr>
            <w:tcW w:w="1068" w:type="dxa"/>
            <w:tcBorders>
              <w:top w:val="single" w:color="000000" w:sz="4"/>
              <w:left w:val="single" w:color="000000" w:sz="4"/>
              <w:bottom w:val="single" w:color="000000" w:sz="4"/>
              <w:right w:val="single" w:color="000000" w:sz="4"/>
            </w:tcBorders>
            <w:shd w:color="auto" w:fill="deeaf6"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826,39</w:t>
            </w:r>
          </w:p>
        </w:tc>
        <w:tc>
          <w:tcPr>
            <w:tcW w:w="961" w:type="dxa"/>
            <w:tcBorders>
              <w:top w:val="single" w:color="000000" w:sz="4"/>
              <w:left w:val="single" w:color="000000" w:sz="4"/>
              <w:bottom w:val="single" w:color="000000" w:sz="4"/>
              <w:right w:val="single" w:color="000000" w:sz="4"/>
            </w:tcBorders>
            <w:shd w:color="auto" w:fill="deeaf6"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544,67</w:t>
            </w:r>
          </w:p>
        </w:tc>
        <w:tc>
          <w:tcPr>
            <w:tcW w:w="960" w:type="dxa"/>
            <w:tcBorders>
              <w:top w:val="single" w:color="000000" w:sz="4"/>
              <w:left w:val="single" w:color="000000" w:sz="4"/>
              <w:bottom w:val="single" w:color="000000" w:sz="4"/>
              <w:right w:val="single" w:color="000000" w:sz="4"/>
            </w:tcBorders>
            <w:shd w:color="auto" w:fill="deeaf6"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19.390,47</w:t>
            </w:r>
          </w:p>
        </w:tc>
        <w:tc>
          <w:tcPr>
            <w:tcW w:w="826" w:type="dxa"/>
            <w:tcBorders>
              <w:top w:val="single" w:color="000000" w:sz="4"/>
              <w:left w:val="single" w:color="000000" w:sz="4"/>
              <w:bottom w:val="single" w:color="000000" w:sz="4"/>
              <w:right w:val="single" w:color="000000" w:sz="4"/>
            </w:tcBorders>
            <w:shd w:color="auto" w:fill="deeaf6"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417,77</w:t>
            </w:r>
          </w:p>
        </w:tc>
        <w:tc>
          <w:tcPr>
            <w:tcW w:w="960" w:type="dxa"/>
            <w:tcBorders>
              <w:top w:val="single" w:color="000000" w:sz="4"/>
              <w:left w:val="single" w:color="000000" w:sz="4"/>
              <w:bottom w:val="single" w:color="000000" w:sz="4"/>
              <w:right w:val="single" w:color="000000" w:sz="4"/>
            </w:tcBorders>
            <w:shd w:color="auto" w:fill="deeaf6"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66,03</w:t>
            </w:r>
          </w:p>
        </w:tc>
        <w:tc>
          <w:tcPr>
            <w:tcW w:w="835" w:type="dxa"/>
            <w:tcBorders>
              <w:top w:val="single" w:color="000000" w:sz="4"/>
              <w:left w:val="single" w:color="000000" w:sz="4"/>
              <w:bottom w:val="single" w:color="000000" w:sz="4"/>
              <w:right w:val="single" w:color="000000" w:sz="4"/>
            </w:tcBorders>
            <w:shd w:color="auto" w:fill="deeaf6"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517,59</w:t>
            </w:r>
          </w:p>
        </w:tc>
        <w:tc>
          <w:tcPr>
            <w:tcW w:w="1059" w:type="dxa"/>
            <w:tcBorders>
              <w:top w:val="single" w:color="000000" w:sz="4"/>
              <w:left w:val="single" w:color="000000" w:sz="4"/>
              <w:bottom w:val="single" w:color="000000" w:sz="4"/>
              <w:right w:val="single" w:color="000000" w:sz="4"/>
            </w:tcBorders>
            <w:shd w:color="auto" w:fill="deeaf6"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8.341,76</w:t>
            </w:r>
          </w:p>
        </w:tc>
        <w:tc>
          <w:tcPr>
            <w:tcW w:w="1189" w:type="dxa"/>
            <w:tcBorders>
              <w:top w:val="single" w:color="000000" w:sz="4"/>
              <w:left w:val="single" w:color="000000" w:sz="4"/>
              <w:bottom w:val="single" w:color="000000" w:sz="4"/>
              <w:right w:val="single" w:color="000000" w:sz="4"/>
            </w:tcBorders>
            <w:shd w:color="auto" w:fill="deeaf6" w:val="clear"/>
            <w:tcMar>
              <w:left w:w="10" w:type="dxa"/>
              <w:right w:w="10" w:type="dxa"/>
            </w:tcMar>
            <w:vAlign w:val="center"/>
          </w:tcPr>
          <w:p>
            <w:pPr>
              <w:keepNext w:val="true"/>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232,20</w:t>
            </w:r>
          </w:p>
        </w:tc>
        <w:tc>
          <w:tcPr>
            <w:tcW w:w="1174" w:type="dxa"/>
            <w:tcBorders>
              <w:top w:val="single" w:color="000000" w:sz="4"/>
              <w:left w:val="single" w:color="000000" w:sz="4"/>
              <w:bottom w:val="single" w:color="000000" w:sz="4"/>
              <w:right w:val="single" w:color="000000" w:sz="4"/>
            </w:tcBorders>
            <w:shd w:color="auto" w:fill="deeaf6" w:val="clear"/>
            <w:tcMar>
              <w:left w:w="10" w:type="dxa"/>
              <w:right w:w="10" w:type="dxa"/>
            </w:tcMar>
            <w:vAlign w:val="center"/>
          </w:tcPr>
          <w:p>
            <w:pPr>
              <w:keepNext w:val="true"/>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30.336,89</w:t>
            </w:r>
          </w:p>
        </w:tc>
      </w:tr>
    </w:tbl>
    <w:p>
      <w:pPr>
        <w:spacing w:before="60" w:after="160" w:line="240"/>
        <w:ind w:right="0" w:left="0" w:firstLine="0"/>
        <w:jc w:val="center"/>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Tabela 521: Bazni inventar emisija CO</w:t>
      </w:r>
      <w:r>
        <w:rPr>
          <w:rFonts w:ascii="Calibri" w:hAnsi="Calibri" w:cs="Calibri" w:eastAsia="Calibri"/>
          <w:color w:val="auto"/>
          <w:spacing w:val="0"/>
          <w:position w:val="0"/>
          <w:sz w:val="18"/>
          <w:shd w:fill="auto" w:val="clear"/>
          <w:vertAlign w:val="subscript"/>
        </w:rPr>
        <w:t xml:space="preserve">2 </w:t>
      </w:r>
      <w:r>
        <w:rPr>
          <w:rFonts w:ascii="Calibri" w:hAnsi="Calibri" w:cs="Calibri" w:eastAsia="Calibri"/>
          <w:color w:val="auto"/>
          <w:spacing w:val="0"/>
          <w:position w:val="0"/>
          <w:sz w:val="18"/>
          <w:shd w:fill="auto" w:val="clear"/>
        </w:rPr>
        <w:t xml:space="preserve"> iz svih razmatranih sektora finalne energetske potrošnje</w:t>
      </w:r>
    </w:p>
    <w:p>
      <w:pPr>
        <w:spacing w:before="120" w:after="12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U</w:t>
      </w:r>
      <w:r>
        <w:rPr>
          <w:rFonts w:ascii="Calibri" w:hAnsi="Calibri" w:cs="Calibri" w:eastAsia="Calibri"/>
          <w:color w:val="auto"/>
          <w:spacing w:val="0"/>
          <w:position w:val="0"/>
          <w:sz w:val="20"/>
          <w:shd w:fill="auto" w:val="clear"/>
        </w:rPr>
        <w:t xml:space="preserve">češće pojedinih sektora i energenata u ukupnim emisijama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prikazano je u narednim dijagramima. </w:t>
      </w:r>
    </w:p>
    <w:tbl>
      <w:tblPr/>
      <w:tblGrid>
        <w:gridCol w:w="5256"/>
        <w:gridCol w:w="5196"/>
      </w:tblGrid>
      <w:tr>
        <w:trPr>
          <w:trHeight w:val="1" w:hRule="atLeast"/>
          <w:jc w:val="left"/>
        </w:trPr>
        <w:tc>
          <w:tcPr>
            <w:tcW w:w="5256"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p>
            <w:pPr>
              <w:spacing w:before="60" w:after="16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Dijagram 516: Udio razmatranih sektora u ukupnim emisijama CO</w:t>
            </w:r>
            <w:r>
              <w:rPr>
                <w:rFonts w:ascii="Calibri" w:hAnsi="Calibri" w:cs="Calibri" w:eastAsia="Calibri"/>
                <w:color w:val="auto"/>
                <w:spacing w:val="0"/>
                <w:position w:val="0"/>
                <w:sz w:val="18"/>
                <w:shd w:fill="auto" w:val="clear"/>
                <w:vertAlign w:val="subscript"/>
              </w:rPr>
              <w:t xml:space="preserve">2</w:t>
            </w:r>
            <w:r>
              <w:rPr>
                <w:rFonts w:ascii="Calibri" w:hAnsi="Calibri" w:cs="Calibri" w:eastAsia="Calibri"/>
                <w:color w:val="auto"/>
                <w:spacing w:val="0"/>
                <w:position w:val="0"/>
                <w:sz w:val="18"/>
                <w:shd w:fill="auto" w:val="clear"/>
              </w:rPr>
              <w:t xml:space="preserve"> u baznoj godini</w:t>
            </w:r>
          </w:p>
        </w:tc>
        <w:tc>
          <w:tcPr>
            <w:tcW w:w="5196"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p>
            <w:pPr>
              <w:spacing w:before="60" w:after="16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Dijagram 517: Udio razmatranih energenata u ukupnim emisijama CO</w:t>
            </w:r>
            <w:r>
              <w:rPr>
                <w:rFonts w:ascii="Calibri" w:hAnsi="Calibri" w:cs="Calibri" w:eastAsia="Calibri"/>
                <w:color w:val="auto"/>
                <w:spacing w:val="0"/>
                <w:position w:val="0"/>
                <w:sz w:val="18"/>
                <w:shd w:fill="auto" w:val="clear"/>
                <w:vertAlign w:val="subscript"/>
              </w:rPr>
              <w:t xml:space="preserve">2</w:t>
            </w:r>
            <w:r>
              <w:rPr>
                <w:rFonts w:ascii="Calibri" w:hAnsi="Calibri" w:cs="Calibri" w:eastAsia="Calibri"/>
                <w:color w:val="auto"/>
                <w:spacing w:val="0"/>
                <w:position w:val="0"/>
                <w:sz w:val="18"/>
                <w:shd w:fill="auto" w:val="clear"/>
              </w:rPr>
              <w:t xml:space="preserve"> u baznoj godini</w:t>
            </w:r>
          </w:p>
        </w:tc>
      </w:tr>
    </w:tbl>
    <w:p>
      <w:pPr>
        <w:spacing w:before="60" w:after="0" w:line="240"/>
        <w:ind w:right="0" w:left="0" w:firstLine="0"/>
        <w:jc w:val="both"/>
        <w:rPr>
          <w:rFonts w:ascii="Calibri" w:hAnsi="Calibri" w:cs="Calibri" w:eastAsia="Calibri"/>
          <w:color w:val="auto"/>
          <w:spacing w:val="0"/>
          <w:position w:val="0"/>
          <w:sz w:val="20"/>
          <w:shd w:fill="FFFF00" w:val="clear"/>
        </w:rPr>
      </w:pPr>
      <w:r>
        <w:rPr>
          <w:rFonts w:ascii="Calibri" w:hAnsi="Calibri" w:cs="Calibri" w:eastAsia="Calibri"/>
          <w:color w:val="auto"/>
          <w:spacing w:val="0"/>
          <w:position w:val="0"/>
          <w:sz w:val="20"/>
          <w:shd w:fill="auto" w:val="clear"/>
        </w:rPr>
        <w:t xml:space="preserve">Ukupni bazni inventar emisija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iznosi </w:t>
      </w:r>
      <w:r>
        <w:rPr>
          <w:rFonts w:ascii="Calibri" w:hAnsi="Calibri" w:cs="Calibri" w:eastAsia="Calibri"/>
          <w:b/>
          <w:color w:val="auto"/>
          <w:spacing w:val="0"/>
          <w:position w:val="0"/>
          <w:sz w:val="20"/>
          <w:shd w:fill="auto" w:val="clear"/>
        </w:rPr>
        <w:t xml:space="preserve">30.336,89 t. </w:t>
      </w:r>
      <w:r>
        <w:rPr>
          <w:rFonts w:ascii="Calibri" w:hAnsi="Calibri" w:cs="Calibri" w:eastAsia="Calibri"/>
          <w:color w:val="auto"/>
          <w:spacing w:val="0"/>
          <w:position w:val="0"/>
          <w:sz w:val="20"/>
          <w:shd w:fill="auto" w:val="clear"/>
        </w:rPr>
        <w:t xml:space="preserve">Iz </w:t>
      </w:r>
      <w:r>
        <w:rPr>
          <w:rFonts w:ascii="Calibri" w:hAnsi="Calibri" w:cs="Calibri" w:eastAsia="Calibri"/>
          <w:i/>
          <w:color w:val="auto"/>
          <w:spacing w:val="0"/>
          <w:position w:val="0"/>
          <w:sz w:val="20"/>
          <w:shd w:fill="auto" w:val="clear"/>
        </w:rPr>
        <w:t xml:space="preserve">Dijagrama 5-16</w:t>
      </w:r>
      <w:r>
        <w:rPr>
          <w:rFonts w:ascii="Calibri" w:hAnsi="Calibri" w:cs="Calibri" w:eastAsia="Calibri"/>
          <w:color w:val="auto"/>
          <w:spacing w:val="0"/>
          <w:position w:val="0"/>
          <w:sz w:val="20"/>
          <w:shd w:fill="auto" w:val="clear"/>
        </w:rPr>
        <w:t xml:space="preserve"> je evidentno da je </w:t>
      </w:r>
      <w:r>
        <w:rPr>
          <w:rFonts w:ascii="Calibri" w:hAnsi="Calibri" w:cs="Calibri" w:eastAsia="Calibri"/>
          <w:b/>
          <w:color w:val="auto"/>
          <w:spacing w:val="0"/>
          <w:position w:val="0"/>
          <w:sz w:val="20"/>
          <w:shd w:fill="auto" w:val="clear"/>
        </w:rPr>
        <w:t xml:space="preserve">najve</w:t>
      </w:r>
      <w:r>
        <w:rPr>
          <w:rFonts w:ascii="Calibri" w:hAnsi="Calibri" w:cs="Calibri" w:eastAsia="Calibri"/>
          <w:b/>
          <w:color w:val="auto"/>
          <w:spacing w:val="0"/>
          <w:position w:val="0"/>
          <w:sz w:val="20"/>
          <w:shd w:fill="auto" w:val="clear"/>
        </w:rPr>
        <w:t xml:space="preserve">ći izvor emisija podsektor stambenih zgrada sa 19.390,47 tCO</w:t>
      </w:r>
      <w:r>
        <w:rPr>
          <w:rFonts w:ascii="Calibri" w:hAnsi="Calibri" w:cs="Calibri" w:eastAsia="Calibri"/>
          <w:b/>
          <w:color w:val="auto"/>
          <w:spacing w:val="0"/>
          <w:position w:val="0"/>
          <w:sz w:val="20"/>
          <w:shd w:fill="auto" w:val="clear"/>
          <w:vertAlign w:val="subscript"/>
        </w:rPr>
        <w:t xml:space="preserve">2</w:t>
      </w:r>
      <w:r>
        <w:rPr>
          <w:rFonts w:ascii="Calibri" w:hAnsi="Calibri" w:cs="Calibri" w:eastAsia="Calibri"/>
          <w:b/>
          <w:color w:val="auto"/>
          <w:spacing w:val="0"/>
          <w:position w:val="0"/>
          <w:sz w:val="20"/>
          <w:shd w:fill="auto" w:val="clear"/>
        </w:rPr>
        <w:t xml:space="preserve"> što predstavlja 63,92% emisija iz ukupnog baznog inventara CO</w:t>
      </w:r>
      <w:r>
        <w:rPr>
          <w:rFonts w:ascii="Calibri" w:hAnsi="Calibri" w:cs="Calibri" w:eastAsia="Calibri"/>
          <w:b/>
          <w:color w:val="auto"/>
          <w:spacing w:val="0"/>
          <w:position w:val="0"/>
          <w:sz w:val="20"/>
          <w:shd w:fill="auto" w:val="clear"/>
          <w:vertAlign w:val="subscript"/>
        </w:rPr>
        <w:t xml:space="preserve">2</w:t>
      </w:r>
      <w:r>
        <w:rPr>
          <w:rFonts w:ascii="Calibri" w:hAnsi="Calibri" w:cs="Calibri" w:eastAsia="Calibri"/>
          <w:b/>
          <w:color w:val="auto"/>
          <w:spacing w:val="0"/>
          <w:position w:val="0"/>
          <w:sz w:val="20"/>
          <w:shd w:fill="auto" w:val="clear"/>
        </w:rPr>
        <w:t xml:space="preserve">. Nakon toga slijedi podsektor osobnih i komercijalnih vozila sa 8.341,76 tCO</w:t>
      </w:r>
      <w:r>
        <w:rPr>
          <w:rFonts w:ascii="Calibri" w:hAnsi="Calibri" w:cs="Calibri" w:eastAsia="Calibri"/>
          <w:b/>
          <w:color w:val="auto"/>
          <w:spacing w:val="0"/>
          <w:position w:val="0"/>
          <w:sz w:val="20"/>
          <w:shd w:fill="auto" w:val="clear"/>
          <w:vertAlign w:val="subscript"/>
        </w:rPr>
        <w:t xml:space="preserve">2</w:t>
      </w:r>
      <w:r>
        <w:rPr>
          <w:rFonts w:ascii="Calibri" w:hAnsi="Calibri" w:cs="Calibri" w:eastAsia="Calibri"/>
          <w:b/>
          <w:color w:val="auto"/>
          <w:spacing w:val="0"/>
          <w:position w:val="0"/>
          <w:sz w:val="20"/>
          <w:shd w:fill="auto" w:val="clear"/>
        </w:rPr>
        <w:t xml:space="preserve"> odnosno 27,50% učešća u ukupnom baznom inventaru emisija. </w:t>
      </w:r>
      <w:r>
        <w:rPr>
          <w:rFonts w:ascii="Calibri" w:hAnsi="Calibri" w:cs="Calibri" w:eastAsia="Calibri"/>
          <w:color w:val="auto"/>
          <w:spacing w:val="0"/>
          <w:position w:val="0"/>
          <w:sz w:val="20"/>
          <w:shd w:fill="auto" w:val="clear"/>
        </w:rPr>
        <w:t xml:space="preserve">Ostali podsektori učestvuju u znatno manjem obimu, i to javne zgrade u vlasništvu Općine sa 2,72%, javne zgrade koje nisu u vlasništvu Općine sa 1,80%,  javni prijevoz sa 1,71%, javna rasvjeta sa 1,38%,  vodosnabdijevanje sa 0,77%, i vozila u vlasništvu Općine sa 0,22%.</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Energenti sa najve</w:t>
      </w:r>
      <w:r>
        <w:rPr>
          <w:rFonts w:ascii="Calibri" w:hAnsi="Calibri" w:cs="Calibri" w:eastAsia="Calibri"/>
          <w:color w:val="auto"/>
          <w:spacing w:val="0"/>
          <w:position w:val="0"/>
          <w:sz w:val="20"/>
          <w:shd w:fill="auto" w:val="clear"/>
        </w:rPr>
        <w:t xml:space="preserve">ćim učešćem u emisijama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su lignit sa 9.693,80 tCO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što predstavlja 31,95% od emisije iz ukupnog baznog inventara, i mrki ugalj 9.081,28 tCO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odnosno učešćem od 29,93% emisija iz ukupnog baznog inventara emisija. Osim lignita i mrkog uglja, dominantni energenti u emisijama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su dizel sa 6.157,00 tCO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odnosno 20,30% uščešća, i motorni benzin sa 2.768,39 tCO</w:t>
      </w:r>
      <w:r>
        <w:rPr>
          <w:rFonts w:ascii="Calibri" w:hAnsi="Calibri" w:cs="Calibri" w:eastAsia="Calibri"/>
          <w:color w:val="auto"/>
          <w:spacing w:val="0"/>
          <w:position w:val="0"/>
          <w:sz w:val="20"/>
          <w:shd w:fill="auto" w:val="clear"/>
          <w:vertAlign w:val="subscript"/>
        </w:rPr>
        <w:t xml:space="preserve">2 </w:t>
      </w:r>
      <w:r>
        <w:rPr>
          <w:rFonts w:ascii="Calibri" w:hAnsi="Calibri" w:cs="Calibri" w:eastAsia="Calibri"/>
          <w:color w:val="auto"/>
          <w:spacing w:val="0"/>
          <w:position w:val="0"/>
          <w:sz w:val="20"/>
          <w:shd w:fill="auto" w:val="clear"/>
        </w:rPr>
        <w:t xml:space="preserve">odnosno 9,13% učešća. Emisije lignita i mrkog uglja su najzastupljenije u podsektoru stambenih zgrada, dok su u podsektoru osobnih i komercijalnih vozila najveće emisije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nastale potrošnjom dizela (5.576,62 tCO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i motornog benzina (2.765,14 tCO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Zatim slijedi biomasa sa 5,23%, te električna energija sa 3,18%, lož ulje sa 0,17% i prirodni plin sa 0,11% učešća u ukupnm emisijama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w:t>
      </w:r>
    </w:p>
    <w:p>
      <w:pPr>
        <w:keepNext w:val="true"/>
        <w:keepLines w:val="true"/>
        <w:numPr>
          <w:ilvl w:val="0"/>
          <w:numId w:val="1321"/>
        </w:numPr>
        <w:spacing w:before="240" w:after="0" w:line="240"/>
        <w:ind w:right="0" w:left="578" w:hanging="578"/>
        <w:jc w:val="both"/>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Prora</w:t>
      </w:r>
      <w:r>
        <w:rPr>
          <w:rFonts w:ascii="Calibri" w:hAnsi="Calibri" w:cs="Calibri" w:eastAsia="Calibri"/>
          <w:b/>
          <w:color w:val="auto"/>
          <w:spacing w:val="0"/>
          <w:position w:val="0"/>
          <w:sz w:val="28"/>
          <w:shd w:fill="auto" w:val="clear"/>
        </w:rPr>
        <w:t xml:space="preserve">čun kontrolnog inventara emisija CO</w:t>
      </w:r>
      <w:r>
        <w:rPr>
          <w:rFonts w:ascii="Calibri" w:hAnsi="Calibri" w:cs="Calibri" w:eastAsia="Calibri"/>
          <w:b/>
          <w:color w:val="auto"/>
          <w:spacing w:val="0"/>
          <w:position w:val="0"/>
          <w:sz w:val="28"/>
          <w:shd w:fill="auto" w:val="clear"/>
          <w:vertAlign w:val="subscript"/>
        </w:rPr>
        <w:t xml:space="preserve">2</w:t>
      </w:r>
      <w:r>
        <w:rPr>
          <w:rFonts w:ascii="Calibri" w:hAnsi="Calibri" w:cs="Calibri" w:eastAsia="Calibri"/>
          <w:b/>
          <w:color w:val="auto"/>
          <w:spacing w:val="0"/>
          <w:position w:val="0"/>
          <w:sz w:val="28"/>
          <w:shd w:fill="auto" w:val="clear"/>
        </w:rPr>
        <w:t xml:space="preserve"> u 2020. godini</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Kontrolni inventar emisija predstavlja godišnji nivo emisija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u kontrolnoj 2020. godini, i odre</w:t>
      </w:r>
      <w:r>
        <w:rPr>
          <w:rFonts w:ascii="Calibri" w:hAnsi="Calibri" w:cs="Calibri" w:eastAsia="Calibri"/>
          <w:color w:val="auto"/>
          <w:spacing w:val="0"/>
          <w:position w:val="0"/>
          <w:sz w:val="20"/>
          <w:shd w:fill="auto" w:val="clear"/>
        </w:rPr>
        <w:t xml:space="preserve">đuje se kao razlika između baznog inventara emisija za 2010. godinu i iznosa smanjenja emisija koji je rezultat mjera energetske efikasnosti realiziranih u periodu od 2010. do 2020. godine.  Navedeni iznos smanjenja emisija dobiven je kao proizvod iznosa energetskih ušteda ostvarenih primjenom mjera energetske efikasnosti u periodu od 2010. do 2020. godine u razmatranim sektorima, i odgovarajućih emisionih faktora za korištene energente. </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Svrha izrade kotrolnog inventara je utvr</w:t>
      </w:r>
      <w:r>
        <w:rPr>
          <w:rFonts w:ascii="Calibri" w:hAnsi="Calibri" w:cs="Calibri" w:eastAsia="Calibri"/>
          <w:color w:val="auto"/>
          <w:spacing w:val="0"/>
          <w:position w:val="0"/>
          <w:sz w:val="20"/>
          <w:shd w:fill="auto" w:val="clear"/>
        </w:rPr>
        <w:t xml:space="preserve">đivanje dosadašnjeg napretka općine Doboj Istok u smanjenju emisija stakleničkih gasova, odnosno utvrđivanje preostalog iznosa smanjenja emisija u odnosu na postavljeni cilj smanjenja emisija CO</w:t>
      </w:r>
      <w:r>
        <w:rPr>
          <w:rFonts w:ascii="Calibri" w:hAnsi="Calibri" w:cs="Calibri" w:eastAsia="Calibri"/>
          <w:color w:val="auto"/>
          <w:spacing w:val="0"/>
          <w:position w:val="0"/>
          <w:sz w:val="20"/>
          <w:shd w:fill="auto" w:val="clear"/>
          <w:vertAlign w:val="subscript"/>
        </w:rPr>
        <w:t xml:space="preserve">2 </w:t>
      </w:r>
      <w:r>
        <w:rPr>
          <w:rFonts w:ascii="Calibri" w:hAnsi="Calibri" w:cs="Calibri" w:eastAsia="Calibri"/>
          <w:color w:val="auto"/>
          <w:spacing w:val="0"/>
          <w:position w:val="0"/>
          <w:sz w:val="20"/>
          <w:shd w:fill="auto" w:val="clear"/>
        </w:rPr>
        <w:t xml:space="preserve">za najmanje 40% do 2030. godine u odnosu na baznu 2010. godinu.</w:t>
      </w:r>
    </w:p>
    <w:p>
      <w:pPr>
        <w:keepNext w:val="true"/>
        <w:keepLines w:val="true"/>
        <w:numPr>
          <w:ilvl w:val="0"/>
          <w:numId w:val="1323"/>
        </w:numPr>
        <w:spacing w:before="120" w:after="0" w:line="240"/>
        <w:ind w:right="0" w:left="720" w:hanging="72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Emisije CO</w:t>
      </w:r>
      <w:r>
        <w:rPr>
          <w:rFonts w:ascii="Calibri" w:hAnsi="Calibri" w:cs="Calibri" w:eastAsia="Calibri"/>
          <w:b/>
          <w:color w:val="auto"/>
          <w:spacing w:val="0"/>
          <w:position w:val="0"/>
          <w:sz w:val="24"/>
          <w:shd w:fill="auto" w:val="clear"/>
          <w:vertAlign w:val="subscript"/>
        </w:rPr>
        <w:t xml:space="preserve">2</w:t>
      </w:r>
      <w:r>
        <w:rPr>
          <w:rFonts w:ascii="Calibri" w:hAnsi="Calibri" w:cs="Calibri" w:eastAsia="Calibri"/>
          <w:b/>
          <w:color w:val="auto"/>
          <w:spacing w:val="0"/>
          <w:position w:val="0"/>
          <w:sz w:val="24"/>
          <w:shd w:fill="auto" w:val="clear"/>
        </w:rPr>
        <w:t xml:space="preserve"> u kontrolnoj godini iz sektora zgradarstva</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Imaju</w:t>
      </w:r>
      <w:r>
        <w:rPr>
          <w:rFonts w:ascii="Calibri" w:hAnsi="Calibri" w:cs="Calibri" w:eastAsia="Calibri"/>
          <w:color w:val="auto"/>
          <w:spacing w:val="0"/>
          <w:position w:val="0"/>
          <w:sz w:val="20"/>
          <w:shd w:fill="auto" w:val="clear"/>
        </w:rPr>
        <w:t xml:space="preserve">ći u vidu da postoje značajne razlike između podsektora javnih i podsektora stambenih zgrada u pogledu dostupnosti podataka o mjerama energetske efikasnosti koje su na zgradama realizirane u posmatranom periodu od 2010. do 2020. godine, za njihovo prikupljanje su primijenjeni različiti pristupi. Kao što je navedeno u gornjem tekstu u Poglavlju 3.2.2.1, za javne zgrade su podaci najčešće prikupljani direktno od menadžmenta institucija koje te zgrade koriste, dok je za prikupljanje relevantnih podataka za stambene zgrade najprije provedena anketa na statističkom uzorku domaćinstava, vlasnika stambenih jedinica.</w:t>
      </w:r>
    </w:p>
    <w:p>
      <w:pPr>
        <w:keepNext w:val="true"/>
        <w:keepLines w:val="true"/>
        <w:numPr>
          <w:ilvl w:val="0"/>
          <w:numId w:val="1325"/>
        </w:numPr>
        <w:spacing w:before="120" w:after="0" w:line="240"/>
        <w:ind w:right="0" w:left="862" w:hanging="862"/>
        <w:jc w:val="both"/>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Emisije CO</w:t>
      </w:r>
      <w:r>
        <w:rPr>
          <w:rFonts w:ascii="Calibri" w:hAnsi="Calibri" w:cs="Calibri" w:eastAsia="Calibri"/>
          <w:b/>
          <w:color w:val="auto"/>
          <w:spacing w:val="0"/>
          <w:position w:val="0"/>
          <w:sz w:val="22"/>
          <w:shd w:fill="auto" w:val="clear"/>
          <w:vertAlign w:val="subscript"/>
        </w:rPr>
        <w:t xml:space="preserve">2 </w:t>
      </w:r>
      <w:r>
        <w:rPr>
          <w:rFonts w:ascii="Calibri" w:hAnsi="Calibri" w:cs="Calibri" w:eastAsia="Calibri"/>
          <w:b/>
          <w:color w:val="auto"/>
          <w:spacing w:val="0"/>
          <w:position w:val="0"/>
          <w:sz w:val="22"/>
          <w:shd w:fill="auto" w:val="clear"/>
        </w:rPr>
        <w:t xml:space="preserve"> u kontrolnoj godini iz podsektora javnih zgrada u vlasništvu Op</w:t>
      </w:r>
      <w:r>
        <w:rPr>
          <w:rFonts w:ascii="Calibri" w:hAnsi="Calibri" w:cs="Calibri" w:eastAsia="Calibri"/>
          <w:b/>
          <w:color w:val="auto"/>
          <w:spacing w:val="0"/>
          <w:position w:val="0"/>
          <w:sz w:val="22"/>
          <w:shd w:fill="auto" w:val="clear"/>
        </w:rPr>
        <w:t xml:space="preserve">ćine</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Kontrolnim inventarom emisija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obuhva</w:t>
      </w:r>
      <w:r>
        <w:rPr>
          <w:rFonts w:ascii="Calibri" w:hAnsi="Calibri" w:cs="Calibri" w:eastAsia="Calibri"/>
          <w:color w:val="auto"/>
          <w:spacing w:val="0"/>
          <w:position w:val="0"/>
          <w:sz w:val="20"/>
          <w:shd w:fill="auto" w:val="clear"/>
        </w:rPr>
        <w:t xml:space="preserve">ćena je ukupno 15 zgrada u okviru ovog podsektora. Od tog broja, 14 zgrada je izgrađeno prije bazne 2010. godine, dok su 2 zgrade nove, izgrađene u periodu od bazne 2010. do konntrolne 2020. godine.</w:t>
      </w:r>
    </w:p>
    <w:p>
      <w:pPr>
        <w:spacing w:before="60" w:after="12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Prvi korak pri odre</w:t>
      </w:r>
      <w:r>
        <w:rPr>
          <w:rFonts w:ascii="Calibri" w:hAnsi="Calibri" w:cs="Calibri" w:eastAsia="Calibri"/>
          <w:color w:val="auto"/>
          <w:spacing w:val="0"/>
          <w:position w:val="0"/>
          <w:sz w:val="20"/>
          <w:shd w:fill="auto" w:val="clear"/>
        </w:rPr>
        <w:t xml:space="preserve">đivanju potrebne finalne energije za grijanje javnih zgrada iz ovog podsektora u kontrolnoj 2020. godini, bilo je </w:t>
      </w:r>
      <w:r>
        <w:rPr>
          <w:rFonts w:ascii="Calibri" w:hAnsi="Calibri" w:cs="Calibri" w:eastAsia="Calibri"/>
          <w:b/>
          <w:color w:val="auto"/>
          <w:spacing w:val="0"/>
          <w:position w:val="0"/>
          <w:sz w:val="20"/>
          <w:shd w:fill="auto" w:val="clear"/>
        </w:rPr>
        <w:t xml:space="preserve">određivanje energetskih ušteda ostvarenih u periodu od 2010. do 2020. godine realizacijom mjera energetske efikasnosti</w:t>
      </w:r>
      <w:r>
        <w:rPr>
          <w:rFonts w:ascii="Calibri" w:hAnsi="Calibri" w:cs="Calibri" w:eastAsia="Calibri"/>
          <w:color w:val="auto"/>
          <w:spacing w:val="0"/>
          <w:position w:val="0"/>
          <w:sz w:val="20"/>
          <w:shd w:fill="auto" w:val="clear"/>
        </w:rPr>
        <w:t xml:space="preserve"> na ovim zgradama. Od  ukupno 15 zgrada iz ovog podsektora, koje su razmatrane u okviru određivanja baznog inventara emisija, na 9 zgrada su u tom periodu realizirane određene mjere energetske efikasnosti.  Realizirane mjere utopljavanja vanjske ovojnice (vanjskih zidova/fasade, krova/stropa i zamjena vanjskih otvora) javnih zgrada u vlasništvu Grada prikazane su u narednoj tabeli.</w:t>
      </w:r>
    </w:p>
    <w:tbl>
      <w:tblPr/>
      <w:tblGrid>
        <w:gridCol w:w="2720"/>
        <w:gridCol w:w="2720"/>
        <w:gridCol w:w="2880"/>
      </w:tblGrid>
      <w:tr>
        <w:trPr>
          <w:trHeight w:val="499" w:hRule="auto"/>
          <w:jc w:val="center"/>
        </w:trPr>
        <w:tc>
          <w:tcPr>
            <w:tcW w:w="8320" w:type="dxa"/>
            <w:gridSpan w:val="3"/>
            <w:tcBorders>
              <w:top w:val="single" w:color="000000" w:sz="4"/>
              <w:left w:val="single" w:color="000000" w:sz="4"/>
              <w:bottom w:val="single" w:color="000000" w:sz="4"/>
              <w:right w:val="single" w:color="000000" w:sz="4"/>
            </w:tcBorders>
            <w:shd w:color="auto" w:fill="bdd6ee"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MJERE NA OVOJNICI JAVNIH ZGRADA U VLASNIŠTVU OP</w:t>
            </w:r>
            <w:r>
              <w:rPr>
                <w:rFonts w:ascii="Calibri" w:hAnsi="Calibri" w:cs="Calibri" w:eastAsia="Calibri"/>
                <w:color w:val="000000"/>
                <w:spacing w:val="0"/>
                <w:position w:val="0"/>
                <w:sz w:val="18"/>
                <w:shd w:fill="auto" w:val="clear"/>
              </w:rPr>
              <w:t xml:space="preserve">ĆINE DOBOJ ISTOK</w:t>
              <w:br/>
            </w:r>
            <w:r>
              <w:rPr>
                <w:rFonts w:ascii="Calibri" w:hAnsi="Calibri" w:cs="Calibri" w:eastAsia="Calibri"/>
                <w:color w:val="000000"/>
                <w:spacing w:val="0"/>
                <w:position w:val="0"/>
                <w:sz w:val="18"/>
                <w:shd w:fill="auto" w:val="clear"/>
              </w:rPr>
              <w:t xml:space="preserve">REALIZIRANE U PERIODU 2010. - 2020. </w:t>
            </w:r>
          </w:p>
        </w:tc>
      </w:tr>
      <w:tr>
        <w:trPr>
          <w:trHeight w:val="570" w:hRule="auto"/>
          <w:jc w:val="center"/>
        </w:trPr>
        <w:tc>
          <w:tcPr>
            <w:tcW w:w="2720" w:type="dxa"/>
            <w:tcBorders>
              <w:top w:val="single" w:color="000000" w:sz="0"/>
              <w:left w:val="single" w:color="000000" w:sz="4"/>
              <w:bottom w:val="single" w:color="000000" w:sz="4"/>
              <w:right w:val="single" w:color="000000" w:sz="4"/>
            </w:tcBorders>
            <w:shd w:color="auto" w:fill="bdd6ee"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Površina termoizolovanih vanjskih zidova (m</w:t>
            </w:r>
            <w:r>
              <w:rPr>
                <w:rFonts w:ascii="Calibri" w:hAnsi="Calibri" w:cs="Calibri" w:eastAsia="Calibri"/>
                <w:color w:val="000000"/>
                <w:spacing w:val="0"/>
                <w:position w:val="0"/>
                <w:sz w:val="18"/>
                <w:shd w:fill="auto" w:val="clear"/>
                <w:vertAlign w:val="superscript"/>
              </w:rPr>
              <w:t xml:space="preserve">2</w:t>
            </w:r>
            <w:r>
              <w:rPr>
                <w:rFonts w:ascii="Calibri" w:hAnsi="Calibri" w:cs="Calibri" w:eastAsia="Calibri"/>
                <w:color w:val="000000"/>
                <w:spacing w:val="0"/>
                <w:position w:val="0"/>
                <w:sz w:val="18"/>
                <w:shd w:fill="auto" w:val="clear"/>
              </w:rPr>
              <w:t xml:space="preserve">)</w:t>
            </w:r>
          </w:p>
        </w:tc>
        <w:tc>
          <w:tcPr>
            <w:tcW w:w="2720" w:type="dxa"/>
            <w:tcBorders>
              <w:top w:val="single" w:color="000000" w:sz="0"/>
              <w:left w:val="single" w:color="000000" w:sz="0"/>
              <w:bottom w:val="single" w:color="000000" w:sz="4"/>
              <w:right w:val="single" w:color="000000" w:sz="4"/>
            </w:tcBorders>
            <w:shd w:color="auto" w:fill="bdd6ee"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Površina termoizolovanog stropa/krova (m</w:t>
            </w:r>
            <w:r>
              <w:rPr>
                <w:rFonts w:ascii="Calibri" w:hAnsi="Calibri" w:cs="Calibri" w:eastAsia="Calibri"/>
                <w:color w:val="000000"/>
                <w:spacing w:val="0"/>
                <w:position w:val="0"/>
                <w:sz w:val="18"/>
                <w:shd w:fill="auto" w:val="clear"/>
                <w:vertAlign w:val="superscript"/>
              </w:rPr>
              <w:t xml:space="preserve">2</w:t>
            </w:r>
            <w:r>
              <w:rPr>
                <w:rFonts w:ascii="Calibri" w:hAnsi="Calibri" w:cs="Calibri" w:eastAsia="Calibri"/>
                <w:color w:val="000000"/>
                <w:spacing w:val="0"/>
                <w:position w:val="0"/>
                <w:sz w:val="18"/>
                <w:shd w:fill="auto" w:val="clear"/>
              </w:rPr>
              <w:t xml:space="preserve">)</w:t>
            </w:r>
          </w:p>
        </w:tc>
        <w:tc>
          <w:tcPr>
            <w:tcW w:w="2880" w:type="dxa"/>
            <w:tcBorders>
              <w:top w:val="single" w:color="000000" w:sz="0"/>
              <w:left w:val="single" w:color="000000" w:sz="0"/>
              <w:bottom w:val="single" w:color="000000" w:sz="4"/>
              <w:right w:val="single" w:color="000000" w:sz="4"/>
            </w:tcBorders>
            <w:shd w:color="auto" w:fill="bdd6ee"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Površina zamijenjene vanjskih otvora (m</w:t>
            </w:r>
            <w:r>
              <w:rPr>
                <w:rFonts w:ascii="Calibri" w:hAnsi="Calibri" w:cs="Calibri" w:eastAsia="Calibri"/>
                <w:color w:val="000000"/>
                <w:spacing w:val="0"/>
                <w:position w:val="0"/>
                <w:sz w:val="18"/>
                <w:shd w:fill="auto" w:val="clear"/>
                <w:vertAlign w:val="superscript"/>
              </w:rPr>
              <w:t xml:space="preserve">2</w:t>
            </w:r>
            <w:r>
              <w:rPr>
                <w:rFonts w:ascii="Calibri" w:hAnsi="Calibri" w:cs="Calibri" w:eastAsia="Calibri"/>
                <w:color w:val="000000"/>
                <w:spacing w:val="0"/>
                <w:position w:val="0"/>
                <w:sz w:val="18"/>
                <w:shd w:fill="auto" w:val="clear"/>
              </w:rPr>
              <w:t xml:space="preserve">)</w:t>
            </w:r>
          </w:p>
        </w:tc>
      </w:tr>
      <w:tr>
        <w:trPr>
          <w:trHeight w:val="285" w:hRule="auto"/>
          <w:jc w:val="center"/>
        </w:trPr>
        <w:tc>
          <w:tcPr>
            <w:tcW w:w="272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420,00</w:t>
            </w:r>
          </w:p>
        </w:tc>
        <w:tc>
          <w:tcPr>
            <w:tcW w:w="2720" w:type="dxa"/>
            <w:tcBorders>
              <w:top w:val="single" w:color="000000" w:sz="4"/>
              <w:left w:val="single" w:color="000000" w:sz="0"/>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1.437,00</w:t>
            </w:r>
          </w:p>
        </w:tc>
        <w:tc>
          <w:tcPr>
            <w:tcW w:w="2880" w:type="dxa"/>
            <w:tcBorders>
              <w:top w:val="single" w:color="000000" w:sz="4"/>
              <w:left w:val="single" w:color="000000" w:sz="0"/>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288,00</w:t>
            </w:r>
          </w:p>
        </w:tc>
      </w:tr>
    </w:tbl>
    <w:p>
      <w:pPr>
        <w:spacing w:before="60" w:after="160" w:line="240"/>
        <w:ind w:right="0" w:left="0" w:firstLine="0"/>
        <w:jc w:val="center"/>
        <w:rPr>
          <w:rFonts w:ascii="Calibri" w:hAnsi="Calibri" w:cs="Calibri" w:eastAsia="Calibri"/>
          <w:color w:val="44546A"/>
          <w:spacing w:val="0"/>
          <w:position w:val="0"/>
          <w:sz w:val="18"/>
          <w:shd w:fill="auto" w:val="clear"/>
        </w:rPr>
      </w:pPr>
      <w:r>
        <w:rPr>
          <w:rFonts w:ascii="Calibri" w:hAnsi="Calibri" w:cs="Calibri" w:eastAsia="Calibri"/>
          <w:color w:val="auto"/>
          <w:spacing w:val="0"/>
          <w:position w:val="0"/>
          <w:sz w:val="18"/>
          <w:shd w:fill="auto" w:val="clear"/>
        </w:rPr>
        <w:t xml:space="preserve">Tabela 522: Zbirni pregled mjera energetske efikasnosti realiziranih u periodu 2010.–2020. na vanjskoj ovojnici javnih zgrada u vlasništvu Op</w:t>
      </w:r>
      <w:r>
        <w:rPr>
          <w:rFonts w:ascii="Calibri" w:hAnsi="Calibri" w:cs="Calibri" w:eastAsia="Calibri"/>
          <w:color w:val="auto"/>
          <w:spacing w:val="0"/>
          <w:position w:val="0"/>
          <w:sz w:val="18"/>
          <w:shd w:fill="auto" w:val="clear"/>
        </w:rPr>
        <w:t xml:space="preserve">ćine</w:t>
      </w:r>
    </w:p>
    <w:p>
      <w:pPr>
        <w:spacing w:before="60" w:after="12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Naredna tabela daje zbirni pregled mjera zamjene postoje</w:t>
      </w:r>
      <w:r>
        <w:rPr>
          <w:rFonts w:ascii="Calibri" w:hAnsi="Calibri" w:cs="Calibri" w:eastAsia="Calibri"/>
          <w:color w:val="auto"/>
          <w:spacing w:val="0"/>
          <w:position w:val="0"/>
          <w:sz w:val="20"/>
          <w:shd w:fill="auto" w:val="clear"/>
        </w:rPr>
        <w:t xml:space="preserve">ćih sistema grijanja sa efikasnijim sistemima i zamjene postojećih fosilnih energenta sa okolišno prihvatljivijim energentima, koje su realizirane u podsektoru javnih zgrada u vlasništvu Općine. </w:t>
      </w:r>
    </w:p>
    <w:tbl>
      <w:tblPr/>
      <w:tblGrid>
        <w:gridCol w:w="2813"/>
        <w:gridCol w:w="3119"/>
        <w:gridCol w:w="1129"/>
        <w:gridCol w:w="2254"/>
      </w:tblGrid>
      <w:tr>
        <w:trPr>
          <w:trHeight w:val="462" w:hRule="auto"/>
          <w:jc w:val="center"/>
        </w:trPr>
        <w:tc>
          <w:tcPr>
            <w:tcW w:w="9315" w:type="dxa"/>
            <w:gridSpan w:val="4"/>
            <w:tcBorders>
              <w:top w:val="single" w:color="000000" w:sz="4"/>
              <w:left w:val="single" w:color="000000" w:sz="4"/>
              <w:bottom w:val="single" w:color="000000" w:sz="4"/>
              <w:right w:val="single" w:color="000000" w:sz="4"/>
            </w:tcBorders>
            <w:shd w:color="auto" w:fill="dce6f1"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PROMJENE U SISTEMU GRIJANJA JAVNIH ZGRADA U VLASNIŠTVU OP</w:t>
            </w:r>
            <w:r>
              <w:rPr>
                <w:rFonts w:ascii="Calibri" w:hAnsi="Calibri" w:cs="Calibri" w:eastAsia="Calibri"/>
                <w:color w:val="000000"/>
                <w:spacing w:val="0"/>
                <w:position w:val="0"/>
                <w:sz w:val="18"/>
                <w:shd w:fill="auto" w:val="clear"/>
              </w:rPr>
              <w:t xml:space="preserve">ĆINE DOBOJ ISTOK</w:t>
              <w:br/>
            </w:r>
            <w:r>
              <w:rPr>
                <w:rFonts w:ascii="Calibri" w:hAnsi="Calibri" w:cs="Calibri" w:eastAsia="Calibri"/>
                <w:color w:val="000000"/>
                <w:spacing w:val="0"/>
                <w:position w:val="0"/>
                <w:sz w:val="18"/>
                <w:shd w:fill="auto" w:val="clear"/>
              </w:rPr>
              <w:t xml:space="preserve"> U PERIODU 2010. - 2020. </w:t>
            </w:r>
          </w:p>
        </w:tc>
      </w:tr>
      <w:tr>
        <w:trPr>
          <w:trHeight w:val="211" w:hRule="auto"/>
          <w:jc w:val="center"/>
        </w:trPr>
        <w:tc>
          <w:tcPr>
            <w:tcW w:w="5932" w:type="dxa"/>
            <w:gridSpan w:val="2"/>
            <w:tcBorders>
              <w:top w:val="single" w:color="000000" w:sz="4"/>
              <w:left w:val="single" w:color="000000" w:sz="4"/>
              <w:bottom w:val="single" w:color="000000" w:sz="4"/>
              <w:right w:val="single" w:color="000000" w:sz="4"/>
            </w:tcBorders>
            <w:shd w:color="auto" w:fill="dce6f1"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NA</w:t>
            </w:r>
            <w:r>
              <w:rPr>
                <w:rFonts w:ascii="Calibri" w:hAnsi="Calibri" w:cs="Calibri" w:eastAsia="Calibri"/>
                <w:color w:val="000000"/>
                <w:spacing w:val="0"/>
                <w:position w:val="0"/>
                <w:sz w:val="18"/>
                <w:shd w:fill="auto" w:val="clear"/>
              </w:rPr>
              <w:t xml:space="preserve">ČIN GRIJANJA /ENERGENT</w:t>
            </w:r>
          </w:p>
        </w:tc>
        <w:tc>
          <w:tcPr>
            <w:tcW w:w="1129" w:type="dxa"/>
            <w:vMerge w:val="restart"/>
            <w:tcBorders>
              <w:top w:val="single" w:color="000000" w:sz="0"/>
              <w:left w:val="single" w:color="000000" w:sz="4"/>
              <w:bottom w:val="single" w:color="000000" w:sz="4"/>
              <w:right w:val="single" w:color="000000" w:sz="4"/>
            </w:tcBorders>
            <w:shd w:color="auto" w:fill="dce6f1"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BROJ ZGRADA</w:t>
            </w:r>
          </w:p>
        </w:tc>
        <w:tc>
          <w:tcPr>
            <w:tcW w:w="2254" w:type="dxa"/>
            <w:vMerge w:val="restart"/>
            <w:tcBorders>
              <w:top w:val="single" w:color="000000" w:sz="0"/>
              <w:left w:val="single" w:color="000000" w:sz="4"/>
              <w:bottom w:val="single" w:color="000000" w:sz="4"/>
              <w:right w:val="single" w:color="000000" w:sz="4"/>
            </w:tcBorders>
            <w:shd w:color="auto" w:fill="dce6f1"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GRIJANA POVRŠINA (m²)</w:t>
            </w:r>
          </w:p>
        </w:tc>
      </w:tr>
      <w:tr>
        <w:trPr>
          <w:trHeight w:val="211" w:hRule="auto"/>
          <w:jc w:val="center"/>
        </w:trPr>
        <w:tc>
          <w:tcPr>
            <w:tcW w:w="2813" w:type="dxa"/>
            <w:tcBorders>
              <w:top w:val="single" w:color="000000" w:sz="0"/>
              <w:left w:val="single" w:color="000000" w:sz="4"/>
              <w:bottom w:val="single" w:color="000000" w:sz="4"/>
              <w:right w:val="single" w:color="000000" w:sz="4"/>
            </w:tcBorders>
            <w:shd w:color="auto" w:fill="dce6f1"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PRIJE MJERA</w:t>
            </w:r>
          </w:p>
        </w:tc>
        <w:tc>
          <w:tcPr>
            <w:tcW w:w="3119" w:type="dxa"/>
            <w:tcBorders>
              <w:top w:val="single" w:color="000000" w:sz="0"/>
              <w:left w:val="single" w:color="000000" w:sz="0"/>
              <w:bottom w:val="single" w:color="000000" w:sz="4"/>
              <w:right w:val="single" w:color="000000" w:sz="4"/>
            </w:tcBorders>
            <w:shd w:color="auto" w:fill="dce6f1"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POSLIJE MJERA</w:t>
            </w:r>
          </w:p>
        </w:tc>
        <w:tc>
          <w:tcPr>
            <w:tcW w:w="1129" w:type="dxa"/>
            <w:vMerge/>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2254" w:type="dxa"/>
            <w:vMerge/>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r>
      <w:tr>
        <w:trPr>
          <w:trHeight w:val="211" w:hRule="auto"/>
          <w:jc w:val="center"/>
        </w:trPr>
        <w:tc>
          <w:tcPr>
            <w:tcW w:w="281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CENTRALNO - UGALJ</w:t>
            </w:r>
          </w:p>
        </w:tc>
        <w:tc>
          <w:tcPr>
            <w:tcW w:w="3119" w:type="dxa"/>
            <w:tcBorders>
              <w:top w:val="single" w:color="000000" w:sz="4"/>
              <w:left w:val="single" w:color="000000" w:sz="0"/>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CENTRALNO - PELET</w:t>
            </w:r>
          </w:p>
        </w:tc>
        <w:tc>
          <w:tcPr>
            <w:tcW w:w="1129" w:type="dxa"/>
            <w:tcBorders>
              <w:top w:val="single" w:color="000000" w:sz="4"/>
              <w:left w:val="single" w:color="000000" w:sz="0"/>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w:t>
            </w:r>
          </w:p>
        </w:tc>
        <w:tc>
          <w:tcPr>
            <w:tcW w:w="2254" w:type="dxa"/>
            <w:tcBorders>
              <w:top w:val="single" w:color="000000" w:sz="4"/>
              <w:left w:val="single" w:color="000000" w:sz="0"/>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967,00    </w:t>
            </w:r>
          </w:p>
        </w:tc>
      </w:tr>
      <w:tr>
        <w:trPr>
          <w:trHeight w:val="211" w:hRule="auto"/>
          <w:jc w:val="center"/>
        </w:trPr>
        <w:tc>
          <w:tcPr>
            <w:tcW w:w="2813" w:type="dxa"/>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CENTRALNO - UGALJ I DRVO</w:t>
            </w:r>
          </w:p>
        </w:tc>
        <w:tc>
          <w:tcPr>
            <w:tcW w:w="3119" w:type="dxa"/>
            <w:tcBorders>
              <w:top w:val="single" w:color="000000" w:sz="0"/>
              <w:left w:val="single" w:color="000000" w:sz="0"/>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CENTRALNO - PELET</w:t>
            </w:r>
          </w:p>
        </w:tc>
        <w:tc>
          <w:tcPr>
            <w:tcW w:w="1129" w:type="dxa"/>
            <w:tcBorders>
              <w:top w:val="single" w:color="000000" w:sz="0"/>
              <w:left w:val="single" w:color="000000" w:sz="0"/>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4</w:t>
            </w:r>
          </w:p>
        </w:tc>
        <w:tc>
          <w:tcPr>
            <w:tcW w:w="2254" w:type="dxa"/>
            <w:tcBorders>
              <w:top w:val="single" w:color="000000" w:sz="0"/>
              <w:left w:val="single" w:color="000000" w:sz="0"/>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740,69    </w:t>
            </w:r>
          </w:p>
        </w:tc>
      </w:tr>
      <w:tr>
        <w:trPr>
          <w:trHeight w:val="211" w:hRule="auto"/>
          <w:jc w:val="center"/>
        </w:trPr>
        <w:tc>
          <w:tcPr>
            <w:tcW w:w="2813" w:type="dxa"/>
            <w:tcBorders>
              <w:top w:val="single" w:color="000000" w:sz="0"/>
              <w:left w:val="single" w:color="000000" w:sz="4"/>
              <w:bottom w:val="single" w:color="000000" w:sz="4"/>
              <w:right w:val="single" w:color="000000" w:sz="0"/>
            </w:tcBorders>
            <w:shd w:color="000000" w:fill="ffffff"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GRIJALICA - ELEKTRI</w:t>
            </w:r>
            <w:r>
              <w:rPr>
                <w:rFonts w:ascii="Calibri" w:hAnsi="Calibri" w:cs="Calibri" w:eastAsia="Calibri"/>
                <w:color w:val="000000"/>
                <w:spacing w:val="0"/>
                <w:position w:val="0"/>
                <w:sz w:val="18"/>
                <w:shd w:fill="auto" w:val="clear"/>
              </w:rPr>
              <w:t xml:space="preserve">ČNA ENERGIJA</w:t>
            </w:r>
          </w:p>
        </w:tc>
        <w:tc>
          <w:tcPr>
            <w:tcW w:w="3119" w:type="dxa"/>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CENTRALNO - UGALJ I DRVO</w:t>
            </w:r>
          </w:p>
        </w:tc>
        <w:tc>
          <w:tcPr>
            <w:tcW w:w="1129" w:type="dxa"/>
            <w:tcBorders>
              <w:top w:val="single" w:color="000000" w:sz="0"/>
              <w:left w:val="single" w:color="000000" w:sz="0"/>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w:t>
            </w:r>
          </w:p>
        </w:tc>
        <w:tc>
          <w:tcPr>
            <w:tcW w:w="2254" w:type="dxa"/>
            <w:tcBorders>
              <w:top w:val="single" w:color="000000" w:sz="0"/>
              <w:left w:val="single" w:color="000000" w:sz="0"/>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600,00    </w:t>
            </w:r>
          </w:p>
        </w:tc>
      </w:tr>
      <w:tr>
        <w:trPr>
          <w:trHeight w:val="211" w:hRule="auto"/>
          <w:jc w:val="center"/>
        </w:trPr>
        <w:tc>
          <w:tcPr>
            <w:tcW w:w="2813" w:type="dxa"/>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INDIVIDUALNA PE</w:t>
            </w:r>
            <w:r>
              <w:rPr>
                <w:rFonts w:ascii="Calibri" w:hAnsi="Calibri" w:cs="Calibri" w:eastAsia="Calibri"/>
                <w:color w:val="000000"/>
                <w:spacing w:val="0"/>
                <w:position w:val="0"/>
                <w:sz w:val="18"/>
                <w:shd w:fill="auto" w:val="clear"/>
              </w:rPr>
              <w:t xml:space="preserve">Ć - UGALJ I DRVO</w:t>
            </w:r>
          </w:p>
        </w:tc>
        <w:tc>
          <w:tcPr>
            <w:tcW w:w="3119" w:type="dxa"/>
            <w:tcBorders>
              <w:top w:val="single" w:color="000000" w:sz="0"/>
              <w:left w:val="single" w:color="000000" w:sz="0"/>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SPLIT KLIMA - ELEKTRI</w:t>
            </w:r>
            <w:r>
              <w:rPr>
                <w:rFonts w:ascii="Calibri" w:hAnsi="Calibri" w:cs="Calibri" w:eastAsia="Calibri"/>
                <w:color w:val="000000"/>
                <w:spacing w:val="0"/>
                <w:position w:val="0"/>
                <w:sz w:val="18"/>
                <w:shd w:fill="auto" w:val="clear"/>
              </w:rPr>
              <w:t xml:space="preserve">ČNA ENERGIJA</w:t>
            </w:r>
          </w:p>
        </w:tc>
        <w:tc>
          <w:tcPr>
            <w:tcW w:w="1129" w:type="dxa"/>
            <w:tcBorders>
              <w:top w:val="single" w:color="000000" w:sz="0"/>
              <w:left w:val="single" w:color="000000" w:sz="0"/>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w:t>
            </w:r>
          </w:p>
        </w:tc>
        <w:tc>
          <w:tcPr>
            <w:tcW w:w="2254" w:type="dxa"/>
            <w:tcBorders>
              <w:top w:val="single" w:color="000000" w:sz="0"/>
              <w:left w:val="single" w:color="000000" w:sz="0"/>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400,00    </w:t>
            </w:r>
          </w:p>
        </w:tc>
      </w:tr>
      <w:tr>
        <w:trPr>
          <w:trHeight w:val="211" w:hRule="auto"/>
          <w:jc w:val="center"/>
        </w:trPr>
        <w:tc>
          <w:tcPr>
            <w:tcW w:w="5932" w:type="dxa"/>
            <w:gridSpan w:val="2"/>
            <w:tcBorders>
              <w:top w:val="single" w:color="000000" w:sz="4"/>
              <w:left w:val="single" w:color="000000" w:sz="4"/>
              <w:bottom w:val="single" w:color="000000" w:sz="4"/>
              <w:right w:val="single" w:color="000000" w:sz="4"/>
            </w:tcBorders>
            <w:shd w:color="auto" w:fill="dce6f1" w:val="clear"/>
            <w:tcMar>
              <w:left w:w="108" w:type="dxa"/>
              <w:right w:w="108" w:type="dxa"/>
            </w:tcMar>
            <w:vAlign w:val="center"/>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UKUPNO</w:t>
            </w:r>
          </w:p>
        </w:tc>
        <w:tc>
          <w:tcPr>
            <w:tcW w:w="1129" w:type="dxa"/>
            <w:tcBorders>
              <w:top w:val="single" w:color="000000" w:sz="4"/>
              <w:left w:val="single" w:color="000000" w:sz="4"/>
              <w:bottom w:val="single" w:color="000000" w:sz="4"/>
              <w:right w:val="single" w:color="000000" w:sz="4"/>
            </w:tcBorders>
            <w:shd w:color="auto" w:fill="dce6f1"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7</w:t>
            </w:r>
          </w:p>
        </w:tc>
        <w:tc>
          <w:tcPr>
            <w:tcW w:w="2254" w:type="dxa"/>
            <w:tcBorders>
              <w:top w:val="single" w:color="000000" w:sz="4"/>
              <w:left w:val="single" w:color="000000" w:sz="0"/>
              <w:bottom w:val="single" w:color="000000" w:sz="4"/>
              <w:right w:val="single" w:color="000000" w:sz="4"/>
            </w:tcBorders>
            <w:shd w:color="auto" w:fill="dce6f1"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2.707,69    </w:t>
            </w:r>
          </w:p>
        </w:tc>
      </w:tr>
    </w:tbl>
    <w:p>
      <w:pPr>
        <w:spacing w:before="60" w:after="120" w:line="240"/>
        <w:ind w:right="0" w:left="0" w:firstLine="0"/>
        <w:jc w:val="center"/>
        <w:rPr>
          <w:rFonts w:ascii="Calibri" w:hAnsi="Calibri" w:cs="Calibri" w:eastAsia="Calibri"/>
          <w:color w:val="44546A"/>
          <w:spacing w:val="0"/>
          <w:position w:val="0"/>
          <w:sz w:val="18"/>
          <w:shd w:fill="auto" w:val="clear"/>
        </w:rPr>
      </w:pPr>
      <w:r>
        <w:rPr>
          <w:rFonts w:ascii="Calibri" w:hAnsi="Calibri" w:cs="Calibri" w:eastAsia="Calibri"/>
          <w:color w:val="auto"/>
          <w:spacing w:val="0"/>
          <w:position w:val="0"/>
          <w:sz w:val="18"/>
          <w:shd w:fill="auto" w:val="clear"/>
        </w:rPr>
        <w:t xml:space="preserve">Tabela 523: Zbirni pregled mjera energetske efikasnosti realiziranih u periodu 2010.–2020. na sistemima grijanja javnih zgrada u vlasništvu Op</w:t>
      </w:r>
      <w:r>
        <w:rPr>
          <w:rFonts w:ascii="Calibri" w:hAnsi="Calibri" w:cs="Calibri" w:eastAsia="Calibri"/>
          <w:color w:val="auto"/>
          <w:spacing w:val="0"/>
          <w:position w:val="0"/>
          <w:sz w:val="18"/>
          <w:shd w:fill="auto" w:val="clear"/>
        </w:rPr>
        <w:t xml:space="preserve">ćine</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Uštede finalne energije u 2020. godini, ostvarene u odnosu na stanje 2010. godine dobivene su na osnovu ovih ulaznih podataka o realiziranim mjerama energetske efikasnosti, uz korištenje MVP metodologije. Prema ovoj metodologiji, osnova za prora</w:t>
      </w:r>
      <w:r>
        <w:rPr>
          <w:rFonts w:ascii="Calibri" w:hAnsi="Calibri" w:cs="Calibri" w:eastAsia="Calibri"/>
          <w:color w:val="auto"/>
          <w:spacing w:val="0"/>
          <w:position w:val="0"/>
          <w:sz w:val="20"/>
          <w:shd w:fill="auto" w:val="clear"/>
        </w:rPr>
        <w:t xml:space="preserve">čun godišnje uštede finalne energije ostvarene mjerama na vanjskoj ovojnici zgrada je razlika između vrijednosti koeficijenta prolaza toplote određenog dijela ovojnice zgrade (vanjski zid/fasada, krov/strop i vanjski otvori) prije i poslije realizacije mjere energetske efikasnosti. Za koeficijent prolaza toplote prije realizacije mjera uzete su referentne vrijednosti koeficijenata, koje su preuzete iz MVP Metodologije, dok je koeficijent prolaza toplote poslije realizacije mjera definiran minimalnim dozvoljenim koeficijentu prema </w:t>
      </w:r>
      <w:r>
        <w:rPr>
          <w:rFonts w:ascii="Calibri" w:hAnsi="Calibri" w:cs="Calibri" w:eastAsia="Calibri"/>
          <w:i/>
          <w:color w:val="auto"/>
          <w:spacing w:val="0"/>
          <w:position w:val="0"/>
          <w:sz w:val="20"/>
          <w:shd w:fill="auto" w:val="clear"/>
        </w:rPr>
        <w:t xml:space="preserve">Pravilniku o tehničkim zahtjevima za toplotnu zaštitu objekata i racionalnu upotrebu energije. </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Prora</w:t>
      </w:r>
      <w:r>
        <w:rPr>
          <w:rFonts w:ascii="Calibri" w:hAnsi="Calibri" w:cs="Calibri" w:eastAsia="Calibri"/>
          <w:color w:val="auto"/>
          <w:spacing w:val="0"/>
          <w:position w:val="0"/>
          <w:sz w:val="20"/>
          <w:shd w:fill="auto" w:val="clear"/>
        </w:rPr>
        <w:t xml:space="preserve">čun ušteda energije ostvarenih navedenim unapređenjima na sistemima grijanja je također izvršen primjenom MVP metodologije. U proračun ušteda ostvarenih realizacijom ove vrste mjera u obzir su uzeti referentni i stvarni broj stepen dana grijanja u zavisnosti od klimatske zone kojoj zgrada pripada, efikasnost prethodnog i novog sistema grijanja za odgovarajući način grijanja, i energent koji se koristi za zagrijavanje.</w:t>
      </w:r>
    </w:p>
    <w:p>
      <w:pPr>
        <w:spacing w:before="60" w:after="12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Naredna tabela daje pregled ušteda finalne energije za podsektor zgrada u vlasništvu Op</w:t>
      </w:r>
      <w:r>
        <w:rPr>
          <w:rFonts w:ascii="Calibri" w:hAnsi="Calibri" w:cs="Calibri" w:eastAsia="Calibri"/>
          <w:color w:val="auto"/>
          <w:spacing w:val="0"/>
          <w:position w:val="0"/>
          <w:sz w:val="20"/>
          <w:shd w:fill="auto" w:val="clear"/>
        </w:rPr>
        <w:t xml:space="preserve">ćine, ostvarenih u periodu od 2010. do 2020. godine realizacijom navedenih mjera energetske efikasnosti.</w:t>
      </w:r>
    </w:p>
    <w:tbl>
      <w:tblPr/>
      <w:tblGrid>
        <w:gridCol w:w="2982"/>
        <w:gridCol w:w="1329"/>
        <w:gridCol w:w="1163"/>
        <w:gridCol w:w="1163"/>
        <w:gridCol w:w="1499"/>
        <w:gridCol w:w="1494"/>
      </w:tblGrid>
      <w:tr>
        <w:trPr>
          <w:trHeight w:val="284" w:hRule="auto"/>
          <w:jc w:val="left"/>
        </w:trPr>
        <w:tc>
          <w:tcPr>
            <w:tcW w:w="9630" w:type="dxa"/>
            <w:gridSpan w:val="6"/>
            <w:tcBorders>
              <w:top w:val="single" w:color="000000" w:sz="4"/>
              <w:left w:val="single" w:color="000000" w:sz="4"/>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UŠTEDE FINALNE ENERGIJE U 2020. GODINI U ODNOSU NA BAZNU GODINU [MWh]</w:t>
            </w:r>
          </w:p>
        </w:tc>
      </w:tr>
      <w:tr>
        <w:trPr>
          <w:trHeight w:val="13" w:hRule="auto"/>
          <w:jc w:val="left"/>
        </w:trPr>
        <w:tc>
          <w:tcPr>
            <w:tcW w:w="2982" w:type="dxa"/>
            <w:vMerge w:val="restart"/>
            <w:tcBorders>
              <w:top w:val="single" w:color="000000" w:sz="4"/>
              <w:left w:val="single" w:color="000000" w:sz="4"/>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VRSTA ENERGENTA</w:t>
            </w:r>
          </w:p>
        </w:tc>
        <w:tc>
          <w:tcPr>
            <w:tcW w:w="1329" w:type="dxa"/>
            <w:vMerge w:val="restart"/>
            <w:tcBorders>
              <w:top w:val="single" w:color="000000" w:sz="4"/>
              <w:left w:val="single" w:color="000000" w:sz="4"/>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ELEKTRI</w:t>
            </w:r>
            <w:r>
              <w:rPr>
                <w:rFonts w:ascii="Calibri" w:hAnsi="Calibri" w:cs="Calibri" w:eastAsia="Calibri"/>
                <w:color w:val="000000"/>
                <w:spacing w:val="0"/>
                <w:position w:val="0"/>
                <w:sz w:val="18"/>
                <w:shd w:fill="auto" w:val="clear"/>
              </w:rPr>
              <w:t xml:space="preserve">ČNA ENERGIJA</w:t>
            </w:r>
          </w:p>
        </w:tc>
        <w:tc>
          <w:tcPr>
            <w:tcW w:w="2326" w:type="dxa"/>
            <w:gridSpan w:val="2"/>
            <w:tcBorders>
              <w:top w:val="single" w:color="000000" w:sz="4"/>
              <w:left w:val="single" w:color="000000" w:sz="4"/>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FOSILNA GORIVA</w:t>
            </w:r>
          </w:p>
        </w:tc>
        <w:tc>
          <w:tcPr>
            <w:tcW w:w="1499" w:type="dxa"/>
            <w:tcBorders>
              <w:top w:val="single" w:color="000000" w:sz="4"/>
              <w:left w:val="single" w:color="000000" w:sz="4"/>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OBNOVLJIVI IZVORI  ENERGIJE</w:t>
            </w:r>
          </w:p>
        </w:tc>
        <w:tc>
          <w:tcPr>
            <w:tcW w:w="1494" w:type="dxa"/>
            <w:vMerge w:val="restart"/>
            <w:tcBorders>
              <w:top w:val="single" w:color="000000" w:sz="4"/>
              <w:left w:val="single" w:color="000000" w:sz="4"/>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UKUPNO</w:t>
            </w:r>
          </w:p>
        </w:tc>
      </w:tr>
      <w:tr>
        <w:trPr>
          <w:trHeight w:val="13" w:hRule="auto"/>
          <w:jc w:val="left"/>
        </w:trPr>
        <w:tc>
          <w:tcPr>
            <w:tcW w:w="2982" w:type="dxa"/>
            <w:vMerge/>
            <w:tcBorders>
              <w:top w:val="single" w:color="000000" w:sz="4"/>
              <w:left w:val="single" w:color="000000" w:sz="4"/>
              <w:bottom w:val="single" w:color="000000" w:sz="4"/>
              <w:right w:val="single" w:color="000000" w:sz="4"/>
            </w:tcBorders>
            <w:shd w:color="000000" w:fill="ffffff" w:val="clear"/>
            <w:tcMar>
              <w:left w:w="44" w:type="dxa"/>
              <w:right w:w="44"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329" w:type="dxa"/>
            <w:vMerge/>
            <w:tcBorders>
              <w:top w:val="single" w:color="000000" w:sz="4"/>
              <w:left w:val="single" w:color="000000" w:sz="4"/>
              <w:bottom w:val="single" w:color="000000" w:sz="4"/>
              <w:right w:val="single" w:color="000000" w:sz="4"/>
            </w:tcBorders>
            <w:shd w:color="000000" w:fill="ffffff" w:val="clear"/>
            <w:tcMar>
              <w:left w:w="44" w:type="dxa"/>
              <w:right w:w="44"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163" w:type="dxa"/>
            <w:tcBorders>
              <w:top w:val="single" w:color="000000" w:sz="4"/>
              <w:left w:val="single" w:color="000000" w:sz="4"/>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LIGNIT</w:t>
            </w:r>
          </w:p>
        </w:tc>
        <w:tc>
          <w:tcPr>
            <w:tcW w:w="1163" w:type="dxa"/>
            <w:tcBorders>
              <w:top w:val="single" w:color="000000" w:sz="4"/>
              <w:left w:val="single" w:color="000000" w:sz="4"/>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MRKI UGALJ</w:t>
            </w:r>
          </w:p>
        </w:tc>
        <w:tc>
          <w:tcPr>
            <w:tcW w:w="1499" w:type="dxa"/>
            <w:tcBorders>
              <w:top w:val="single" w:color="000000" w:sz="4"/>
              <w:left w:val="single" w:color="000000" w:sz="4"/>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BIOMASA</w:t>
            </w:r>
          </w:p>
        </w:tc>
        <w:tc>
          <w:tcPr>
            <w:tcW w:w="1494" w:type="dxa"/>
            <w:vMerge/>
            <w:tcBorders>
              <w:top w:val="single" w:color="000000" w:sz="4"/>
              <w:left w:val="single" w:color="000000" w:sz="4"/>
              <w:bottom w:val="single" w:color="000000" w:sz="4"/>
              <w:right w:val="single" w:color="000000" w:sz="4"/>
            </w:tcBorders>
            <w:shd w:color="000000" w:fill="ffffff" w:val="clear"/>
            <w:tcMar>
              <w:left w:w="44" w:type="dxa"/>
              <w:right w:w="44"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r>
      <w:tr>
        <w:trPr>
          <w:trHeight w:val="224" w:hRule="auto"/>
          <w:jc w:val="left"/>
        </w:trPr>
        <w:tc>
          <w:tcPr>
            <w:tcW w:w="2982" w:type="dxa"/>
            <w:tcBorders>
              <w:top w:val="single" w:color="000000" w:sz="4"/>
              <w:left w:val="single" w:color="000000" w:sz="4"/>
              <w:bottom w:val="single" w:color="000000" w:sz="4"/>
              <w:right w:val="single" w:color="000000" w:sz="4"/>
            </w:tcBorders>
            <w:shd w:color="auto" w:fill="d9e1f2"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FINALNA ENERGIJA [MWh]</w:t>
            </w:r>
          </w:p>
        </w:tc>
        <w:tc>
          <w:tcPr>
            <w:tcW w:w="1329" w:type="dxa"/>
            <w:tcBorders>
              <w:top w:val="single" w:color="595959" w:sz="4"/>
              <w:left w:val="single" w:color="595959" w:sz="4"/>
              <w:bottom w:val="single" w:color="595959" w:sz="4"/>
              <w:right w:val="single" w:color="595959" w:sz="4"/>
            </w:tcBorders>
            <w:shd w:color="000000" w:fill="ffffff" w:val="clear"/>
            <w:tcMar>
              <w:left w:w="44" w:type="dxa"/>
              <w:right w:w="44"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-341,08</w:t>
            </w:r>
          </w:p>
        </w:tc>
        <w:tc>
          <w:tcPr>
            <w:tcW w:w="1163" w:type="dxa"/>
            <w:tcBorders>
              <w:top w:val="single" w:color="595959" w:sz="4"/>
              <w:left w:val="single" w:color="595959" w:sz="4"/>
              <w:bottom w:val="single" w:color="595959" w:sz="4"/>
              <w:right w:val="single" w:color="595959" w:sz="4"/>
            </w:tcBorders>
            <w:shd w:color="000000" w:fill="ffffff" w:val="clear"/>
            <w:tcMar>
              <w:left w:w="44" w:type="dxa"/>
              <w:right w:w="44"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504,75</w:t>
            </w:r>
          </w:p>
        </w:tc>
        <w:tc>
          <w:tcPr>
            <w:tcW w:w="1163" w:type="dxa"/>
            <w:tcBorders>
              <w:top w:val="single" w:color="595959" w:sz="4"/>
              <w:left w:val="single" w:color="000000" w:sz="4"/>
              <w:bottom w:val="single" w:color="595959" w:sz="4"/>
              <w:right w:val="single" w:color="595959" w:sz="4"/>
            </w:tcBorders>
            <w:shd w:color="000000" w:fill="ffffff" w:val="clear"/>
            <w:tcMar>
              <w:left w:w="44" w:type="dxa"/>
              <w:right w:w="44"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504,75</w:t>
            </w:r>
          </w:p>
        </w:tc>
        <w:tc>
          <w:tcPr>
            <w:tcW w:w="1499" w:type="dxa"/>
            <w:tcBorders>
              <w:top w:val="single" w:color="000000" w:sz="4"/>
              <w:left w:val="single" w:color="000000" w:sz="4"/>
              <w:bottom w:val="single" w:color="000000" w:sz="4"/>
              <w:right w:val="single" w:color="000000" w:sz="4"/>
            </w:tcBorders>
            <w:shd w:color="000000" w:fill="ffffff" w:val="clear"/>
            <w:tcMar>
              <w:left w:w="44" w:type="dxa"/>
              <w:right w:w="44"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-38,83</w:t>
            </w:r>
          </w:p>
        </w:tc>
        <w:tc>
          <w:tcPr>
            <w:tcW w:w="1494" w:type="dxa"/>
            <w:tcBorders>
              <w:top w:val="single" w:color="000000" w:sz="4"/>
              <w:left w:val="single" w:color="000000" w:sz="4"/>
              <w:bottom w:val="single" w:color="000000" w:sz="4"/>
              <w:right w:val="single" w:color="000000" w:sz="4"/>
            </w:tcBorders>
            <w:shd w:color="auto" w:fill="d9e1f2" w:val="clear"/>
            <w:tcMar>
              <w:left w:w="44" w:type="dxa"/>
              <w:right w:w="44" w:type="dxa"/>
            </w:tcMar>
            <w:vAlign w:val="center"/>
          </w:tcPr>
          <w:p>
            <w:pPr>
              <w:keepNext w:val="true"/>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629,59</w:t>
            </w:r>
          </w:p>
        </w:tc>
      </w:tr>
    </w:tbl>
    <w:p>
      <w:pPr>
        <w:spacing w:before="60" w:after="160" w:line="240"/>
        <w:ind w:right="0" w:left="0" w:firstLine="0"/>
        <w:jc w:val="center"/>
        <w:rPr>
          <w:rFonts w:ascii="Calibri" w:hAnsi="Calibri" w:cs="Calibri" w:eastAsia="Calibri"/>
          <w:color w:val="44546A"/>
          <w:spacing w:val="0"/>
          <w:position w:val="0"/>
          <w:sz w:val="18"/>
          <w:shd w:fill="auto" w:val="clear"/>
        </w:rPr>
      </w:pPr>
      <w:r>
        <w:rPr>
          <w:rFonts w:ascii="Calibri" w:hAnsi="Calibri" w:cs="Calibri" w:eastAsia="Calibri"/>
          <w:color w:val="auto"/>
          <w:spacing w:val="0"/>
          <w:position w:val="0"/>
          <w:sz w:val="18"/>
          <w:shd w:fill="auto" w:val="clear"/>
        </w:rPr>
        <w:t xml:space="preserve">Tabela 524: Uštede finalne energije za grijanje javnih zgrada u vlasništvu Op</w:t>
      </w:r>
      <w:r>
        <w:rPr>
          <w:rFonts w:ascii="Calibri" w:hAnsi="Calibri" w:cs="Calibri" w:eastAsia="Calibri"/>
          <w:color w:val="auto"/>
          <w:spacing w:val="0"/>
          <w:position w:val="0"/>
          <w:sz w:val="18"/>
          <w:shd w:fill="auto" w:val="clear"/>
        </w:rPr>
        <w:t xml:space="preserve">ćine ostvarene u kontrolnoj godini realizacijom mjera energetske efikasnosti</w:t>
      </w:r>
    </w:p>
    <w:p>
      <w:pPr>
        <w:spacing w:before="60" w:after="120" w:line="240"/>
        <w:ind w:right="0" w:left="0" w:firstLine="0"/>
        <w:jc w:val="both"/>
        <w:rPr>
          <w:rFonts w:ascii="Calibri" w:hAnsi="Calibri" w:cs="Calibri" w:eastAsia="Calibri"/>
          <w:color w:val="auto"/>
          <w:spacing w:val="0"/>
          <w:position w:val="0"/>
          <w:sz w:val="20"/>
          <w:shd w:fill="00FF00" w:val="clear"/>
        </w:rPr>
      </w:pPr>
      <w:r>
        <w:rPr>
          <w:rFonts w:ascii="Calibri" w:hAnsi="Calibri" w:cs="Calibri" w:eastAsia="Calibri"/>
          <w:color w:val="auto"/>
          <w:spacing w:val="0"/>
          <w:position w:val="0"/>
          <w:sz w:val="20"/>
          <w:shd w:fill="auto" w:val="clear"/>
        </w:rPr>
        <w:t xml:space="preserve">Slijede</w:t>
      </w:r>
      <w:r>
        <w:rPr>
          <w:rFonts w:ascii="Calibri" w:hAnsi="Calibri" w:cs="Calibri" w:eastAsia="Calibri"/>
          <w:color w:val="auto"/>
          <w:spacing w:val="0"/>
          <w:position w:val="0"/>
          <w:sz w:val="20"/>
          <w:shd w:fill="auto" w:val="clear"/>
        </w:rPr>
        <w:t xml:space="preserve">ći korak pri određivanju potrebne finalne energije za grijanje javnih zgrada iz ovog podsektora u kontrolnoj 2020. godini, bilo je </w:t>
      </w:r>
      <w:r>
        <w:rPr>
          <w:rFonts w:ascii="Calibri" w:hAnsi="Calibri" w:cs="Calibri" w:eastAsia="Calibri"/>
          <w:b/>
          <w:color w:val="auto"/>
          <w:spacing w:val="0"/>
          <w:position w:val="0"/>
          <w:sz w:val="20"/>
          <w:shd w:fill="auto" w:val="clear"/>
        </w:rPr>
        <w:t xml:space="preserve">određivanje finalne energije potrebne za grijanje nove zgrade iz ovog podsektora, koja je izgrađena u periodu od bazne do kontrolne 2020. godine. </w:t>
      </w:r>
      <w:r>
        <w:rPr>
          <w:rFonts w:ascii="Calibri" w:hAnsi="Calibri" w:cs="Calibri" w:eastAsia="Calibri"/>
          <w:color w:val="auto"/>
          <w:spacing w:val="0"/>
          <w:position w:val="0"/>
          <w:sz w:val="20"/>
          <w:shd w:fill="auto" w:val="clear"/>
        </w:rPr>
        <w:t xml:space="preserve"> Ova energija je dobivena kao proizvod ukupne grijane površine razmatranih novih zgrada koja je iznosila ukupno 900,00 m</w:t>
      </w:r>
      <w:r>
        <w:rPr>
          <w:rFonts w:ascii="Calibri" w:hAnsi="Calibri" w:cs="Calibri" w:eastAsia="Calibri"/>
          <w:color w:val="auto"/>
          <w:spacing w:val="0"/>
          <w:position w:val="0"/>
          <w:sz w:val="20"/>
          <w:shd w:fill="auto" w:val="clear"/>
          <w:vertAlign w:val="superscript"/>
        </w:rPr>
        <w:t xml:space="preserve">2</w:t>
      </w:r>
      <w:r>
        <w:rPr>
          <w:rFonts w:ascii="Calibri" w:hAnsi="Calibri" w:cs="Calibri" w:eastAsia="Calibri"/>
          <w:color w:val="auto"/>
          <w:spacing w:val="0"/>
          <w:position w:val="0"/>
          <w:sz w:val="20"/>
          <w:shd w:fill="auto" w:val="clear"/>
        </w:rPr>
        <w:t xml:space="preserve">, i odgovarajuće vrijednosti specifične godišnje energije potrebne za grijanje javnih zgrada – Q</w:t>
      </w:r>
      <w:r>
        <w:rPr>
          <w:rFonts w:ascii="Calibri" w:hAnsi="Calibri" w:cs="Calibri" w:eastAsia="Calibri"/>
          <w:color w:val="auto"/>
          <w:spacing w:val="0"/>
          <w:position w:val="0"/>
          <w:sz w:val="20"/>
          <w:shd w:fill="auto" w:val="clear"/>
          <w:vertAlign w:val="subscript"/>
        </w:rPr>
        <w:t xml:space="preserve">hnd</w:t>
      </w:r>
      <w:r>
        <w:rPr>
          <w:rFonts w:ascii="Calibri" w:hAnsi="Calibri" w:cs="Calibri" w:eastAsia="Calibri"/>
          <w:color w:val="auto"/>
          <w:spacing w:val="0"/>
          <w:position w:val="0"/>
          <w:sz w:val="20"/>
          <w:shd w:fill="auto" w:val="clear"/>
        </w:rPr>
        <w:t xml:space="preserve"> (kWh/m</w:t>
      </w:r>
      <w:r>
        <w:rPr>
          <w:rFonts w:ascii="Calibri" w:hAnsi="Calibri" w:cs="Calibri" w:eastAsia="Calibri"/>
          <w:color w:val="auto"/>
          <w:spacing w:val="0"/>
          <w:position w:val="0"/>
          <w:sz w:val="20"/>
          <w:shd w:fill="auto" w:val="clear"/>
          <w:vertAlign w:val="superscript"/>
        </w:rPr>
        <w:t xml:space="preserve">2</w:t>
      </w:r>
      <w:r>
        <w:rPr>
          <w:rFonts w:ascii="Calibri" w:hAnsi="Calibri" w:cs="Calibri" w:eastAsia="Calibri"/>
          <w:color w:val="auto"/>
          <w:spacing w:val="0"/>
          <w:position w:val="0"/>
          <w:sz w:val="20"/>
          <w:shd w:fill="auto" w:val="clear"/>
        </w:rPr>
        <w:t xml:space="preserve">) za konkretni tip novoizgrađenih zgrada. Pregled potrebne finalne energije za grijanje ove nove javne zgrade u vlasništvu Općine je dat u narednoj tabeli. </w:t>
      </w:r>
    </w:p>
    <w:tbl>
      <w:tblPr/>
      <w:tblGrid>
        <w:gridCol w:w="2982"/>
        <w:gridCol w:w="1329"/>
        <w:gridCol w:w="1163"/>
        <w:gridCol w:w="1163"/>
        <w:gridCol w:w="1499"/>
        <w:gridCol w:w="1494"/>
      </w:tblGrid>
      <w:tr>
        <w:trPr>
          <w:trHeight w:val="284" w:hRule="auto"/>
          <w:jc w:val="left"/>
        </w:trPr>
        <w:tc>
          <w:tcPr>
            <w:tcW w:w="9630" w:type="dxa"/>
            <w:gridSpan w:val="6"/>
            <w:tcBorders>
              <w:top w:val="single" w:color="000000" w:sz="4"/>
              <w:left w:val="single" w:color="000000" w:sz="4"/>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NOVE JAVNE ZGRADE IZGRA</w:t>
            </w:r>
            <w:r>
              <w:rPr>
                <w:rFonts w:ascii="Calibri" w:hAnsi="Calibri" w:cs="Calibri" w:eastAsia="Calibri"/>
                <w:color w:val="000000"/>
                <w:spacing w:val="0"/>
                <w:position w:val="0"/>
                <w:sz w:val="18"/>
                <w:shd w:fill="auto" w:val="clear"/>
              </w:rPr>
              <w:t xml:space="preserve">ĐENE U PERIODU OD BAZNE DO 2020. GODINE – FINALNA ENERGIJA [MWh]</w:t>
            </w:r>
          </w:p>
        </w:tc>
      </w:tr>
      <w:tr>
        <w:trPr>
          <w:trHeight w:val="13" w:hRule="auto"/>
          <w:jc w:val="left"/>
        </w:trPr>
        <w:tc>
          <w:tcPr>
            <w:tcW w:w="2982" w:type="dxa"/>
            <w:vMerge w:val="restart"/>
            <w:tcBorders>
              <w:top w:val="single" w:color="000000" w:sz="4"/>
              <w:left w:val="single" w:color="000000" w:sz="4"/>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VRSTA ENERGENTA</w:t>
            </w:r>
          </w:p>
        </w:tc>
        <w:tc>
          <w:tcPr>
            <w:tcW w:w="1329" w:type="dxa"/>
            <w:vMerge w:val="restart"/>
            <w:tcBorders>
              <w:top w:val="single" w:color="000000" w:sz="4"/>
              <w:left w:val="single" w:color="000000" w:sz="4"/>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ELEKTRI</w:t>
            </w:r>
            <w:r>
              <w:rPr>
                <w:rFonts w:ascii="Calibri" w:hAnsi="Calibri" w:cs="Calibri" w:eastAsia="Calibri"/>
                <w:color w:val="000000"/>
                <w:spacing w:val="0"/>
                <w:position w:val="0"/>
                <w:sz w:val="18"/>
                <w:shd w:fill="auto" w:val="clear"/>
              </w:rPr>
              <w:t xml:space="preserve">ČNA ENERGIJA</w:t>
            </w:r>
          </w:p>
        </w:tc>
        <w:tc>
          <w:tcPr>
            <w:tcW w:w="2326" w:type="dxa"/>
            <w:gridSpan w:val="2"/>
            <w:tcBorders>
              <w:top w:val="single" w:color="000000" w:sz="4"/>
              <w:left w:val="single" w:color="000000" w:sz="4"/>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FOSILNA GORIVA</w:t>
            </w:r>
          </w:p>
        </w:tc>
        <w:tc>
          <w:tcPr>
            <w:tcW w:w="1499" w:type="dxa"/>
            <w:tcBorders>
              <w:top w:val="single" w:color="000000" w:sz="4"/>
              <w:left w:val="single" w:color="000000" w:sz="4"/>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OBNOVLJIVI IZVORI  ENERGIJE</w:t>
            </w:r>
          </w:p>
        </w:tc>
        <w:tc>
          <w:tcPr>
            <w:tcW w:w="1494" w:type="dxa"/>
            <w:vMerge w:val="restart"/>
            <w:tcBorders>
              <w:top w:val="single" w:color="000000" w:sz="4"/>
              <w:left w:val="single" w:color="000000" w:sz="4"/>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UKUPNO</w:t>
            </w:r>
          </w:p>
        </w:tc>
      </w:tr>
      <w:tr>
        <w:trPr>
          <w:trHeight w:val="13" w:hRule="auto"/>
          <w:jc w:val="left"/>
        </w:trPr>
        <w:tc>
          <w:tcPr>
            <w:tcW w:w="2982" w:type="dxa"/>
            <w:vMerge/>
            <w:tcBorders>
              <w:top w:val="single" w:color="000000" w:sz="4"/>
              <w:left w:val="single" w:color="000000" w:sz="4"/>
              <w:bottom w:val="single" w:color="000000" w:sz="4"/>
              <w:right w:val="single" w:color="000000" w:sz="4"/>
            </w:tcBorders>
            <w:shd w:color="000000" w:fill="ffffff" w:val="clear"/>
            <w:tcMar>
              <w:left w:w="44" w:type="dxa"/>
              <w:right w:w="44"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329" w:type="dxa"/>
            <w:vMerge/>
            <w:tcBorders>
              <w:top w:val="single" w:color="000000" w:sz="4"/>
              <w:left w:val="single" w:color="000000" w:sz="4"/>
              <w:bottom w:val="single" w:color="000000" w:sz="4"/>
              <w:right w:val="single" w:color="000000" w:sz="4"/>
            </w:tcBorders>
            <w:shd w:color="000000" w:fill="ffffff" w:val="clear"/>
            <w:tcMar>
              <w:left w:w="44" w:type="dxa"/>
              <w:right w:w="44"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163" w:type="dxa"/>
            <w:tcBorders>
              <w:top w:val="single" w:color="000000" w:sz="4"/>
              <w:left w:val="single" w:color="000000" w:sz="4"/>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LIGNIT</w:t>
            </w:r>
          </w:p>
        </w:tc>
        <w:tc>
          <w:tcPr>
            <w:tcW w:w="1163" w:type="dxa"/>
            <w:tcBorders>
              <w:top w:val="single" w:color="000000" w:sz="4"/>
              <w:left w:val="single" w:color="000000" w:sz="4"/>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MRKI UGALJ</w:t>
            </w:r>
          </w:p>
        </w:tc>
        <w:tc>
          <w:tcPr>
            <w:tcW w:w="1499" w:type="dxa"/>
            <w:tcBorders>
              <w:top w:val="single" w:color="000000" w:sz="4"/>
              <w:left w:val="single" w:color="000000" w:sz="4"/>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BIOMASA</w:t>
            </w:r>
          </w:p>
        </w:tc>
        <w:tc>
          <w:tcPr>
            <w:tcW w:w="1494" w:type="dxa"/>
            <w:vMerge/>
            <w:tcBorders>
              <w:top w:val="single" w:color="000000" w:sz="4"/>
              <w:left w:val="single" w:color="000000" w:sz="4"/>
              <w:bottom w:val="single" w:color="000000" w:sz="4"/>
              <w:right w:val="single" w:color="000000" w:sz="4"/>
            </w:tcBorders>
            <w:shd w:color="000000" w:fill="ffffff" w:val="clear"/>
            <w:tcMar>
              <w:left w:w="44" w:type="dxa"/>
              <w:right w:w="44"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r>
      <w:tr>
        <w:trPr>
          <w:trHeight w:val="224" w:hRule="auto"/>
          <w:jc w:val="left"/>
        </w:trPr>
        <w:tc>
          <w:tcPr>
            <w:tcW w:w="2982" w:type="dxa"/>
            <w:tcBorders>
              <w:top w:val="single" w:color="000000" w:sz="4"/>
              <w:left w:val="single" w:color="000000" w:sz="4"/>
              <w:bottom w:val="single" w:color="000000" w:sz="4"/>
              <w:right w:val="single" w:color="000000" w:sz="4"/>
            </w:tcBorders>
            <w:shd w:color="auto" w:fill="d9e1f2"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FINALNA ENERGIJA [MWh]</w:t>
            </w:r>
          </w:p>
        </w:tc>
        <w:tc>
          <w:tcPr>
            <w:tcW w:w="1329" w:type="dxa"/>
            <w:tcBorders>
              <w:top w:val="single" w:color="595959" w:sz="4"/>
              <w:left w:val="single" w:color="595959" w:sz="4"/>
              <w:bottom w:val="single" w:color="595959" w:sz="4"/>
              <w:right w:val="single" w:color="595959" w:sz="4"/>
            </w:tcBorders>
            <w:shd w:color="000000" w:fill="ffffff" w:val="clear"/>
            <w:tcMar>
              <w:left w:w="44" w:type="dxa"/>
              <w:right w:w="44"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257,22</w:t>
            </w:r>
          </w:p>
        </w:tc>
        <w:tc>
          <w:tcPr>
            <w:tcW w:w="1163" w:type="dxa"/>
            <w:tcBorders>
              <w:top w:val="single" w:color="595959" w:sz="4"/>
              <w:left w:val="single" w:color="595959" w:sz="4"/>
              <w:bottom w:val="single" w:color="595959" w:sz="4"/>
              <w:right w:val="single" w:color="595959" w:sz="4"/>
            </w:tcBorders>
            <w:shd w:color="000000" w:fill="ffffff"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163" w:type="dxa"/>
            <w:tcBorders>
              <w:top w:val="single" w:color="595959" w:sz="4"/>
              <w:left w:val="single" w:color="000000" w:sz="4"/>
              <w:bottom w:val="single" w:color="595959" w:sz="4"/>
              <w:right w:val="single" w:color="595959" w:sz="4"/>
            </w:tcBorders>
            <w:shd w:color="000000" w:fill="ffffff"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499" w:type="dxa"/>
            <w:tcBorders>
              <w:top w:val="single" w:color="000000" w:sz="4"/>
              <w:left w:val="single" w:color="000000" w:sz="4"/>
              <w:bottom w:val="single" w:color="000000" w:sz="4"/>
              <w:right w:val="single" w:color="000000" w:sz="4"/>
            </w:tcBorders>
            <w:shd w:color="000000" w:fill="ffffff"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494" w:type="dxa"/>
            <w:tcBorders>
              <w:top w:val="single" w:color="000000" w:sz="4"/>
              <w:left w:val="single" w:color="000000" w:sz="4"/>
              <w:bottom w:val="single" w:color="000000" w:sz="4"/>
              <w:right w:val="single" w:color="000000" w:sz="4"/>
            </w:tcBorders>
            <w:shd w:color="auto" w:fill="d9e1f2" w:val="clear"/>
            <w:tcMar>
              <w:left w:w="44" w:type="dxa"/>
              <w:right w:w="44" w:type="dxa"/>
            </w:tcMar>
            <w:vAlign w:val="center"/>
          </w:tcPr>
          <w:p>
            <w:pPr>
              <w:keepNext w:val="true"/>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257,22</w:t>
            </w:r>
          </w:p>
        </w:tc>
      </w:tr>
    </w:tbl>
    <w:p>
      <w:pPr>
        <w:spacing w:before="60" w:after="160" w:line="240"/>
        <w:ind w:right="0" w:left="0" w:firstLine="0"/>
        <w:jc w:val="center"/>
        <w:rPr>
          <w:rFonts w:ascii="Calibri" w:hAnsi="Calibri" w:cs="Calibri" w:eastAsia="Calibri"/>
          <w:color w:val="44546A"/>
          <w:spacing w:val="0"/>
          <w:position w:val="0"/>
          <w:sz w:val="18"/>
          <w:shd w:fill="auto" w:val="clear"/>
        </w:rPr>
      </w:pPr>
      <w:r>
        <w:rPr>
          <w:rFonts w:ascii="Calibri" w:hAnsi="Calibri" w:cs="Calibri" w:eastAsia="Calibri"/>
          <w:color w:val="auto"/>
          <w:spacing w:val="0"/>
          <w:position w:val="0"/>
          <w:sz w:val="18"/>
          <w:shd w:fill="auto" w:val="clear"/>
        </w:rPr>
        <w:t xml:space="preserve">Tabela 525: Potrebna finalna energija za grijanje novih javnih zgrada u vlasništvu Op</w:t>
      </w:r>
      <w:r>
        <w:rPr>
          <w:rFonts w:ascii="Calibri" w:hAnsi="Calibri" w:cs="Calibri" w:eastAsia="Calibri"/>
          <w:color w:val="auto"/>
          <w:spacing w:val="0"/>
          <w:position w:val="0"/>
          <w:sz w:val="18"/>
          <w:shd w:fill="auto" w:val="clear"/>
        </w:rPr>
        <w:t xml:space="preserve">ćine, izgrađenih u periodu 20110.-2020.</w:t>
      </w:r>
    </w:p>
    <w:p>
      <w:pPr>
        <w:spacing w:before="60" w:after="12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Naredna tabela daje cjelokupan pregled prora</w:t>
      </w:r>
      <w:r>
        <w:rPr>
          <w:rFonts w:ascii="Calibri" w:hAnsi="Calibri" w:cs="Calibri" w:eastAsia="Calibri"/>
          <w:color w:val="auto"/>
          <w:spacing w:val="0"/>
          <w:position w:val="0"/>
          <w:sz w:val="20"/>
          <w:shd w:fill="auto" w:val="clear"/>
        </w:rPr>
        <w:t xml:space="preserve">čuna potrebne finalne energije za grijanje zgrada u vlasništvu Općine u 2020. godini, u kojoj su prikazani rezultati svih potrebnih proračunskih koraka. </w:t>
      </w:r>
    </w:p>
    <w:tbl>
      <w:tblPr/>
      <w:tblGrid>
        <w:gridCol w:w="3152"/>
        <w:gridCol w:w="1159"/>
        <w:gridCol w:w="1163"/>
        <w:gridCol w:w="1163"/>
        <w:gridCol w:w="1499"/>
        <w:gridCol w:w="1494"/>
      </w:tblGrid>
      <w:tr>
        <w:trPr>
          <w:trHeight w:val="340" w:hRule="auto"/>
          <w:jc w:val="left"/>
        </w:trPr>
        <w:tc>
          <w:tcPr>
            <w:tcW w:w="9630" w:type="dxa"/>
            <w:gridSpan w:val="6"/>
            <w:tcBorders>
              <w:top w:val="single" w:color="000000" w:sz="4"/>
              <w:left w:val="single" w:color="000000" w:sz="4"/>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FINALNA ENERGIJA [MWh]</w:t>
            </w:r>
          </w:p>
        </w:tc>
      </w:tr>
      <w:tr>
        <w:trPr>
          <w:trHeight w:val="15" w:hRule="auto"/>
          <w:jc w:val="left"/>
        </w:trPr>
        <w:tc>
          <w:tcPr>
            <w:tcW w:w="3152" w:type="dxa"/>
            <w:vMerge w:val="restart"/>
            <w:tcBorders>
              <w:top w:val="single" w:color="000000" w:sz="4"/>
              <w:left w:val="single" w:color="000000" w:sz="4"/>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VRSTA ENERGENTA</w:t>
            </w:r>
          </w:p>
        </w:tc>
        <w:tc>
          <w:tcPr>
            <w:tcW w:w="1159" w:type="dxa"/>
            <w:vMerge w:val="restart"/>
            <w:tcBorders>
              <w:top w:val="single" w:color="000000" w:sz="4"/>
              <w:left w:val="single" w:color="000000" w:sz="4"/>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ELEKTRI</w:t>
            </w:r>
            <w:r>
              <w:rPr>
                <w:rFonts w:ascii="Calibri" w:hAnsi="Calibri" w:cs="Calibri" w:eastAsia="Calibri"/>
                <w:color w:val="000000"/>
                <w:spacing w:val="0"/>
                <w:position w:val="0"/>
                <w:sz w:val="18"/>
                <w:shd w:fill="auto" w:val="clear"/>
              </w:rPr>
              <w:t xml:space="preserve">ČNA ENERGIJA</w:t>
            </w:r>
          </w:p>
        </w:tc>
        <w:tc>
          <w:tcPr>
            <w:tcW w:w="2326" w:type="dxa"/>
            <w:gridSpan w:val="2"/>
            <w:tcBorders>
              <w:top w:val="single" w:color="000000" w:sz="4"/>
              <w:left w:val="single" w:color="000000" w:sz="4"/>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FOSILNA GORIVA</w:t>
            </w:r>
          </w:p>
        </w:tc>
        <w:tc>
          <w:tcPr>
            <w:tcW w:w="1499" w:type="dxa"/>
            <w:tcBorders>
              <w:top w:val="single" w:color="000000" w:sz="4"/>
              <w:left w:val="single" w:color="000000" w:sz="4"/>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OBNOVLJIVI IZVORI  ENERGIJE</w:t>
            </w:r>
          </w:p>
        </w:tc>
        <w:tc>
          <w:tcPr>
            <w:tcW w:w="1494" w:type="dxa"/>
            <w:vMerge w:val="restart"/>
            <w:tcBorders>
              <w:top w:val="single" w:color="000000" w:sz="4"/>
              <w:left w:val="single" w:color="000000" w:sz="4"/>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UKUPNO</w:t>
            </w:r>
          </w:p>
        </w:tc>
      </w:tr>
      <w:tr>
        <w:trPr>
          <w:trHeight w:val="15" w:hRule="auto"/>
          <w:jc w:val="left"/>
        </w:trPr>
        <w:tc>
          <w:tcPr>
            <w:tcW w:w="3152" w:type="dxa"/>
            <w:vMerge/>
            <w:tcBorders>
              <w:top w:val="single" w:color="000000" w:sz="4"/>
              <w:left w:val="single" w:color="000000" w:sz="4"/>
              <w:bottom w:val="single" w:color="000000" w:sz="4"/>
              <w:right w:val="single" w:color="000000" w:sz="4"/>
            </w:tcBorders>
            <w:shd w:color="000000" w:fill="ffffff" w:val="clear"/>
            <w:tcMar>
              <w:left w:w="44" w:type="dxa"/>
              <w:right w:w="44"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159" w:type="dxa"/>
            <w:vMerge/>
            <w:tcBorders>
              <w:top w:val="single" w:color="000000" w:sz="4"/>
              <w:left w:val="single" w:color="000000" w:sz="4"/>
              <w:bottom w:val="single" w:color="000000" w:sz="4"/>
              <w:right w:val="single" w:color="000000" w:sz="4"/>
            </w:tcBorders>
            <w:shd w:color="000000" w:fill="ffffff" w:val="clear"/>
            <w:tcMar>
              <w:left w:w="44" w:type="dxa"/>
              <w:right w:w="44"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163" w:type="dxa"/>
            <w:tcBorders>
              <w:top w:val="single" w:color="000000" w:sz="4"/>
              <w:left w:val="single" w:color="000000" w:sz="4"/>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MRKI UGALJ</w:t>
            </w:r>
          </w:p>
        </w:tc>
        <w:tc>
          <w:tcPr>
            <w:tcW w:w="1163" w:type="dxa"/>
            <w:tcBorders>
              <w:top w:val="single" w:color="000000" w:sz="4"/>
              <w:left w:val="single" w:color="000000" w:sz="4"/>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BIOMASA</w:t>
            </w:r>
          </w:p>
        </w:tc>
        <w:tc>
          <w:tcPr>
            <w:tcW w:w="1499" w:type="dxa"/>
            <w:tcBorders>
              <w:top w:val="single" w:color="000000" w:sz="4"/>
              <w:left w:val="single" w:color="000000" w:sz="4"/>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BIOMASA</w:t>
            </w:r>
          </w:p>
        </w:tc>
        <w:tc>
          <w:tcPr>
            <w:tcW w:w="1494" w:type="dxa"/>
            <w:vMerge/>
            <w:tcBorders>
              <w:top w:val="single" w:color="000000" w:sz="4"/>
              <w:left w:val="single" w:color="000000" w:sz="4"/>
              <w:bottom w:val="single" w:color="000000" w:sz="4"/>
              <w:right w:val="single" w:color="000000" w:sz="4"/>
            </w:tcBorders>
            <w:shd w:color="000000" w:fill="ffffff" w:val="clear"/>
            <w:tcMar>
              <w:left w:w="44" w:type="dxa"/>
              <w:right w:w="44"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r>
      <w:tr>
        <w:trPr>
          <w:trHeight w:val="264" w:hRule="auto"/>
          <w:jc w:val="left"/>
        </w:trPr>
        <w:tc>
          <w:tcPr>
            <w:tcW w:w="3152" w:type="dxa"/>
            <w:tcBorders>
              <w:top w:val="single" w:color="000000" w:sz="4"/>
              <w:left w:val="single" w:color="000000" w:sz="4"/>
              <w:bottom w:val="single" w:color="000000" w:sz="4"/>
              <w:right w:val="single" w:color="000000" w:sz="4"/>
            </w:tcBorders>
            <w:shd w:color="auto" w:fill="d9e1f2"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Zgrade izgra</w:t>
            </w:r>
            <w:r>
              <w:rPr>
                <w:rFonts w:ascii="Calibri" w:hAnsi="Calibri" w:cs="Calibri" w:eastAsia="Calibri"/>
                <w:color w:val="000000"/>
                <w:spacing w:val="0"/>
                <w:position w:val="0"/>
                <w:sz w:val="18"/>
                <w:shd w:fill="auto" w:val="clear"/>
              </w:rPr>
              <w:t xml:space="preserve">đene prije 2010. godine – finalna energija u 2002. godini</w:t>
            </w:r>
          </w:p>
        </w:tc>
        <w:tc>
          <w:tcPr>
            <w:tcW w:w="1159" w:type="dxa"/>
            <w:tcBorders>
              <w:top w:val="single" w:color="000000" w:sz="4"/>
              <w:left w:val="single" w:color="000000" w:sz="4"/>
              <w:bottom w:val="single" w:color="000000" w:sz="4"/>
              <w:right w:val="single" w:color="000000" w:sz="4"/>
            </w:tcBorders>
            <w:shd w:color="000000" w:fill="ffffff"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218,99</w:t>
            </w:r>
          </w:p>
        </w:tc>
        <w:tc>
          <w:tcPr>
            <w:tcW w:w="1163" w:type="dxa"/>
            <w:tcBorders>
              <w:top w:val="single" w:color="000000" w:sz="4"/>
              <w:left w:val="single" w:color="000000" w:sz="4"/>
              <w:bottom w:val="single" w:color="000000" w:sz="4"/>
              <w:right w:val="single" w:color="000000" w:sz="4"/>
            </w:tcBorders>
            <w:shd w:color="000000" w:fill="ffffff"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867,47</w:t>
            </w:r>
          </w:p>
        </w:tc>
        <w:tc>
          <w:tcPr>
            <w:tcW w:w="1163" w:type="dxa"/>
            <w:tcBorders>
              <w:top w:val="single" w:color="000000" w:sz="4"/>
              <w:left w:val="single" w:color="000000" w:sz="4"/>
              <w:bottom w:val="single" w:color="000000" w:sz="4"/>
              <w:right w:val="single" w:color="000000" w:sz="4"/>
            </w:tcBorders>
            <w:shd w:color="000000" w:fill="ffffff"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867,47</w:t>
            </w:r>
          </w:p>
        </w:tc>
        <w:tc>
          <w:tcPr>
            <w:tcW w:w="1499" w:type="dxa"/>
            <w:tcBorders>
              <w:top w:val="single" w:color="000000" w:sz="4"/>
              <w:left w:val="single" w:color="000000" w:sz="4"/>
              <w:bottom w:val="single" w:color="000000" w:sz="4"/>
              <w:right w:val="single" w:color="000000" w:sz="4"/>
            </w:tcBorders>
            <w:shd w:color="000000" w:fill="ffffff"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120,08</w:t>
            </w:r>
          </w:p>
        </w:tc>
        <w:tc>
          <w:tcPr>
            <w:tcW w:w="1494" w:type="dxa"/>
            <w:tcBorders>
              <w:top w:val="single" w:color="000000" w:sz="4"/>
              <w:left w:val="single" w:color="000000" w:sz="4"/>
              <w:bottom w:val="single" w:color="000000" w:sz="4"/>
              <w:right w:val="single" w:color="000000" w:sz="4"/>
            </w:tcBorders>
            <w:shd w:color="auto" w:fill="d9e1f2" w:val="clear"/>
            <w:tcMar>
              <w:left w:w="44" w:type="dxa"/>
              <w:right w:w="44" w:type="dxa"/>
            </w:tcMar>
            <w:vAlign w:val="center"/>
          </w:tcPr>
          <w:p>
            <w:pPr>
              <w:keepNext w:val="true"/>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2.074,02</w:t>
            </w:r>
          </w:p>
        </w:tc>
      </w:tr>
      <w:tr>
        <w:trPr>
          <w:trHeight w:val="264" w:hRule="auto"/>
          <w:jc w:val="left"/>
        </w:trPr>
        <w:tc>
          <w:tcPr>
            <w:tcW w:w="3152" w:type="dxa"/>
            <w:tcBorders>
              <w:top w:val="single" w:color="000000" w:sz="4"/>
              <w:left w:val="single" w:color="000000" w:sz="4"/>
              <w:bottom w:val="single" w:color="000000" w:sz="4"/>
              <w:right w:val="single" w:color="000000" w:sz="4"/>
            </w:tcBorders>
            <w:shd w:color="auto" w:fill="d9e1f2"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Zgrade izgra</w:t>
            </w:r>
            <w:r>
              <w:rPr>
                <w:rFonts w:ascii="Calibri" w:hAnsi="Calibri" w:cs="Calibri" w:eastAsia="Calibri"/>
                <w:color w:val="000000"/>
                <w:spacing w:val="0"/>
                <w:position w:val="0"/>
                <w:sz w:val="18"/>
                <w:shd w:fill="auto" w:val="clear"/>
              </w:rPr>
              <w:t xml:space="preserve">đene prije 2010. godine – uštede realizirane u periodu 2010-2020 mjerama EE</w:t>
            </w:r>
          </w:p>
        </w:tc>
        <w:tc>
          <w:tcPr>
            <w:tcW w:w="1159" w:type="dxa"/>
            <w:tcBorders>
              <w:top w:val="single" w:color="595959" w:sz="4"/>
              <w:left w:val="single" w:color="595959" w:sz="4"/>
              <w:bottom w:val="single" w:color="595959" w:sz="4"/>
              <w:right w:val="single" w:color="595959" w:sz="4"/>
            </w:tcBorders>
            <w:shd w:color="000000" w:fill="ffffff" w:val="clear"/>
            <w:tcMar>
              <w:left w:w="44" w:type="dxa"/>
              <w:right w:w="44"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341,08</w:t>
            </w:r>
          </w:p>
        </w:tc>
        <w:tc>
          <w:tcPr>
            <w:tcW w:w="1163" w:type="dxa"/>
            <w:tcBorders>
              <w:top w:val="single" w:color="595959" w:sz="4"/>
              <w:left w:val="single" w:color="595959" w:sz="4"/>
              <w:bottom w:val="single" w:color="595959" w:sz="4"/>
              <w:right w:val="single" w:color="595959" w:sz="4"/>
            </w:tcBorders>
            <w:shd w:color="000000" w:fill="ffffff" w:val="clear"/>
            <w:tcMar>
              <w:left w:w="44" w:type="dxa"/>
              <w:right w:w="44"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-504,75</w:t>
            </w:r>
          </w:p>
        </w:tc>
        <w:tc>
          <w:tcPr>
            <w:tcW w:w="1163" w:type="dxa"/>
            <w:tcBorders>
              <w:top w:val="single" w:color="595959" w:sz="4"/>
              <w:left w:val="single" w:color="000000" w:sz="4"/>
              <w:bottom w:val="single" w:color="595959" w:sz="4"/>
              <w:right w:val="single" w:color="595959" w:sz="4"/>
            </w:tcBorders>
            <w:shd w:color="000000" w:fill="ffffff" w:val="clear"/>
            <w:tcMar>
              <w:left w:w="44" w:type="dxa"/>
              <w:right w:w="44"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-504,75</w:t>
            </w:r>
          </w:p>
        </w:tc>
        <w:tc>
          <w:tcPr>
            <w:tcW w:w="1499" w:type="dxa"/>
            <w:tcBorders>
              <w:top w:val="single" w:color="000000" w:sz="4"/>
              <w:left w:val="single" w:color="000000" w:sz="4"/>
              <w:bottom w:val="single" w:color="000000" w:sz="4"/>
              <w:right w:val="single" w:color="000000" w:sz="4"/>
            </w:tcBorders>
            <w:shd w:color="000000" w:fill="ffffff" w:val="clear"/>
            <w:tcMar>
              <w:left w:w="44" w:type="dxa"/>
              <w:right w:w="44"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38,83</w:t>
            </w:r>
          </w:p>
        </w:tc>
        <w:tc>
          <w:tcPr>
            <w:tcW w:w="1494" w:type="dxa"/>
            <w:tcBorders>
              <w:top w:val="single" w:color="000000" w:sz="4"/>
              <w:left w:val="single" w:color="000000" w:sz="4"/>
              <w:bottom w:val="single" w:color="000000" w:sz="4"/>
              <w:right w:val="single" w:color="000000" w:sz="4"/>
            </w:tcBorders>
            <w:shd w:color="auto" w:fill="d9e1f2" w:val="clear"/>
            <w:tcMar>
              <w:left w:w="44" w:type="dxa"/>
              <w:right w:w="44" w:type="dxa"/>
            </w:tcMar>
            <w:vAlign w:val="center"/>
          </w:tcPr>
          <w:p>
            <w:pPr>
              <w:keepNext w:val="true"/>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629,59</w:t>
            </w:r>
          </w:p>
        </w:tc>
      </w:tr>
      <w:tr>
        <w:trPr>
          <w:trHeight w:val="264" w:hRule="auto"/>
          <w:jc w:val="left"/>
        </w:trPr>
        <w:tc>
          <w:tcPr>
            <w:tcW w:w="3152" w:type="dxa"/>
            <w:tcBorders>
              <w:top w:val="single" w:color="000000" w:sz="4"/>
              <w:left w:val="single" w:color="000000" w:sz="4"/>
              <w:bottom w:val="single" w:color="000000" w:sz="4"/>
              <w:right w:val="single" w:color="000000" w:sz="4"/>
            </w:tcBorders>
            <w:shd w:color="auto" w:fill="d9e1f2"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Nove zgrade izgra</w:t>
            </w:r>
            <w:r>
              <w:rPr>
                <w:rFonts w:ascii="Calibri" w:hAnsi="Calibri" w:cs="Calibri" w:eastAsia="Calibri"/>
                <w:color w:val="000000"/>
                <w:spacing w:val="0"/>
                <w:position w:val="0"/>
                <w:sz w:val="18"/>
                <w:shd w:fill="auto" w:val="clear"/>
              </w:rPr>
              <w:t xml:space="preserve">đene u periodu 2010-2020 – finalna energija u 2020. godini</w:t>
            </w:r>
          </w:p>
        </w:tc>
        <w:tc>
          <w:tcPr>
            <w:tcW w:w="1159" w:type="dxa"/>
            <w:tcBorders>
              <w:top w:val="single" w:color="595959" w:sz="4"/>
              <w:left w:val="single" w:color="595959" w:sz="4"/>
              <w:bottom w:val="single" w:color="000000" w:sz="4"/>
              <w:right w:val="single" w:color="595959" w:sz="4"/>
            </w:tcBorders>
            <w:shd w:color="000000" w:fill="ffffff" w:val="clear"/>
            <w:tcMar>
              <w:left w:w="44" w:type="dxa"/>
              <w:right w:w="44"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257,22</w:t>
            </w:r>
          </w:p>
        </w:tc>
        <w:tc>
          <w:tcPr>
            <w:tcW w:w="1163" w:type="dxa"/>
            <w:tcBorders>
              <w:top w:val="single" w:color="595959" w:sz="4"/>
              <w:left w:val="single" w:color="595959" w:sz="4"/>
              <w:bottom w:val="single" w:color="000000" w:sz="4"/>
              <w:right w:val="single" w:color="595959" w:sz="4"/>
            </w:tcBorders>
            <w:shd w:color="000000" w:fill="ffffff"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163" w:type="dxa"/>
            <w:tcBorders>
              <w:top w:val="single" w:color="595959" w:sz="4"/>
              <w:left w:val="single" w:color="000000" w:sz="4"/>
              <w:bottom w:val="single" w:color="000000" w:sz="4"/>
              <w:right w:val="single" w:color="595959" w:sz="4"/>
            </w:tcBorders>
            <w:shd w:color="000000" w:fill="ffffff"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499" w:type="dxa"/>
            <w:tcBorders>
              <w:top w:val="single" w:color="000000" w:sz="4"/>
              <w:left w:val="single" w:color="000000" w:sz="4"/>
              <w:bottom w:val="single" w:color="000000" w:sz="4"/>
              <w:right w:val="single" w:color="000000" w:sz="4"/>
            </w:tcBorders>
            <w:shd w:color="000000" w:fill="ffffff"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494" w:type="dxa"/>
            <w:tcBorders>
              <w:top w:val="single" w:color="000000" w:sz="4"/>
              <w:left w:val="single" w:color="000000" w:sz="4"/>
              <w:bottom w:val="single" w:color="000000" w:sz="4"/>
              <w:right w:val="single" w:color="000000" w:sz="4"/>
            </w:tcBorders>
            <w:shd w:color="auto" w:fill="d9e1f2" w:val="clear"/>
            <w:tcMar>
              <w:left w:w="44" w:type="dxa"/>
              <w:right w:w="44" w:type="dxa"/>
            </w:tcMar>
            <w:vAlign w:val="center"/>
          </w:tcPr>
          <w:p>
            <w:pPr>
              <w:keepNext w:val="true"/>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257,22</w:t>
            </w:r>
          </w:p>
        </w:tc>
      </w:tr>
      <w:tr>
        <w:trPr>
          <w:trHeight w:val="264" w:hRule="auto"/>
          <w:jc w:val="left"/>
        </w:trPr>
        <w:tc>
          <w:tcPr>
            <w:tcW w:w="3152" w:type="dxa"/>
            <w:tcBorders>
              <w:top w:val="single" w:color="000000" w:sz="4"/>
              <w:left w:val="single" w:color="000000" w:sz="4"/>
              <w:bottom w:val="single" w:color="000000" w:sz="4"/>
              <w:right w:val="single" w:color="000000" w:sz="4"/>
            </w:tcBorders>
            <w:shd w:color="auto" w:fill="d9e1f2"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FINALNA ENERGIJA u 2020. [MWh]</w:t>
            </w:r>
          </w:p>
        </w:tc>
        <w:tc>
          <w:tcPr>
            <w:tcW w:w="1159" w:type="dxa"/>
            <w:tcBorders>
              <w:top w:val="single" w:color="000000" w:sz="4"/>
              <w:left w:val="single" w:color="000000" w:sz="4"/>
              <w:bottom w:val="single" w:color="000000" w:sz="4"/>
              <w:right w:val="single" w:color="000000" w:sz="4"/>
            </w:tcBorders>
            <w:shd w:color="000000" w:fill="ffffff"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817,29</w:t>
            </w:r>
          </w:p>
        </w:tc>
        <w:tc>
          <w:tcPr>
            <w:tcW w:w="1163" w:type="dxa"/>
            <w:tcBorders>
              <w:top w:val="single" w:color="000000" w:sz="4"/>
              <w:left w:val="single" w:color="000000" w:sz="4"/>
              <w:bottom w:val="single" w:color="000000" w:sz="4"/>
              <w:right w:val="single" w:color="000000" w:sz="4"/>
            </w:tcBorders>
            <w:shd w:color="000000" w:fill="ffffff"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362,72</w:t>
            </w:r>
          </w:p>
        </w:tc>
        <w:tc>
          <w:tcPr>
            <w:tcW w:w="1163" w:type="dxa"/>
            <w:tcBorders>
              <w:top w:val="single" w:color="000000" w:sz="4"/>
              <w:left w:val="single" w:color="000000" w:sz="4"/>
              <w:bottom w:val="single" w:color="000000" w:sz="4"/>
              <w:right w:val="single" w:color="000000" w:sz="4"/>
            </w:tcBorders>
            <w:shd w:color="000000" w:fill="ffffff"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362,72</w:t>
            </w:r>
          </w:p>
        </w:tc>
        <w:tc>
          <w:tcPr>
            <w:tcW w:w="1499" w:type="dxa"/>
            <w:tcBorders>
              <w:top w:val="single" w:color="000000" w:sz="4"/>
              <w:left w:val="single" w:color="000000" w:sz="4"/>
              <w:bottom w:val="single" w:color="000000" w:sz="4"/>
              <w:right w:val="single" w:color="000000" w:sz="4"/>
            </w:tcBorders>
            <w:shd w:color="000000" w:fill="ffffff"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158,91</w:t>
            </w:r>
          </w:p>
        </w:tc>
        <w:tc>
          <w:tcPr>
            <w:tcW w:w="1494" w:type="dxa"/>
            <w:tcBorders>
              <w:top w:val="single" w:color="000000" w:sz="4"/>
              <w:left w:val="single" w:color="000000" w:sz="4"/>
              <w:bottom w:val="single" w:color="000000" w:sz="4"/>
              <w:right w:val="single" w:color="000000" w:sz="4"/>
            </w:tcBorders>
            <w:shd w:color="auto" w:fill="d9e2f3" w:val="clear"/>
            <w:tcMar>
              <w:left w:w="44" w:type="dxa"/>
              <w:right w:w="44" w:type="dxa"/>
            </w:tcMar>
            <w:vAlign w:val="center"/>
          </w:tcPr>
          <w:p>
            <w:pPr>
              <w:keepNext w:val="true"/>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1.701,65</w:t>
            </w:r>
          </w:p>
        </w:tc>
      </w:tr>
    </w:tbl>
    <w:p>
      <w:pPr>
        <w:spacing w:before="60" w:after="160" w:line="240"/>
        <w:ind w:right="0" w:left="0" w:firstLine="0"/>
        <w:jc w:val="center"/>
        <w:rPr>
          <w:rFonts w:ascii="Calibri" w:hAnsi="Calibri" w:cs="Calibri" w:eastAsia="Calibri"/>
          <w:color w:val="44546A"/>
          <w:spacing w:val="0"/>
          <w:position w:val="0"/>
          <w:sz w:val="18"/>
          <w:shd w:fill="auto" w:val="clear"/>
        </w:rPr>
      </w:pPr>
      <w:r>
        <w:rPr>
          <w:rFonts w:ascii="Calibri" w:hAnsi="Calibri" w:cs="Calibri" w:eastAsia="Calibri"/>
          <w:color w:val="auto"/>
          <w:spacing w:val="0"/>
          <w:position w:val="0"/>
          <w:sz w:val="18"/>
          <w:shd w:fill="auto" w:val="clear"/>
        </w:rPr>
        <w:t xml:space="preserve">Tabela 526: Potrebna finalna energija za grijanje javnih zgrada u vlasništvu Op</w:t>
      </w:r>
      <w:r>
        <w:rPr>
          <w:rFonts w:ascii="Calibri" w:hAnsi="Calibri" w:cs="Calibri" w:eastAsia="Calibri"/>
          <w:color w:val="auto"/>
          <w:spacing w:val="0"/>
          <w:position w:val="0"/>
          <w:sz w:val="18"/>
          <w:shd w:fill="auto" w:val="clear"/>
        </w:rPr>
        <w:t xml:space="preserve">ćine u kontrolnoj 2020. godini</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Ukupna potrebna finalna energija za grijanje zgrada iz ovog podsektora iznosi 1.701,65 MWh. Iz tabele je evidentno da se najve</w:t>
      </w:r>
      <w:r>
        <w:rPr>
          <w:rFonts w:ascii="Calibri" w:hAnsi="Calibri" w:cs="Calibri" w:eastAsia="Calibri"/>
          <w:color w:val="auto"/>
          <w:spacing w:val="0"/>
          <w:position w:val="0"/>
          <w:sz w:val="20"/>
          <w:shd w:fill="auto" w:val="clear"/>
        </w:rPr>
        <w:t xml:space="preserve">ći udio ove energije, oko 48%, odnosi na električnu energiju, zatim slijede fosilna goriva (mrki ugalj i lignit), dok je udio biomase znatno manji. Procentualno učešće zastupljenih energenata za grijanje prikazano je na </w:t>
      </w:r>
      <w:r>
        <w:rPr>
          <w:rFonts w:ascii="Calibri" w:hAnsi="Calibri" w:cs="Calibri" w:eastAsia="Calibri"/>
          <w:i/>
          <w:color w:val="auto"/>
          <w:spacing w:val="0"/>
          <w:position w:val="0"/>
          <w:sz w:val="20"/>
          <w:shd w:fill="auto" w:val="clear"/>
        </w:rPr>
        <w:t xml:space="preserve">Dijagramu 5-18</w:t>
      </w:r>
      <w:r>
        <w:rPr>
          <w:rFonts w:ascii="Calibri" w:hAnsi="Calibri" w:cs="Calibri" w:eastAsia="Calibri"/>
          <w:color w:val="auto"/>
          <w:spacing w:val="0"/>
          <w:position w:val="0"/>
          <w:sz w:val="20"/>
          <w:shd w:fill="auto" w:val="clear"/>
        </w:rPr>
        <w:t xml:space="preserve"> u nastavku teksta.</w:t>
      </w:r>
    </w:p>
    <w:p>
      <w:pPr>
        <w:spacing w:before="60" w:after="12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Ukupne emisije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za ovaj podsektor u kontrolnoj godini dobivene su kao proizvod potrebne finalne energije za grijanje u kontrolnoj 2020. godini i odgovaraju</w:t>
      </w:r>
      <w:r>
        <w:rPr>
          <w:rFonts w:ascii="Calibri" w:hAnsi="Calibri" w:cs="Calibri" w:eastAsia="Calibri"/>
          <w:color w:val="auto"/>
          <w:spacing w:val="0"/>
          <w:position w:val="0"/>
          <w:sz w:val="20"/>
          <w:shd w:fill="auto" w:val="clear"/>
        </w:rPr>
        <w:t xml:space="preserve">ćih emisionih faktora. Dobivene vrijednosti su date u narednoj tabeli.</w:t>
      </w:r>
    </w:p>
    <w:tbl>
      <w:tblPr/>
      <w:tblGrid>
        <w:gridCol w:w="2982"/>
        <w:gridCol w:w="1329"/>
        <w:gridCol w:w="1163"/>
        <w:gridCol w:w="1163"/>
        <w:gridCol w:w="1499"/>
        <w:gridCol w:w="1494"/>
      </w:tblGrid>
      <w:tr>
        <w:trPr>
          <w:trHeight w:val="340" w:hRule="auto"/>
          <w:jc w:val="left"/>
        </w:trPr>
        <w:tc>
          <w:tcPr>
            <w:tcW w:w="9630" w:type="dxa"/>
            <w:gridSpan w:val="6"/>
            <w:tcBorders>
              <w:top w:val="single" w:color="000000" w:sz="4"/>
              <w:left w:val="single" w:color="000000" w:sz="4"/>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EMISIJE CO</w:t>
            </w:r>
            <w:r>
              <w:rPr>
                <w:rFonts w:ascii="Calibri" w:hAnsi="Calibri" w:cs="Calibri" w:eastAsia="Calibri"/>
                <w:color w:val="000000"/>
                <w:spacing w:val="0"/>
                <w:position w:val="0"/>
                <w:sz w:val="18"/>
                <w:shd w:fill="auto" w:val="clear"/>
                <w:vertAlign w:val="subscript"/>
              </w:rPr>
              <w:t xml:space="preserve">2</w:t>
            </w:r>
            <w:r>
              <w:rPr>
                <w:rFonts w:ascii="Calibri" w:hAnsi="Calibri" w:cs="Calibri" w:eastAsia="Calibri"/>
                <w:color w:val="000000"/>
                <w:spacing w:val="0"/>
                <w:position w:val="0"/>
                <w:sz w:val="18"/>
                <w:shd w:fill="auto" w:val="clear"/>
              </w:rPr>
              <w:t xml:space="preserve"> [tCO</w:t>
            </w:r>
            <w:r>
              <w:rPr>
                <w:rFonts w:ascii="Calibri" w:hAnsi="Calibri" w:cs="Calibri" w:eastAsia="Calibri"/>
                <w:color w:val="000000"/>
                <w:spacing w:val="0"/>
                <w:position w:val="0"/>
                <w:sz w:val="18"/>
                <w:shd w:fill="auto" w:val="clear"/>
                <w:vertAlign w:val="subscript"/>
              </w:rPr>
              <w:t xml:space="preserve">2</w:t>
            </w:r>
            <w:r>
              <w:rPr>
                <w:rFonts w:ascii="Calibri" w:hAnsi="Calibri" w:cs="Calibri" w:eastAsia="Calibri"/>
                <w:color w:val="000000"/>
                <w:spacing w:val="0"/>
                <w:position w:val="0"/>
                <w:sz w:val="18"/>
                <w:shd w:fill="auto" w:val="clear"/>
              </w:rPr>
              <w:t xml:space="preserve">]</w:t>
            </w:r>
          </w:p>
        </w:tc>
      </w:tr>
      <w:tr>
        <w:trPr>
          <w:trHeight w:val="13" w:hRule="auto"/>
          <w:jc w:val="left"/>
        </w:trPr>
        <w:tc>
          <w:tcPr>
            <w:tcW w:w="2982" w:type="dxa"/>
            <w:vMerge w:val="restart"/>
            <w:tcBorders>
              <w:top w:val="single" w:color="000000" w:sz="4"/>
              <w:left w:val="single" w:color="000000" w:sz="4"/>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VRSTA ENERGENTA</w:t>
            </w:r>
          </w:p>
        </w:tc>
        <w:tc>
          <w:tcPr>
            <w:tcW w:w="1329" w:type="dxa"/>
            <w:vMerge w:val="restart"/>
            <w:tcBorders>
              <w:top w:val="single" w:color="000000" w:sz="4"/>
              <w:left w:val="single" w:color="000000" w:sz="4"/>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ELEKTRI</w:t>
            </w:r>
            <w:r>
              <w:rPr>
                <w:rFonts w:ascii="Calibri" w:hAnsi="Calibri" w:cs="Calibri" w:eastAsia="Calibri"/>
                <w:color w:val="000000"/>
                <w:spacing w:val="0"/>
                <w:position w:val="0"/>
                <w:sz w:val="18"/>
                <w:shd w:fill="auto" w:val="clear"/>
              </w:rPr>
              <w:t xml:space="preserve">ČNA ENERGIJA</w:t>
            </w:r>
          </w:p>
        </w:tc>
        <w:tc>
          <w:tcPr>
            <w:tcW w:w="2326" w:type="dxa"/>
            <w:gridSpan w:val="2"/>
            <w:tcBorders>
              <w:top w:val="single" w:color="000000" w:sz="4"/>
              <w:left w:val="single" w:color="000000" w:sz="4"/>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FOSILNA GORIVA</w:t>
            </w:r>
          </w:p>
        </w:tc>
        <w:tc>
          <w:tcPr>
            <w:tcW w:w="1499" w:type="dxa"/>
            <w:tcBorders>
              <w:top w:val="single" w:color="000000" w:sz="4"/>
              <w:left w:val="single" w:color="000000" w:sz="4"/>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OBNOVLJIVI IZVORI  ENERGIJE</w:t>
            </w:r>
          </w:p>
        </w:tc>
        <w:tc>
          <w:tcPr>
            <w:tcW w:w="1494" w:type="dxa"/>
            <w:vMerge w:val="restart"/>
            <w:tcBorders>
              <w:top w:val="single" w:color="000000" w:sz="4"/>
              <w:left w:val="single" w:color="000000" w:sz="4"/>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UKUPNO</w:t>
            </w:r>
          </w:p>
        </w:tc>
      </w:tr>
      <w:tr>
        <w:trPr>
          <w:trHeight w:val="13" w:hRule="auto"/>
          <w:jc w:val="left"/>
        </w:trPr>
        <w:tc>
          <w:tcPr>
            <w:tcW w:w="2982" w:type="dxa"/>
            <w:vMerge/>
            <w:tcBorders>
              <w:top w:val="single" w:color="000000" w:sz="4"/>
              <w:left w:val="single" w:color="000000" w:sz="4"/>
              <w:bottom w:val="single" w:color="000000" w:sz="4"/>
              <w:right w:val="single" w:color="000000" w:sz="4"/>
            </w:tcBorders>
            <w:shd w:color="000000" w:fill="ffffff" w:val="clear"/>
            <w:tcMar>
              <w:left w:w="44" w:type="dxa"/>
              <w:right w:w="44"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329" w:type="dxa"/>
            <w:vMerge/>
            <w:tcBorders>
              <w:top w:val="single" w:color="000000" w:sz="4"/>
              <w:left w:val="single" w:color="000000" w:sz="4"/>
              <w:bottom w:val="single" w:color="000000" w:sz="4"/>
              <w:right w:val="single" w:color="000000" w:sz="4"/>
            </w:tcBorders>
            <w:shd w:color="000000" w:fill="ffffff" w:val="clear"/>
            <w:tcMar>
              <w:left w:w="44" w:type="dxa"/>
              <w:right w:w="44"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163" w:type="dxa"/>
            <w:tcBorders>
              <w:top w:val="single" w:color="000000" w:sz="4"/>
              <w:left w:val="single" w:color="000000" w:sz="4"/>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LIGNIT</w:t>
            </w:r>
          </w:p>
        </w:tc>
        <w:tc>
          <w:tcPr>
            <w:tcW w:w="1163" w:type="dxa"/>
            <w:tcBorders>
              <w:top w:val="single" w:color="000000" w:sz="4"/>
              <w:left w:val="single" w:color="000000" w:sz="4"/>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MRKI UGALJ</w:t>
            </w:r>
          </w:p>
        </w:tc>
        <w:tc>
          <w:tcPr>
            <w:tcW w:w="1499" w:type="dxa"/>
            <w:tcBorders>
              <w:top w:val="single" w:color="000000" w:sz="4"/>
              <w:left w:val="single" w:color="000000" w:sz="4"/>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BIOMASA</w:t>
            </w:r>
          </w:p>
        </w:tc>
        <w:tc>
          <w:tcPr>
            <w:tcW w:w="1494" w:type="dxa"/>
            <w:vMerge/>
            <w:tcBorders>
              <w:top w:val="single" w:color="000000" w:sz="4"/>
              <w:left w:val="single" w:color="000000" w:sz="4"/>
              <w:bottom w:val="single" w:color="000000" w:sz="4"/>
              <w:right w:val="single" w:color="000000" w:sz="4"/>
            </w:tcBorders>
            <w:shd w:color="000000" w:fill="ffffff" w:val="clear"/>
            <w:tcMar>
              <w:left w:w="44" w:type="dxa"/>
              <w:right w:w="44"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r>
      <w:tr>
        <w:trPr>
          <w:trHeight w:val="224" w:hRule="auto"/>
          <w:jc w:val="left"/>
        </w:trPr>
        <w:tc>
          <w:tcPr>
            <w:tcW w:w="2982" w:type="dxa"/>
            <w:tcBorders>
              <w:top w:val="single" w:color="000000" w:sz="4"/>
              <w:left w:val="single" w:color="000000" w:sz="4"/>
              <w:bottom w:val="single" w:color="000000" w:sz="4"/>
              <w:right w:val="single" w:color="000000" w:sz="4"/>
            </w:tcBorders>
            <w:shd w:color="auto" w:fill="d9e1f2"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EMISIJE CO</w:t>
            </w:r>
            <w:r>
              <w:rPr>
                <w:rFonts w:ascii="Calibri" w:hAnsi="Calibri" w:cs="Calibri" w:eastAsia="Calibri"/>
                <w:color w:val="000000"/>
                <w:spacing w:val="0"/>
                <w:position w:val="0"/>
                <w:sz w:val="18"/>
                <w:shd w:fill="auto" w:val="clear"/>
                <w:vertAlign w:val="subscript"/>
              </w:rPr>
              <w:t xml:space="preserve">2</w:t>
            </w:r>
            <w:r>
              <w:rPr>
                <w:rFonts w:ascii="Calibri" w:hAnsi="Calibri" w:cs="Calibri" w:eastAsia="Calibri"/>
                <w:color w:val="000000"/>
                <w:spacing w:val="0"/>
                <w:position w:val="0"/>
                <w:sz w:val="18"/>
                <w:shd w:fill="auto" w:val="clear"/>
              </w:rPr>
              <w:t xml:space="preserve"> [tCO</w:t>
            </w:r>
            <w:r>
              <w:rPr>
                <w:rFonts w:ascii="Calibri" w:hAnsi="Calibri" w:cs="Calibri" w:eastAsia="Calibri"/>
                <w:color w:val="000000"/>
                <w:spacing w:val="0"/>
                <w:position w:val="0"/>
                <w:sz w:val="18"/>
                <w:shd w:fill="auto" w:val="clear"/>
                <w:vertAlign w:val="subscript"/>
              </w:rPr>
              <w:t xml:space="preserve">2</w:t>
            </w:r>
            <w:r>
              <w:rPr>
                <w:rFonts w:ascii="Calibri" w:hAnsi="Calibri" w:cs="Calibri" w:eastAsia="Calibri"/>
                <w:color w:val="000000"/>
                <w:spacing w:val="0"/>
                <w:position w:val="0"/>
                <w:sz w:val="18"/>
                <w:shd w:fill="auto" w:val="clear"/>
              </w:rPr>
              <w:t xml:space="preserve">]</w:t>
            </w:r>
          </w:p>
        </w:tc>
        <w:tc>
          <w:tcPr>
            <w:tcW w:w="1329" w:type="dxa"/>
            <w:tcBorders>
              <w:top w:val="single" w:color="000000" w:sz="4"/>
              <w:left w:val="single" w:color="000000" w:sz="4"/>
              <w:bottom w:val="single" w:color="000000" w:sz="4"/>
              <w:right w:val="single" w:color="000000" w:sz="4"/>
            </w:tcBorders>
            <w:shd w:color="000000" w:fill="ffffff"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621,14 </w:t>
            </w:r>
          </w:p>
        </w:tc>
        <w:tc>
          <w:tcPr>
            <w:tcW w:w="1163" w:type="dxa"/>
            <w:tcBorders>
              <w:top w:val="single" w:color="000000" w:sz="4"/>
              <w:left w:val="single" w:color="000000" w:sz="4"/>
              <w:bottom w:val="single" w:color="000000" w:sz="4"/>
              <w:right w:val="single" w:color="000000" w:sz="4"/>
            </w:tcBorders>
            <w:shd w:color="000000" w:fill="ffffff"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132,03 </w:t>
            </w:r>
          </w:p>
        </w:tc>
        <w:tc>
          <w:tcPr>
            <w:tcW w:w="1163" w:type="dxa"/>
            <w:tcBorders>
              <w:top w:val="single" w:color="000000" w:sz="4"/>
              <w:left w:val="single" w:color="000000" w:sz="4"/>
              <w:bottom w:val="single" w:color="000000" w:sz="4"/>
              <w:right w:val="single" w:color="000000" w:sz="4"/>
            </w:tcBorders>
            <w:shd w:color="000000" w:fill="ffffff"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123,69 </w:t>
            </w:r>
          </w:p>
        </w:tc>
        <w:tc>
          <w:tcPr>
            <w:tcW w:w="1499" w:type="dxa"/>
            <w:tcBorders>
              <w:top w:val="single" w:color="000000" w:sz="4"/>
              <w:left w:val="single" w:color="000000" w:sz="4"/>
              <w:bottom w:val="single" w:color="000000" w:sz="4"/>
              <w:right w:val="single" w:color="000000" w:sz="4"/>
            </w:tcBorders>
            <w:shd w:color="000000" w:fill="ffffff" w:val="clear"/>
            <w:tcMar>
              <w:left w:w="44" w:type="dxa"/>
              <w:right w:w="44" w:type="dxa"/>
            </w:tcMar>
            <w:vAlign w:val="center"/>
          </w:tcPr>
          <w:p>
            <w:pPr>
              <w:spacing w:before="0" w:after="0" w:line="240"/>
              <w:ind w:right="0" w:left="0" w:firstLine="0"/>
              <w:jc w:val="center"/>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w:t>
            </w:r>
          </w:p>
        </w:tc>
        <w:tc>
          <w:tcPr>
            <w:tcW w:w="1494" w:type="dxa"/>
            <w:tcBorders>
              <w:top w:val="single" w:color="000000" w:sz="4"/>
              <w:left w:val="single" w:color="000000" w:sz="4"/>
              <w:bottom w:val="single" w:color="000000" w:sz="4"/>
              <w:right w:val="single" w:color="000000" w:sz="4"/>
            </w:tcBorders>
            <w:shd w:color="auto" w:fill="d9e1f2" w:val="clear"/>
            <w:tcMar>
              <w:left w:w="44" w:type="dxa"/>
              <w:right w:w="44" w:type="dxa"/>
            </w:tcMar>
            <w:vAlign w:val="center"/>
          </w:tcPr>
          <w:p>
            <w:pPr>
              <w:keepNext w:val="true"/>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876,86 </w:t>
            </w:r>
          </w:p>
        </w:tc>
      </w:tr>
    </w:tbl>
    <w:p>
      <w:pPr>
        <w:spacing w:before="60" w:after="160" w:line="240"/>
        <w:ind w:right="0" w:left="0" w:firstLine="0"/>
        <w:jc w:val="center"/>
        <w:rPr>
          <w:rFonts w:ascii="Calibri" w:hAnsi="Calibri" w:cs="Calibri" w:eastAsia="Calibri"/>
          <w:color w:val="44546A"/>
          <w:spacing w:val="0"/>
          <w:position w:val="0"/>
          <w:sz w:val="18"/>
          <w:shd w:fill="auto" w:val="clear"/>
        </w:rPr>
      </w:pPr>
      <w:r>
        <w:rPr>
          <w:rFonts w:ascii="Calibri" w:hAnsi="Calibri" w:cs="Calibri" w:eastAsia="Calibri"/>
          <w:color w:val="auto"/>
          <w:spacing w:val="0"/>
          <w:position w:val="0"/>
          <w:sz w:val="18"/>
          <w:shd w:fill="auto" w:val="clear"/>
        </w:rPr>
        <w:t xml:space="preserve">Tabela 527: Godišnje emisije </w:t>
      </w:r>
      <w:r>
        <w:rPr>
          <w:rFonts w:ascii="Calibri" w:hAnsi="Calibri" w:cs="Calibri" w:eastAsia="Calibri"/>
          <w:color w:val="000000"/>
          <w:spacing w:val="0"/>
          <w:position w:val="0"/>
          <w:sz w:val="18"/>
          <w:shd w:fill="auto" w:val="clear"/>
        </w:rPr>
        <w:t xml:space="preserve">CO</w:t>
      </w:r>
      <w:r>
        <w:rPr>
          <w:rFonts w:ascii="Calibri" w:hAnsi="Calibri" w:cs="Calibri" w:eastAsia="Calibri"/>
          <w:color w:val="000000"/>
          <w:spacing w:val="0"/>
          <w:position w:val="0"/>
          <w:sz w:val="18"/>
          <w:shd w:fill="auto" w:val="clear"/>
          <w:vertAlign w:val="subscript"/>
        </w:rPr>
        <w:t xml:space="preserve">2  </w:t>
      </w:r>
      <w:r>
        <w:rPr>
          <w:rFonts w:ascii="Calibri" w:hAnsi="Calibri" w:cs="Calibri" w:eastAsia="Calibri"/>
          <w:color w:val="auto"/>
          <w:spacing w:val="0"/>
          <w:position w:val="0"/>
          <w:sz w:val="18"/>
          <w:shd w:fill="auto" w:val="clear"/>
        </w:rPr>
        <w:t xml:space="preserve">iz podsektora javnih zgrada u vlasništvu Op</w:t>
      </w:r>
      <w:r>
        <w:rPr>
          <w:rFonts w:ascii="Calibri" w:hAnsi="Calibri" w:cs="Calibri" w:eastAsia="Calibri"/>
          <w:color w:val="auto"/>
          <w:spacing w:val="0"/>
          <w:position w:val="0"/>
          <w:sz w:val="18"/>
          <w:shd w:fill="auto" w:val="clear"/>
        </w:rPr>
        <w:t xml:space="preserve">ćine u kontrolnoj 2020. godini</w:t>
      </w:r>
    </w:p>
    <w:p>
      <w:pPr>
        <w:spacing w:before="60" w:after="120" w:line="240"/>
        <w:ind w:right="0" w:left="0" w:firstLine="0"/>
        <w:jc w:val="both"/>
        <w:rPr>
          <w:rFonts w:ascii="Calibri" w:hAnsi="Calibri" w:cs="Calibri" w:eastAsia="Calibri"/>
          <w:color w:val="auto"/>
          <w:spacing w:val="0"/>
          <w:position w:val="0"/>
          <w:sz w:val="20"/>
          <w:shd w:fill="FFFF00" w:val="clear"/>
        </w:rPr>
      </w:pPr>
      <w:r>
        <w:rPr>
          <w:rFonts w:ascii="Calibri" w:hAnsi="Calibri" w:cs="Calibri" w:eastAsia="Calibri"/>
          <w:color w:val="auto"/>
          <w:spacing w:val="0"/>
          <w:position w:val="0"/>
          <w:sz w:val="20"/>
          <w:shd w:fill="auto" w:val="clear"/>
        </w:rPr>
        <w:t xml:space="preserve">Ukupne prora</w:t>
      </w:r>
      <w:r>
        <w:rPr>
          <w:rFonts w:ascii="Calibri" w:hAnsi="Calibri" w:cs="Calibri" w:eastAsia="Calibri"/>
          <w:color w:val="auto"/>
          <w:spacing w:val="0"/>
          <w:position w:val="0"/>
          <w:sz w:val="20"/>
          <w:shd w:fill="auto" w:val="clear"/>
        </w:rPr>
        <w:t xml:space="preserve">čunate emisije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za podsektor javnih zgrada u vlasništvu Općine u kontrolnoj 2020. godini iznose 876,86 t. S obzirom na to da je za biomasu u ovom periodu emisioni faktor jednaki nuli, najveći udio u ukupnoj emisiji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imaju indirektne emisije iz potrošnje električne energije sa oko 71%, dok preostali udio imaju približno ravnomjerno raspoređene emisije iz lignita i mrkog uglja. Procentualno učešće razmatranih energenata u ukupnim emisijama iz ovog sektora u kontrolnoj 2020. godini prikazano je na </w:t>
      </w:r>
      <w:r>
        <w:rPr>
          <w:rFonts w:ascii="Calibri" w:hAnsi="Calibri" w:cs="Calibri" w:eastAsia="Calibri"/>
          <w:i/>
          <w:color w:val="auto"/>
          <w:spacing w:val="0"/>
          <w:position w:val="0"/>
          <w:sz w:val="20"/>
          <w:shd w:fill="auto" w:val="clear"/>
        </w:rPr>
        <w:t xml:space="preserve">Dijagramu 5-19</w:t>
      </w:r>
      <w:r>
        <w:rPr>
          <w:rFonts w:ascii="Calibri" w:hAnsi="Calibri" w:cs="Calibri" w:eastAsia="Calibri"/>
          <w:color w:val="auto"/>
          <w:spacing w:val="0"/>
          <w:position w:val="0"/>
          <w:sz w:val="20"/>
          <w:shd w:fill="auto" w:val="clear"/>
        </w:rPr>
        <w:t xml:space="preserve">. </w:t>
      </w:r>
    </w:p>
    <w:tbl>
      <w:tblPr/>
      <w:tblGrid>
        <w:gridCol w:w="5017"/>
        <w:gridCol w:w="5018"/>
      </w:tblGrid>
      <w:tr>
        <w:trPr>
          <w:trHeight w:val="1" w:hRule="atLeast"/>
          <w:jc w:val="left"/>
        </w:trPr>
        <w:tc>
          <w:tcPr>
            <w:tcW w:w="5017"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FFFF00" w:val="clear"/>
              </w:rPr>
            </w:pPr>
          </w:p>
          <w:p>
            <w:pPr>
              <w:spacing w:before="60" w:after="16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Dijagram 518: Udio razmatranih energenata u potrebnoj finalnoj energiji za grijanje javnih zgrada u vlasništvu Op</w:t>
            </w:r>
            <w:r>
              <w:rPr>
                <w:rFonts w:ascii="Calibri" w:hAnsi="Calibri" w:cs="Calibri" w:eastAsia="Calibri"/>
                <w:color w:val="auto"/>
                <w:spacing w:val="0"/>
                <w:position w:val="0"/>
                <w:sz w:val="18"/>
                <w:shd w:fill="auto" w:val="clear"/>
              </w:rPr>
              <w:t xml:space="preserve">ćine u kontrolnoj 2020. godini</w:t>
            </w:r>
          </w:p>
        </w:tc>
        <w:tc>
          <w:tcPr>
            <w:tcW w:w="5018"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FFFF00" w:val="clear"/>
              </w:rPr>
            </w:pPr>
          </w:p>
          <w:p>
            <w:pPr>
              <w:spacing w:before="60" w:after="16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Dijagram 519: Udio razmatranih energenata u godišnjim emisijama CO</w:t>
            </w:r>
            <w:r>
              <w:rPr>
                <w:rFonts w:ascii="Calibri" w:hAnsi="Calibri" w:cs="Calibri" w:eastAsia="Calibri"/>
                <w:color w:val="auto"/>
                <w:spacing w:val="0"/>
                <w:position w:val="0"/>
                <w:sz w:val="18"/>
                <w:shd w:fill="auto" w:val="clear"/>
                <w:vertAlign w:val="subscript"/>
              </w:rPr>
              <w:t xml:space="preserve">2 </w:t>
            </w:r>
            <w:r>
              <w:rPr>
                <w:rFonts w:ascii="Calibri" w:hAnsi="Calibri" w:cs="Calibri" w:eastAsia="Calibri"/>
                <w:color w:val="auto"/>
                <w:spacing w:val="0"/>
                <w:position w:val="0"/>
                <w:sz w:val="18"/>
                <w:shd w:fill="auto" w:val="clear"/>
              </w:rPr>
              <w:t xml:space="preserve">iz podsektora javnih zgrada u vlasništvu Op</w:t>
            </w:r>
            <w:r>
              <w:rPr>
                <w:rFonts w:ascii="Calibri" w:hAnsi="Calibri" w:cs="Calibri" w:eastAsia="Calibri"/>
                <w:color w:val="auto"/>
                <w:spacing w:val="0"/>
                <w:position w:val="0"/>
                <w:sz w:val="18"/>
                <w:shd w:fill="auto" w:val="clear"/>
              </w:rPr>
              <w:t xml:space="preserve">ćine u kontrolnoj 2020. godini</w:t>
            </w:r>
          </w:p>
        </w:tc>
      </w:tr>
    </w:tbl>
    <w:p>
      <w:pPr>
        <w:keepNext w:val="true"/>
        <w:keepLines w:val="true"/>
        <w:numPr>
          <w:ilvl w:val="0"/>
          <w:numId w:val="1461"/>
        </w:numPr>
        <w:spacing w:before="120" w:after="0" w:line="240"/>
        <w:ind w:right="0" w:left="862" w:hanging="862"/>
        <w:jc w:val="both"/>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Emisije CO</w:t>
      </w:r>
      <w:r>
        <w:rPr>
          <w:rFonts w:ascii="Calibri" w:hAnsi="Calibri" w:cs="Calibri" w:eastAsia="Calibri"/>
          <w:b/>
          <w:color w:val="auto"/>
          <w:spacing w:val="0"/>
          <w:position w:val="0"/>
          <w:sz w:val="22"/>
          <w:shd w:fill="auto" w:val="clear"/>
          <w:vertAlign w:val="subscript"/>
        </w:rPr>
        <w:t xml:space="preserve">2 </w:t>
      </w:r>
      <w:r>
        <w:rPr>
          <w:rFonts w:ascii="Calibri" w:hAnsi="Calibri" w:cs="Calibri" w:eastAsia="Calibri"/>
          <w:b/>
          <w:color w:val="auto"/>
          <w:spacing w:val="0"/>
          <w:position w:val="0"/>
          <w:sz w:val="22"/>
          <w:shd w:fill="auto" w:val="clear"/>
        </w:rPr>
        <w:t xml:space="preserve"> u kontrolnoj godini iz podsektora javnih zgrada koje nisu u vlasništvu Op</w:t>
      </w:r>
      <w:r>
        <w:rPr>
          <w:rFonts w:ascii="Calibri" w:hAnsi="Calibri" w:cs="Calibri" w:eastAsia="Calibri"/>
          <w:b/>
          <w:color w:val="auto"/>
          <w:spacing w:val="0"/>
          <w:position w:val="0"/>
          <w:sz w:val="22"/>
          <w:shd w:fill="auto" w:val="clear"/>
        </w:rPr>
        <w:t xml:space="preserve">ćine</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Kontrolnim inventarom emisija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obuhva</w:t>
      </w:r>
      <w:r>
        <w:rPr>
          <w:rFonts w:ascii="Calibri" w:hAnsi="Calibri" w:cs="Calibri" w:eastAsia="Calibri"/>
          <w:color w:val="auto"/>
          <w:spacing w:val="0"/>
          <w:position w:val="0"/>
          <w:sz w:val="20"/>
          <w:shd w:fill="auto" w:val="clear"/>
        </w:rPr>
        <w:t xml:space="preserve">ćeno je ukupno 9 zgrada u okviru ovog podsektora. Sve su izgrađene prije bazne 2010. godine, dok u periodu od 2010. do kontrolne 2020. godine nije izgrađena nijedna nova zgrada.</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Emisije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iz ovog podsektora dobivene su na isti na</w:t>
      </w:r>
      <w:r>
        <w:rPr>
          <w:rFonts w:ascii="Calibri" w:hAnsi="Calibri" w:cs="Calibri" w:eastAsia="Calibri"/>
          <w:color w:val="auto"/>
          <w:spacing w:val="0"/>
          <w:position w:val="0"/>
          <w:sz w:val="20"/>
          <w:shd w:fill="auto" w:val="clear"/>
        </w:rPr>
        <w:t xml:space="preserve">čin kao emisije iz podsektora javnih zgrada u vlasništvu Općine. Prvi korak pri određivanju potrebne finalne energije za grijanje javnih zgrada iz ovog podsektora u kontrolnoj 2020. godini bilo je </w:t>
      </w:r>
      <w:r>
        <w:rPr>
          <w:rFonts w:ascii="Calibri" w:hAnsi="Calibri" w:cs="Calibri" w:eastAsia="Calibri"/>
          <w:b/>
          <w:color w:val="auto"/>
          <w:spacing w:val="0"/>
          <w:position w:val="0"/>
          <w:sz w:val="20"/>
          <w:shd w:fill="auto" w:val="clear"/>
        </w:rPr>
        <w:t xml:space="preserve">određivanje energetskih ušteda ostvarenih u periodu od 2010. do 2020. godine realizacijom mjera energetske efikasnosti</w:t>
      </w:r>
      <w:r>
        <w:rPr>
          <w:rFonts w:ascii="Calibri" w:hAnsi="Calibri" w:cs="Calibri" w:eastAsia="Calibri"/>
          <w:color w:val="auto"/>
          <w:spacing w:val="0"/>
          <w:position w:val="0"/>
          <w:sz w:val="20"/>
          <w:shd w:fill="auto" w:val="clear"/>
        </w:rPr>
        <w:t xml:space="preserve"> na ovim zgradama. </w:t>
      </w:r>
    </w:p>
    <w:p>
      <w:pPr>
        <w:spacing w:before="60" w:after="12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Od  ukupno 9 zgrada iz ovog podsektora, koje su razmatrane u okviru odre</w:t>
      </w:r>
      <w:r>
        <w:rPr>
          <w:rFonts w:ascii="Calibri" w:hAnsi="Calibri" w:cs="Calibri" w:eastAsia="Calibri"/>
          <w:color w:val="auto"/>
          <w:spacing w:val="0"/>
          <w:position w:val="0"/>
          <w:sz w:val="20"/>
          <w:shd w:fill="auto" w:val="clear"/>
        </w:rPr>
        <w:t xml:space="preserve">đivanja baznog inventara emisija, na 7 zgrada su u tom periodu realizirane određene mjere energetske efikasnosti. Realizirane mjere utopljavanja vanjske ovojnice (vanjskih zidova/fasade, krova/stropa i vanjskih otvora) ovih zgrada prikazane su u narednoj tabeli.</w:t>
      </w:r>
    </w:p>
    <w:tbl>
      <w:tblPr/>
      <w:tblGrid>
        <w:gridCol w:w="2720"/>
        <w:gridCol w:w="2720"/>
        <w:gridCol w:w="2880"/>
      </w:tblGrid>
      <w:tr>
        <w:trPr>
          <w:trHeight w:val="499" w:hRule="auto"/>
          <w:jc w:val="center"/>
        </w:trPr>
        <w:tc>
          <w:tcPr>
            <w:tcW w:w="8320" w:type="dxa"/>
            <w:gridSpan w:val="3"/>
            <w:tcBorders>
              <w:top w:val="single" w:color="000000" w:sz="4"/>
              <w:left w:val="single" w:color="000000" w:sz="4"/>
              <w:bottom w:val="single" w:color="000000" w:sz="4"/>
              <w:right w:val="single" w:color="000000" w:sz="4"/>
            </w:tcBorders>
            <w:shd w:color="auto" w:fill="bdd6ee"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MJERE NA VANJSKOJ OVOJNICI JAVNIH ZGRADA KOJE NISU U VLASNIŠTVU OP</w:t>
            </w:r>
            <w:r>
              <w:rPr>
                <w:rFonts w:ascii="Calibri" w:hAnsi="Calibri" w:cs="Calibri" w:eastAsia="Calibri"/>
                <w:color w:val="000000"/>
                <w:spacing w:val="0"/>
                <w:position w:val="0"/>
                <w:sz w:val="18"/>
                <w:shd w:fill="auto" w:val="clear"/>
              </w:rPr>
              <w:t xml:space="preserve">ĆINE DOBOJ ISTOK</w:t>
              <w:br/>
            </w:r>
            <w:r>
              <w:rPr>
                <w:rFonts w:ascii="Calibri" w:hAnsi="Calibri" w:cs="Calibri" w:eastAsia="Calibri"/>
                <w:color w:val="000000"/>
                <w:spacing w:val="0"/>
                <w:position w:val="0"/>
                <w:sz w:val="18"/>
                <w:shd w:fill="auto" w:val="clear"/>
              </w:rPr>
              <w:t xml:space="preserve">REALIZIRANE U PERIODU 2010. - 2020.</w:t>
            </w:r>
          </w:p>
        </w:tc>
      </w:tr>
      <w:tr>
        <w:trPr>
          <w:trHeight w:val="570" w:hRule="auto"/>
          <w:jc w:val="center"/>
        </w:trPr>
        <w:tc>
          <w:tcPr>
            <w:tcW w:w="2720" w:type="dxa"/>
            <w:tcBorders>
              <w:top w:val="single" w:color="000000" w:sz="0"/>
              <w:left w:val="single" w:color="000000" w:sz="4"/>
              <w:bottom w:val="single" w:color="000000" w:sz="4"/>
              <w:right w:val="single" w:color="000000" w:sz="4"/>
            </w:tcBorders>
            <w:shd w:color="auto" w:fill="bdd6ee"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Površina termoizolovanih vanjskih zidova (m</w:t>
            </w:r>
            <w:r>
              <w:rPr>
                <w:rFonts w:ascii="Calibri" w:hAnsi="Calibri" w:cs="Calibri" w:eastAsia="Calibri"/>
                <w:color w:val="000000"/>
                <w:spacing w:val="0"/>
                <w:position w:val="0"/>
                <w:sz w:val="18"/>
                <w:shd w:fill="auto" w:val="clear"/>
                <w:vertAlign w:val="superscript"/>
              </w:rPr>
              <w:t xml:space="preserve">2</w:t>
            </w:r>
            <w:r>
              <w:rPr>
                <w:rFonts w:ascii="Calibri" w:hAnsi="Calibri" w:cs="Calibri" w:eastAsia="Calibri"/>
                <w:color w:val="000000"/>
                <w:spacing w:val="0"/>
                <w:position w:val="0"/>
                <w:sz w:val="18"/>
                <w:shd w:fill="auto" w:val="clear"/>
              </w:rPr>
              <w:t xml:space="preserve">)</w:t>
            </w:r>
          </w:p>
        </w:tc>
        <w:tc>
          <w:tcPr>
            <w:tcW w:w="2720" w:type="dxa"/>
            <w:tcBorders>
              <w:top w:val="single" w:color="000000" w:sz="0"/>
              <w:left w:val="single" w:color="000000" w:sz="0"/>
              <w:bottom w:val="single" w:color="000000" w:sz="4"/>
              <w:right w:val="single" w:color="000000" w:sz="4"/>
            </w:tcBorders>
            <w:shd w:color="auto" w:fill="bdd6ee"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Površina termoizolovanog stropa/krova (m</w:t>
            </w:r>
            <w:r>
              <w:rPr>
                <w:rFonts w:ascii="Calibri" w:hAnsi="Calibri" w:cs="Calibri" w:eastAsia="Calibri"/>
                <w:color w:val="000000"/>
                <w:spacing w:val="0"/>
                <w:position w:val="0"/>
                <w:sz w:val="18"/>
                <w:shd w:fill="auto" w:val="clear"/>
                <w:vertAlign w:val="superscript"/>
              </w:rPr>
              <w:t xml:space="preserve">2</w:t>
            </w:r>
            <w:r>
              <w:rPr>
                <w:rFonts w:ascii="Calibri" w:hAnsi="Calibri" w:cs="Calibri" w:eastAsia="Calibri"/>
                <w:color w:val="000000"/>
                <w:spacing w:val="0"/>
                <w:position w:val="0"/>
                <w:sz w:val="18"/>
                <w:shd w:fill="auto" w:val="clear"/>
              </w:rPr>
              <w:t xml:space="preserve">)</w:t>
            </w:r>
          </w:p>
        </w:tc>
        <w:tc>
          <w:tcPr>
            <w:tcW w:w="2880" w:type="dxa"/>
            <w:tcBorders>
              <w:top w:val="single" w:color="000000" w:sz="0"/>
              <w:left w:val="single" w:color="000000" w:sz="0"/>
              <w:bottom w:val="single" w:color="000000" w:sz="4"/>
              <w:right w:val="single" w:color="000000" w:sz="4"/>
            </w:tcBorders>
            <w:shd w:color="auto" w:fill="bdd6ee"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Površina zamijenjene vanjskih otvora (m</w:t>
            </w:r>
            <w:r>
              <w:rPr>
                <w:rFonts w:ascii="Calibri" w:hAnsi="Calibri" w:cs="Calibri" w:eastAsia="Calibri"/>
                <w:color w:val="000000"/>
                <w:spacing w:val="0"/>
                <w:position w:val="0"/>
                <w:sz w:val="18"/>
                <w:shd w:fill="auto" w:val="clear"/>
                <w:vertAlign w:val="superscript"/>
              </w:rPr>
              <w:t xml:space="preserve">2</w:t>
            </w:r>
            <w:r>
              <w:rPr>
                <w:rFonts w:ascii="Calibri" w:hAnsi="Calibri" w:cs="Calibri" w:eastAsia="Calibri"/>
                <w:color w:val="000000"/>
                <w:spacing w:val="0"/>
                <w:position w:val="0"/>
                <w:sz w:val="18"/>
                <w:shd w:fill="auto" w:val="clear"/>
              </w:rPr>
              <w:t xml:space="preserve">)</w:t>
            </w:r>
          </w:p>
        </w:tc>
      </w:tr>
      <w:tr>
        <w:trPr>
          <w:trHeight w:val="300" w:hRule="auto"/>
          <w:jc w:val="center"/>
        </w:trPr>
        <w:tc>
          <w:tcPr>
            <w:tcW w:w="272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5.860,00</w:t>
            </w:r>
          </w:p>
        </w:tc>
        <w:tc>
          <w:tcPr>
            <w:tcW w:w="2720" w:type="dxa"/>
            <w:tcBorders>
              <w:top w:val="single" w:color="000000" w:sz="4"/>
              <w:left w:val="single" w:color="000000" w:sz="0"/>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250,00</w:t>
            </w:r>
          </w:p>
        </w:tc>
        <w:tc>
          <w:tcPr>
            <w:tcW w:w="2880" w:type="dxa"/>
            <w:tcBorders>
              <w:top w:val="single" w:color="000000" w:sz="4"/>
              <w:left w:val="single" w:color="000000" w:sz="0"/>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1.035,00</w:t>
            </w:r>
          </w:p>
        </w:tc>
      </w:tr>
    </w:tbl>
    <w:p>
      <w:pPr>
        <w:spacing w:before="60" w:after="160" w:line="240"/>
        <w:ind w:right="0" w:left="0" w:firstLine="0"/>
        <w:jc w:val="center"/>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18"/>
          <w:shd w:fill="auto" w:val="clear"/>
        </w:rPr>
        <w:t xml:space="preserve">Tabela 528: Zbirni pregled mjera energetske efikasnosti realiziranih u periodu 2010.–2020. na vanjskoj ovojnici javnih zgrada koje nisu u vlasništvu Op</w:t>
      </w:r>
      <w:r>
        <w:rPr>
          <w:rFonts w:ascii="Calibri" w:hAnsi="Calibri" w:cs="Calibri" w:eastAsia="Calibri"/>
          <w:color w:val="auto"/>
          <w:spacing w:val="0"/>
          <w:position w:val="0"/>
          <w:sz w:val="18"/>
          <w:shd w:fill="auto" w:val="clear"/>
        </w:rPr>
        <w:t xml:space="preserve">ćine</w:t>
      </w:r>
    </w:p>
    <w:p>
      <w:pPr>
        <w:spacing w:before="60" w:after="12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Naredna tabela daje zbirni pregled mjera zamjene postoje</w:t>
      </w:r>
      <w:r>
        <w:rPr>
          <w:rFonts w:ascii="Calibri" w:hAnsi="Calibri" w:cs="Calibri" w:eastAsia="Calibri"/>
          <w:color w:val="auto"/>
          <w:spacing w:val="0"/>
          <w:position w:val="0"/>
          <w:sz w:val="20"/>
          <w:shd w:fill="auto" w:val="clear"/>
        </w:rPr>
        <w:t xml:space="preserve">ćih sistema grijanja sa efikasnijim sistemima i zamjene postojećih fosilnih energenta sa okolišno prihvatljivijim energentima, koje su realizirane u podsektoru javnih zgrada koje nisu u vlasništvu Općine.</w:t>
      </w:r>
    </w:p>
    <w:tbl>
      <w:tblPr/>
      <w:tblGrid>
        <w:gridCol w:w="2954"/>
        <w:gridCol w:w="2370"/>
        <w:gridCol w:w="1741"/>
        <w:gridCol w:w="2040"/>
      </w:tblGrid>
      <w:tr>
        <w:trPr>
          <w:trHeight w:val="555" w:hRule="auto"/>
          <w:jc w:val="center"/>
        </w:trPr>
        <w:tc>
          <w:tcPr>
            <w:tcW w:w="9105" w:type="dxa"/>
            <w:gridSpan w:val="4"/>
            <w:tcBorders>
              <w:top w:val="single" w:color="000000" w:sz="4"/>
              <w:left w:val="single" w:color="000000" w:sz="4"/>
              <w:bottom w:val="single" w:color="000000" w:sz="4"/>
              <w:right w:val="single" w:color="000000" w:sz="4"/>
            </w:tcBorders>
            <w:shd w:color="auto" w:fill="dce6f1"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PROMJENE U SISTEMU GRIJANJA JAVNIH ZGRADA KOJE NISU U VLASNIŠTVU OP</w:t>
            </w:r>
            <w:r>
              <w:rPr>
                <w:rFonts w:ascii="Calibri" w:hAnsi="Calibri" w:cs="Calibri" w:eastAsia="Calibri"/>
                <w:color w:val="000000"/>
                <w:spacing w:val="0"/>
                <w:position w:val="0"/>
                <w:sz w:val="18"/>
                <w:shd w:fill="auto" w:val="clear"/>
              </w:rPr>
              <w:t xml:space="preserve">ĆINE DOBOJ ISTOK</w:t>
              <w:br/>
            </w:r>
            <w:r>
              <w:rPr>
                <w:rFonts w:ascii="Calibri" w:hAnsi="Calibri" w:cs="Calibri" w:eastAsia="Calibri"/>
                <w:color w:val="000000"/>
                <w:spacing w:val="0"/>
                <w:position w:val="0"/>
                <w:sz w:val="18"/>
                <w:shd w:fill="auto" w:val="clear"/>
              </w:rPr>
              <w:t xml:space="preserve"> REALIZIRANE U PERIODU 2010. - 2020.</w:t>
            </w:r>
          </w:p>
        </w:tc>
      </w:tr>
      <w:tr>
        <w:trPr>
          <w:trHeight w:val="246" w:hRule="auto"/>
          <w:jc w:val="center"/>
        </w:trPr>
        <w:tc>
          <w:tcPr>
            <w:tcW w:w="5324" w:type="dxa"/>
            <w:gridSpan w:val="2"/>
            <w:tcBorders>
              <w:top w:val="single" w:color="000000" w:sz="4"/>
              <w:left w:val="single" w:color="000000" w:sz="4"/>
              <w:bottom w:val="single" w:color="000000" w:sz="4"/>
              <w:right w:val="single" w:color="000000" w:sz="4"/>
            </w:tcBorders>
            <w:shd w:color="auto" w:fill="dce6f1"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NA</w:t>
            </w:r>
            <w:r>
              <w:rPr>
                <w:rFonts w:ascii="Calibri" w:hAnsi="Calibri" w:cs="Calibri" w:eastAsia="Calibri"/>
                <w:color w:val="000000"/>
                <w:spacing w:val="0"/>
                <w:position w:val="0"/>
                <w:sz w:val="18"/>
                <w:shd w:fill="auto" w:val="clear"/>
              </w:rPr>
              <w:t xml:space="preserve">ČIN GRIJNJA - ENERGENT</w:t>
            </w:r>
          </w:p>
        </w:tc>
        <w:tc>
          <w:tcPr>
            <w:tcW w:w="1741" w:type="dxa"/>
            <w:vMerge w:val="restart"/>
            <w:tcBorders>
              <w:top w:val="single" w:color="000000" w:sz="4"/>
              <w:left w:val="single" w:color="000000" w:sz="4"/>
              <w:bottom w:val="single" w:color="000000" w:sz="4"/>
              <w:right w:val="single" w:color="000000" w:sz="4"/>
            </w:tcBorders>
            <w:shd w:color="auto" w:fill="dce6f1"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BROJ ZGRADA</w:t>
            </w:r>
          </w:p>
        </w:tc>
        <w:tc>
          <w:tcPr>
            <w:tcW w:w="2040" w:type="dxa"/>
            <w:vMerge w:val="restart"/>
            <w:tcBorders>
              <w:top w:val="single" w:color="000000" w:sz="4"/>
              <w:left w:val="single" w:color="000000" w:sz="4"/>
              <w:bottom w:val="single" w:color="000000" w:sz="4"/>
              <w:right w:val="single" w:color="000000" w:sz="4"/>
            </w:tcBorders>
            <w:shd w:color="auto" w:fill="dce6f1"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GRIJANA POVRŠINA (m²)</w:t>
            </w:r>
          </w:p>
        </w:tc>
      </w:tr>
      <w:tr>
        <w:trPr>
          <w:trHeight w:val="246" w:hRule="auto"/>
          <w:jc w:val="center"/>
        </w:trPr>
        <w:tc>
          <w:tcPr>
            <w:tcW w:w="2954" w:type="dxa"/>
            <w:tcBorders>
              <w:top w:val="single" w:color="000000" w:sz="4"/>
              <w:left w:val="single" w:color="000000" w:sz="4"/>
              <w:bottom w:val="single" w:color="000000" w:sz="4"/>
              <w:right w:val="single" w:color="000000" w:sz="4"/>
            </w:tcBorders>
            <w:shd w:color="auto" w:fill="dce6f1"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PRIJE MJERA</w:t>
            </w:r>
          </w:p>
        </w:tc>
        <w:tc>
          <w:tcPr>
            <w:tcW w:w="2370" w:type="dxa"/>
            <w:tcBorders>
              <w:top w:val="single" w:color="000000" w:sz="4"/>
              <w:left w:val="single" w:color="000000" w:sz="4"/>
              <w:bottom w:val="single" w:color="000000" w:sz="4"/>
              <w:right w:val="single" w:color="000000" w:sz="4"/>
            </w:tcBorders>
            <w:shd w:color="auto" w:fill="dce6f1"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POSLIJE MJERA</w:t>
            </w:r>
          </w:p>
        </w:tc>
        <w:tc>
          <w:tcPr>
            <w:tcW w:w="1741"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2040"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r>
      <w:tr>
        <w:trPr>
          <w:trHeight w:val="246" w:hRule="auto"/>
          <w:jc w:val="center"/>
        </w:trPr>
        <w:tc>
          <w:tcPr>
            <w:tcW w:w="29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CENTRALNO - UGALJ</w:t>
            </w:r>
          </w:p>
        </w:tc>
        <w:tc>
          <w:tcPr>
            <w:tcW w:w="23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CENTRALNO - PELET</w:t>
            </w:r>
          </w:p>
        </w:tc>
        <w:tc>
          <w:tcPr>
            <w:tcW w:w="17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w:t>
            </w:r>
          </w:p>
        </w:tc>
        <w:tc>
          <w:tcPr>
            <w:tcW w:w="20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387,00    </w:t>
            </w:r>
          </w:p>
        </w:tc>
      </w:tr>
      <w:tr>
        <w:trPr>
          <w:trHeight w:val="246" w:hRule="auto"/>
          <w:jc w:val="center"/>
        </w:trPr>
        <w:tc>
          <w:tcPr>
            <w:tcW w:w="29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CENTRALNO - UGALJ I DRVO</w:t>
            </w:r>
          </w:p>
        </w:tc>
        <w:tc>
          <w:tcPr>
            <w:tcW w:w="23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CENTRALNO - PELET</w:t>
            </w:r>
          </w:p>
        </w:tc>
        <w:tc>
          <w:tcPr>
            <w:tcW w:w="17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w:t>
            </w:r>
          </w:p>
        </w:tc>
        <w:tc>
          <w:tcPr>
            <w:tcW w:w="20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510,00    </w:t>
            </w:r>
          </w:p>
        </w:tc>
      </w:tr>
      <w:tr>
        <w:trPr>
          <w:trHeight w:val="246" w:hRule="auto"/>
          <w:jc w:val="center"/>
        </w:trPr>
        <w:tc>
          <w:tcPr>
            <w:tcW w:w="5324" w:type="dxa"/>
            <w:gridSpan w:val="2"/>
            <w:tcBorders>
              <w:top w:val="single" w:color="000000" w:sz="4"/>
              <w:left w:val="single" w:color="000000" w:sz="4"/>
              <w:bottom w:val="single" w:color="000000" w:sz="4"/>
              <w:right w:val="single" w:color="000000" w:sz="4"/>
            </w:tcBorders>
            <w:shd w:color="auto" w:fill="dce6f1" w:val="clear"/>
            <w:tcMar>
              <w:left w:w="108" w:type="dxa"/>
              <w:right w:w="108" w:type="dxa"/>
            </w:tcMar>
            <w:vAlign w:val="center"/>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UKUPNO</w:t>
            </w:r>
          </w:p>
        </w:tc>
        <w:tc>
          <w:tcPr>
            <w:tcW w:w="1741" w:type="dxa"/>
            <w:tcBorders>
              <w:top w:val="single" w:color="000000" w:sz="4"/>
              <w:left w:val="single" w:color="000000" w:sz="4"/>
              <w:bottom w:val="single" w:color="000000" w:sz="4"/>
              <w:right w:val="single" w:color="000000" w:sz="4"/>
            </w:tcBorders>
            <w:shd w:color="auto" w:fill="dce6f1"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3</w:t>
            </w:r>
          </w:p>
        </w:tc>
        <w:tc>
          <w:tcPr>
            <w:tcW w:w="2040" w:type="dxa"/>
            <w:tcBorders>
              <w:top w:val="single" w:color="000000" w:sz="4"/>
              <w:left w:val="single" w:color="000000" w:sz="4"/>
              <w:bottom w:val="single" w:color="000000" w:sz="4"/>
              <w:right w:val="single" w:color="000000" w:sz="4"/>
            </w:tcBorders>
            <w:shd w:color="auto" w:fill="dce6f1"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897,00    </w:t>
            </w:r>
          </w:p>
        </w:tc>
      </w:tr>
    </w:tbl>
    <w:p>
      <w:pPr>
        <w:spacing w:before="60" w:after="160" w:line="240"/>
        <w:ind w:right="0" w:left="0" w:firstLine="0"/>
        <w:jc w:val="center"/>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Tabela 529: Zbirni pregled mjera energetske efikasnosti realiziranih u periodu 2010.–2020. godina na sistemima grijanja javnih zgrada koje nisu u vlasništvu Op</w:t>
      </w:r>
      <w:r>
        <w:rPr>
          <w:rFonts w:ascii="Calibri" w:hAnsi="Calibri" w:cs="Calibri" w:eastAsia="Calibri"/>
          <w:color w:val="auto"/>
          <w:spacing w:val="0"/>
          <w:position w:val="0"/>
          <w:sz w:val="18"/>
          <w:shd w:fill="auto" w:val="clear"/>
        </w:rPr>
        <w:t xml:space="preserve">ćine</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Uštede finalne energije u 2020. godini, ostvarene u odnosu na stanje 2010. godine dobivene su na osnovu ovih ulaznih podataka o realiziranim mjerama energetske efikasnosti, korištenjem MVP metodologije, na isti na</w:t>
      </w:r>
      <w:r>
        <w:rPr>
          <w:rFonts w:ascii="Calibri" w:hAnsi="Calibri" w:cs="Calibri" w:eastAsia="Calibri"/>
          <w:color w:val="auto"/>
          <w:spacing w:val="0"/>
          <w:position w:val="0"/>
          <w:sz w:val="20"/>
          <w:shd w:fill="auto" w:val="clear"/>
        </w:rPr>
        <w:t xml:space="preserve">čin kao i za podsektor javnih zgrada u vlasništvu Općine. </w:t>
      </w:r>
    </w:p>
    <w:p>
      <w:pPr>
        <w:spacing w:before="60" w:after="12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Naredna tabela daje pregled ušteda finalne energije za podsektor zgrada koje nisu u vlasništvu Op</w:t>
      </w:r>
      <w:r>
        <w:rPr>
          <w:rFonts w:ascii="Calibri" w:hAnsi="Calibri" w:cs="Calibri" w:eastAsia="Calibri"/>
          <w:color w:val="auto"/>
          <w:spacing w:val="0"/>
          <w:position w:val="0"/>
          <w:sz w:val="20"/>
          <w:shd w:fill="auto" w:val="clear"/>
        </w:rPr>
        <w:t xml:space="preserve">ćine, ostvarenih u periodu od 2010. do 2020. godine realizacijom mjera energetske efikasnosti.</w:t>
      </w:r>
    </w:p>
    <w:tbl>
      <w:tblPr/>
      <w:tblGrid>
        <w:gridCol w:w="2982"/>
        <w:gridCol w:w="1329"/>
        <w:gridCol w:w="1163"/>
        <w:gridCol w:w="1163"/>
        <w:gridCol w:w="1499"/>
        <w:gridCol w:w="1494"/>
      </w:tblGrid>
      <w:tr>
        <w:trPr>
          <w:trHeight w:val="340" w:hRule="auto"/>
          <w:jc w:val="left"/>
        </w:trPr>
        <w:tc>
          <w:tcPr>
            <w:tcW w:w="9630" w:type="dxa"/>
            <w:gridSpan w:val="6"/>
            <w:tcBorders>
              <w:top w:val="single" w:color="000000" w:sz="4"/>
              <w:left w:val="single" w:color="000000" w:sz="4"/>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UŠTEDE FINALNE ENERGIJE U 2020. GODINI U ODNOSU NA BAZNU GODINU [MWh]</w:t>
            </w:r>
          </w:p>
        </w:tc>
      </w:tr>
      <w:tr>
        <w:trPr>
          <w:trHeight w:val="13" w:hRule="auto"/>
          <w:jc w:val="left"/>
        </w:trPr>
        <w:tc>
          <w:tcPr>
            <w:tcW w:w="2982" w:type="dxa"/>
            <w:vMerge w:val="restart"/>
            <w:tcBorders>
              <w:top w:val="single" w:color="000000" w:sz="4"/>
              <w:left w:val="single" w:color="000000" w:sz="4"/>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VRSTA ENERGENTA</w:t>
            </w:r>
          </w:p>
        </w:tc>
        <w:tc>
          <w:tcPr>
            <w:tcW w:w="1329" w:type="dxa"/>
            <w:vMerge w:val="restart"/>
            <w:tcBorders>
              <w:top w:val="single" w:color="000000" w:sz="4"/>
              <w:left w:val="single" w:color="000000" w:sz="4"/>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ELEKTRI</w:t>
            </w:r>
            <w:r>
              <w:rPr>
                <w:rFonts w:ascii="Calibri" w:hAnsi="Calibri" w:cs="Calibri" w:eastAsia="Calibri"/>
                <w:color w:val="000000"/>
                <w:spacing w:val="0"/>
                <w:position w:val="0"/>
                <w:sz w:val="18"/>
                <w:shd w:fill="auto" w:val="clear"/>
              </w:rPr>
              <w:t xml:space="preserve">ČNA ENERGIJA</w:t>
            </w:r>
          </w:p>
        </w:tc>
        <w:tc>
          <w:tcPr>
            <w:tcW w:w="2326" w:type="dxa"/>
            <w:gridSpan w:val="2"/>
            <w:tcBorders>
              <w:top w:val="single" w:color="000000" w:sz="4"/>
              <w:left w:val="single" w:color="000000" w:sz="4"/>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FOSILNA GORIVA</w:t>
            </w:r>
          </w:p>
        </w:tc>
        <w:tc>
          <w:tcPr>
            <w:tcW w:w="1499" w:type="dxa"/>
            <w:tcBorders>
              <w:top w:val="single" w:color="000000" w:sz="4"/>
              <w:left w:val="single" w:color="000000" w:sz="4"/>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OBNOVLJIVI IZVORI  ENERGIJE</w:t>
            </w:r>
          </w:p>
        </w:tc>
        <w:tc>
          <w:tcPr>
            <w:tcW w:w="1494" w:type="dxa"/>
            <w:vMerge w:val="restart"/>
            <w:tcBorders>
              <w:top w:val="single" w:color="000000" w:sz="4"/>
              <w:left w:val="single" w:color="000000" w:sz="4"/>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UKUPNO</w:t>
            </w:r>
          </w:p>
        </w:tc>
      </w:tr>
      <w:tr>
        <w:trPr>
          <w:trHeight w:val="13" w:hRule="auto"/>
          <w:jc w:val="left"/>
        </w:trPr>
        <w:tc>
          <w:tcPr>
            <w:tcW w:w="2982" w:type="dxa"/>
            <w:vMerge/>
            <w:tcBorders>
              <w:top w:val="single" w:color="000000" w:sz="4"/>
              <w:left w:val="single" w:color="000000" w:sz="4"/>
              <w:bottom w:val="single" w:color="000000" w:sz="4"/>
              <w:right w:val="single" w:color="000000" w:sz="4"/>
            </w:tcBorders>
            <w:shd w:color="000000" w:fill="ffffff" w:val="clear"/>
            <w:tcMar>
              <w:left w:w="44" w:type="dxa"/>
              <w:right w:w="44"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329" w:type="dxa"/>
            <w:vMerge/>
            <w:tcBorders>
              <w:top w:val="single" w:color="000000" w:sz="4"/>
              <w:left w:val="single" w:color="000000" w:sz="4"/>
              <w:bottom w:val="single" w:color="000000" w:sz="4"/>
              <w:right w:val="single" w:color="000000" w:sz="4"/>
            </w:tcBorders>
            <w:shd w:color="000000" w:fill="ffffff" w:val="clear"/>
            <w:tcMar>
              <w:left w:w="44" w:type="dxa"/>
              <w:right w:w="44"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163" w:type="dxa"/>
            <w:tcBorders>
              <w:top w:val="single" w:color="000000" w:sz="4"/>
              <w:left w:val="single" w:color="000000" w:sz="4"/>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LIGNIT</w:t>
            </w:r>
          </w:p>
        </w:tc>
        <w:tc>
          <w:tcPr>
            <w:tcW w:w="1163" w:type="dxa"/>
            <w:tcBorders>
              <w:top w:val="single" w:color="000000" w:sz="4"/>
              <w:left w:val="single" w:color="000000" w:sz="4"/>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MRKI UGALJ</w:t>
            </w:r>
          </w:p>
        </w:tc>
        <w:tc>
          <w:tcPr>
            <w:tcW w:w="1499" w:type="dxa"/>
            <w:tcBorders>
              <w:top w:val="single" w:color="000000" w:sz="4"/>
              <w:left w:val="single" w:color="000000" w:sz="4"/>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BIOMASA</w:t>
            </w:r>
          </w:p>
        </w:tc>
        <w:tc>
          <w:tcPr>
            <w:tcW w:w="1494" w:type="dxa"/>
            <w:vMerge/>
            <w:tcBorders>
              <w:top w:val="single" w:color="000000" w:sz="4"/>
              <w:left w:val="single" w:color="000000" w:sz="4"/>
              <w:bottom w:val="single" w:color="000000" w:sz="4"/>
              <w:right w:val="single" w:color="000000" w:sz="4"/>
            </w:tcBorders>
            <w:shd w:color="000000" w:fill="ffffff" w:val="clear"/>
            <w:tcMar>
              <w:left w:w="44" w:type="dxa"/>
              <w:right w:w="44"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r>
      <w:tr>
        <w:trPr>
          <w:trHeight w:val="284" w:hRule="auto"/>
          <w:jc w:val="left"/>
        </w:trPr>
        <w:tc>
          <w:tcPr>
            <w:tcW w:w="2982" w:type="dxa"/>
            <w:tcBorders>
              <w:top w:val="single" w:color="000000" w:sz="4"/>
              <w:left w:val="single" w:color="000000" w:sz="4"/>
              <w:bottom w:val="single" w:color="000000" w:sz="4"/>
              <w:right w:val="single" w:color="000000" w:sz="4"/>
            </w:tcBorders>
            <w:shd w:color="auto" w:fill="d9e1f2"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FINALNA ENERGIJA [MWh]</w:t>
            </w:r>
          </w:p>
        </w:tc>
        <w:tc>
          <w:tcPr>
            <w:tcW w:w="1329" w:type="dxa"/>
            <w:tcBorders>
              <w:top w:val="single" w:color="595959" w:sz="4"/>
              <w:left w:val="single" w:color="595959" w:sz="4"/>
              <w:bottom w:val="single" w:color="595959" w:sz="4"/>
              <w:right w:val="single" w:color="595959" w:sz="4"/>
            </w:tcBorders>
            <w:shd w:color="000000" w:fill="ffffff" w:val="clear"/>
            <w:tcMar>
              <w:left w:w="44" w:type="dxa"/>
              <w:right w:w="44"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3,78</w:t>
            </w:r>
          </w:p>
        </w:tc>
        <w:tc>
          <w:tcPr>
            <w:tcW w:w="1163" w:type="dxa"/>
            <w:tcBorders>
              <w:top w:val="single" w:color="000000" w:sz="4"/>
              <w:left w:val="single" w:color="000000" w:sz="4"/>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274,27</w:t>
            </w:r>
          </w:p>
        </w:tc>
        <w:tc>
          <w:tcPr>
            <w:tcW w:w="1163" w:type="dxa"/>
            <w:tcBorders>
              <w:top w:val="single" w:color="000000" w:sz="4"/>
              <w:left w:val="single" w:color="000000" w:sz="4"/>
              <w:bottom w:val="single" w:color="000000" w:sz="4"/>
              <w:right w:val="single" w:color="000000" w:sz="4"/>
            </w:tcBorders>
            <w:shd w:color="000000" w:fill="ffffff" w:val="clear"/>
            <w:tcMar>
              <w:left w:w="44" w:type="dxa"/>
              <w:right w:w="44"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274,27</w:t>
            </w:r>
          </w:p>
        </w:tc>
        <w:tc>
          <w:tcPr>
            <w:tcW w:w="1499" w:type="dxa"/>
            <w:tcBorders>
              <w:top w:val="single" w:color="000000" w:sz="4"/>
              <w:left w:val="single" w:color="000000" w:sz="4"/>
              <w:bottom w:val="single" w:color="000000" w:sz="4"/>
              <w:right w:val="single" w:color="000000" w:sz="4"/>
            </w:tcBorders>
            <w:shd w:color="000000" w:fill="ffffff"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-7,07</w:t>
            </w:r>
          </w:p>
        </w:tc>
        <w:tc>
          <w:tcPr>
            <w:tcW w:w="1494" w:type="dxa"/>
            <w:tcBorders>
              <w:top w:val="single" w:color="000000" w:sz="4"/>
              <w:left w:val="single" w:color="000000" w:sz="4"/>
              <w:bottom w:val="single" w:color="000000" w:sz="4"/>
              <w:right w:val="single" w:color="000000" w:sz="4"/>
            </w:tcBorders>
            <w:shd w:color="auto" w:fill="d9e1f2" w:val="clear"/>
            <w:tcMar>
              <w:left w:w="44" w:type="dxa"/>
              <w:right w:w="44" w:type="dxa"/>
            </w:tcMar>
            <w:vAlign w:val="center"/>
          </w:tcPr>
          <w:p>
            <w:pPr>
              <w:keepNext w:val="true"/>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545,26</w:t>
            </w:r>
          </w:p>
        </w:tc>
      </w:tr>
    </w:tbl>
    <w:p>
      <w:pPr>
        <w:spacing w:before="60" w:after="160" w:line="240"/>
        <w:ind w:right="0" w:left="0" w:firstLine="0"/>
        <w:jc w:val="center"/>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Tabela 530: Uštede finalne energije za grijanje javnih zgrada koje nisu u vlasništvu Op</w:t>
      </w:r>
      <w:r>
        <w:rPr>
          <w:rFonts w:ascii="Calibri" w:hAnsi="Calibri" w:cs="Calibri" w:eastAsia="Calibri"/>
          <w:color w:val="auto"/>
          <w:spacing w:val="0"/>
          <w:position w:val="0"/>
          <w:sz w:val="18"/>
          <w:shd w:fill="auto" w:val="clear"/>
        </w:rPr>
        <w:t xml:space="preserve">ćine ostvarene u kontrolnoj godini realizacijom mjera energetske efikasnosti</w:t>
      </w:r>
    </w:p>
    <w:p>
      <w:pPr>
        <w:spacing w:before="60" w:after="12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Naredna tabela daje cjelokupan pregled prora</w:t>
      </w:r>
      <w:r>
        <w:rPr>
          <w:rFonts w:ascii="Calibri" w:hAnsi="Calibri" w:cs="Calibri" w:eastAsia="Calibri"/>
          <w:color w:val="auto"/>
          <w:spacing w:val="0"/>
          <w:position w:val="0"/>
          <w:sz w:val="20"/>
          <w:shd w:fill="auto" w:val="clear"/>
        </w:rPr>
        <w:t xml:space="preserve">čuna potrebne finalne energije za grijanje zgrada koje nisu u vlasništvu Općine u 2020. godini, u kojoj su ponovo prikazani rezultati svih gore opisanih proračunskih koraka. </w:t>
      </w:r>
    </w:p>
    <w:p>
      <w:pPr>
        <w:spacing w:before="60" w:after="120" w:line="240"/>
        <w:ind w:right="0" w:left="0" w:firstLine="0"/>
        <w:jc w:val="both"/>
        <w:rPr>
          <w:rFonts w:ascii="Calibri" w:hAnsi="Calibri" w:cs="Calibri" w:eastAsia="Calibri"/>
          <w:color w:val="auto"/>
          <w:spacing w:val="0"/>
          <w:position w:val="0"/>
          <w:sz w:val="20"/>
          <w:shd w:fill="auto" w:val="clear"/>
        </w:rPr>
      </w:pPr>
    </w:p>
    <w:tbl>
      <w:tblPr/>
      <w:tblGrid>
        <w:gridCol w:w="3148"/>
        <w:gridCol w:w="1158"/>
        <w:gridCol w:w="1163"/>
        <w:gridCol w:w="1162"/>
        <w:gridCol w:w="1497"/>
        <w:gridCol w:w="1492"/>
        <w:gridCol w:w="1375"/>
      </w:tblGrid>
      <w:tr>
        <w:trPr>
          <w:trHeight w:val="340" w:hRule="auto"/>
          <w:jc w:val="left"/>
        </w:trPr>
        <w:tc>
          <w:tcPr>
            <w:tcW w:w="10995" w:type="dxa"/>
            <w:gridSpan w:val="7"/>
            <w:tcBorders>
              <w:top w:val="single" w:color="000000" w:sz="4"/>
              <w:left w:val="single" w:color="000000" w:sz="4"/>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FINALNA ENERGIJA [MWh]</w:t>
            </w:r>
          </w:p>
        </w:tc>
      </w:tr>
      <w:tr>
        <w:trPr>
          <w:trHeight w:val="18" w:hRule="auto"/>
          <w:jc w:val="left"/>
        </w:trPr>
        <w:tc>
          <w:tcPr>
            <w:tcW w:w="3148" w:type="dxa"/>
            <w:vMerge w:val="restart"/>
            <w:tcBorders>
              <w:top w:val="single" w:color="000000" w:sz="4"/>
              <w:left w:val="single" w:color="000000" w:sz="4"/>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VRSTA ENERGENTA</w:t>
            </w:r>
          </w:p>
        </w:tc>
        <w:tc>
          <w:tcPr>
            <w:tcW w:w="1158" w:type="dxa"/>
            <w:vMerge w:val="restart"/>
            <w:tcBorders>
              <w:top w:val="single" w:color="000000" w:sz="4"/>
              <w:left w:val="single" w:color="000000" w:sz="4"/>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ELEKTRI</w:t>
            </w:r>
            <w:r>
              <w:rPr>
                <w:rFonts w:ascii="Calibri" w:hAnsi="Calibri" w:cs="Calibri" w:eastAsia="Calibri"/>
                <w:color w:val="000000"/>
                <w:spacing w:val="0"/>
                <w:position w:val="0"/>
                <w:sz w:val="18"/>
                <w:shd w:fill="auto" w:val="clear"/>
              </w:rPr>
              <w:t xml:space="preserve">ČNA ENERGIJA</w:t>
            </w:r>
          </w:p>
        </w:tc>
        <w:tc>
          <w:tcPr>
            <w:tcW w:w="2325" w:type="dxa"/>
            <w:gridSpan w:val="2"/>
            <w:tcBorders>
              <w:top w:val="single" w:color="000000" w:sz="4"/>
              <w:left w:val="single" w:color="000000" w:sz="4"/>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FOSILNA GORIVA</w:t>
            </w:r>
          </w:p>
        </w:tc>
        <w:tc>
          <w:tcPr>
            <w:tcW w:w="1497" w:type="dxa"/>
            <w:tcBorders>
              <w:top w:val="single" w:color="000000" w:sz="4"/>
              <w:left w:val="single" w:color="000000" w:sz="4"/>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OBNOVLJIVI IZVORI </w:t>
            </w:r>
          </w:p>
        </w:tc>
        <w:tc>
          <w:tcPr>
            <w:tcW w:w="1492" w:type="dxa"/>
            <w:vMerge w:val="restart"/>
            <w:tcBorders>
              <w:top w:val="single" w:color="000000" w:sz="4"/>
              <w:left w:val="single" w:color="000000" w:sz="4"/>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UKUPNO</w:t>
            </w:r>
          </w:p>
        </w:tc>
      </w:tr>
      <w:tr>
        <w:trPr>
          <w:trHeight w:val="18" w:hRule="auto"/>
          <w:jc w:val="left"/>
        </w:trPr>
        <w:tc>
          <w:tcPr>
            <w:tcW w:w="3148" w:type="dxa"/>
            <w:vMerge/>
            <w:tcBorders>
              <w:top w:val="single" w:color="000000" w:sz="4"/>
              <w:left w:val="single" w:color="000000" w:sz="4"/>
              <w:bottom w:val="single" w:color="000000" w:sz="4"/>
              <w:right w:val="single" w:color="000000" w:sz="4"/>
            </w:tcBorders>
            <w:shd w:color="000000" w:fill="ffffff" w:val="clear"/>
            <w:tcMar>
              <w:left w:w="44" w:type="dxa"/>
              <w:right w:w="44"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158" w:type="dxa"/>
            <w:vMerge/>
            <w:tcBorders>
              <w:top w:val="single" w:color="000000" w:sz="4"/>
              <w:left w:val="single" w:color="000000" w:sz="4"/>
              <w:bottom w:val="single" w:color="000000" w:sz="4"/>
              <w:right w:val="single" w:color="000000" w:sz="4"/>
            </w:tcBorders>
            <w:shd w:color="000000" w:fill="ffffff" w:val="clear"/>
            <w:tcMar>
              <w:left w:w="44" w:type="dxa"/>
              <w:right w:w="44"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163" w:type="dxa"/>
            <w:tcBorders>
              <w:top w:val="single" w:color="000000" w:sz="4"/>
              <w:left w:val="single" w:color="000000" w:sz="4"/>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LIGNIT</w:t>
            </w:r>
          </w:p>
        </w:tc>
        <w:tc>
          <w:tcPr>
            <w:tcW w:w="1162" w:type="dxa"/>
            <w:tcBorders>
              <w:top w:val="single" w:color="000000" w:sz="4"/>
              <w:left w:val="single" w:color="000000" w:sz="4"/>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BIOMASA</w:t>
            </w:r>
          </w:p>
        </w:tc>
        <w:tc>
          <w:tcPr>
            <w:tcW w:w="1497" w:type="dxa"/>
            <w:tcBorders>
              <w:top w:val="single" w:color="000000" w:sz="4"/>
              <w:left w:val="single" w:color="000000" w:sz="4"/>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Biomasa</w:t>
            </w:r>
          </w:p>
        </w:tc>
        <w:tc>
          <w:tcPr>
            <w:tcW w:w="1492" w:type="dxa"/>
            <w:vMerge/>
            <w:tcBorders>
              <w:top w:val="single" w:color="000000" w:sz="4"/>
              <w:left w:val="single" w:color="000000" w:sz="4"/>
              <w:bottom w:val="single" w:color="000000" w:sz="4"/>
              <w:right w:val="single" w:color="000000" w:sz="4"/>
            </w:tcBorders>
            <w:shd w:color="000000" w:fill="ffffff" w:val="clear"/>
            <w:tcMar>
              <w:left w:w="44" w:type="dxa"/>
              <w:right w:w="44"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r>
      <w:tr>
        <w:trPr>
          <w:trHeight w:val="307" w:hRule="auto"/>
          <w:jc w:val="left"/>
        </w:trPr>
        <w:tc>
          <w:tcPr>
            <w:tcW w:w="3148" w:type="dxa"/>
            <w:tcBorders>
              <w:top w:val="single" w:color="000000" w:sz="4"/>
              <w:left w:val="single" w:color="000000" w:sz="4"/>
              <w:bottom w:val="single" w:color="000000" w:sz="4"/>
              <w:right w:val="single" w:color="000000" w:sz="4"/>
            </w:tcBorders>
            <w:shd w:color="auto" w:fill="d9e1f2" w:val="clear"/>
            <w:tcMar>
              <w:left w:w="44" w:type="dxa"/>
              <w:right w:w="44"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Zgrade izgra</w:t>
            </w:r>
            <w:r>
              <w:rPr>
                <w:rFonts w:ascii="Calibri" w:hAnsi="Calibri" w:cs="Calibri" w:eastAsia="Calibri"/>
                <w:color w:val="000000"/>
                <w:spacing w:val="0"/>
                <w:position w:val="0"/>
                <w:sz w:val="18"/>
                <w:shd w:fill="auto" w:val="clear"/>
              </w:rPr>
              <w:t xml:space="preserve">đene prije 2010. godine – finalna energija u 2010. godini </w:t>
            </w:r>
          </w:p>
        </w:tc>
        <w:tc>
          <w:tcPr>
            <w:tcW w:w="1158" w:type="dxa"/>
            <w:tcBorders>
              <w:top w:val="single" w:color="000000" w:sz="4"/>
              <w:left w:val="single" w:color="000000" w:sz="4"/>
              <w:bottom w:val="single" w:color="000000" w:sz="4"/>
              <w:right w:val="single" w:color="000000" w:sz="4"/>
            </w:tcBorders>
            <w:shd w:color="000000" w:fill="ffffff"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14,48</w:t>
            </w:r>
          </w:p>
        </w:tc>
        <w:tc>
          <w:tcPr>
            <w:tcW w:w="1163" w:type="dxa"/>
            <w:tcBorders>
              <w:top w:val="single" w:color="000000" w:sz="4"/>
              <w:left w:val="single" w:color="000000" w:sz="4"/>
              <w:bottom w:val="single" w:color="000000" w:sz="4"/>
              <w:right w:val="single" w:color="000000" w:sz="4"/>
            </w:tcBorders>
            <w:shd w:color="000000" w:fill="ffffff"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756,97</w:t>
            </w:r>
          </w:p>
        </w:tc>
        <w:tc>
          <w:tcPr>
            <w:tcW w:w="1162" w:type="dxa"/>
            <w:tcBorders>
              <w:top w:val="single" w:color="000000" w:sz="4"/>
              <w:left w:val="single" w:color="000000" w:sz="4"/>
              <w:bottom w:val="single" w:color="000000" w:sz="4"/>
              <w:right w:val="single" w:color="000000" w:sz="4"/>
            </w:tcBorders>
            <w:shd w:color="000000" w:fill="ffffff"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756,97</w:t>
            </w:r>
          </w:p>
        </w:tc>
        <w:tc>
          <w:tcPr>
            <w:tcW w:w="1497" w:type="dxa"/>
            <w:tcBorders>
              <w:top w:val="single" w:color="000000" w:sz="4"/>
              <w:left w:val="single" w:color="000000" w:sz="4"/>
              <w:bottom w:val="single" w:color="000000" w:sz="4"/>
              <w:right w:val="single" w:color="000000" w:sz="4"/>
            </w:tcBorders>
            <w:shd w:color="000000" w:fill="ffffff"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492" w:type="dxa"/>
            <w:tcBorders>
              <w:top w:val="single" w:color="000000" w:sz="4"/>
              <w:left w:val="single" w:color="000000" w:sz="4"/>
              <w:bottom w:val="single" w:color="000000" w:sz="4"/>
              <w:right w:val="single" w:color="000000" w:sz="4"/>
            </w:tcBorders>
            <w:shd w:color="auto" w:fill="d9e1f2" w:val="clear"/>
            <w:tcMar>
              <w:left w:w="44" w:type="dxa"/>
              <w:right w:w="44" w:type="dxa"/>
            </w:tcMar>
            <w:vAlign w:val="center"/>
          </w:tcPr>
          <w:p>
            <w:pPr>
              <w:keepNext w:val="true"/>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1.528,42</w:t>
            </w:r>
          </w:p>
        </w:tc>
      </w:tr>
      <w:tr>
        <w:trPr>
          <w:trHeight w:val="307" w:hRule="auto"/>
          <w:jc w:val="left"/>
        </w:trPr>
        <w:tc>
          <w:tcPr>
            <w:tcW w:w="3148" w:type="dxa"/>
            <w:tcBorders>
              <w:top w:val="single" w:color="000000" w:sz="4"/>
              <w:left w:val="single" w:color="000000" w:sz="4"/>
              <w:bottom w:val="single" w:color="000000" w:sz="4"/>
              <w:right w:val="single" w:color="000000" w:sz="4"/>
            </w:tcBorders>
            <w:shd w:color="auto" w:fill="d9e1f2" w:val="clear"/>
            <w:tcMar>
              <w:left w:w="44" w:type="dxa"/>
              <w:right w:w="44"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Zgrade izgra</w:t>
            </w:r>
            <w:r>
              <w:rPr>
                <w:rFonts w:ascii="Calibri" w:hAnsi="Calibri" w:cs="Calibri" w:eastAsia="Calibri"/>
                <w:color w:val="000000"/>
                <w:spacing w:val="0"/>
                <w:position w:val="0"/>
                <w:sz w:val="18"/>
                <w:shd w:fill="auto" w:val="clear"/>
              </w:rPr>
              <w:t xml:space="preserve">đene prije 2010. godine – uštede realizirane u periodu 2010-2020 mjerama EE </w:t>
            </w:r>
          </w:p>
        </w:tc>
        <w:tc>
          <w:tcPr>
            <w:tcW w:w="1158" w:type="dxa"/>
            <w:tcBorders>
              <w:top w:val="single" w:color="595959" w:sz="4"/>
              <w:left w:val="single" w:color="595959" w:sz="4"/>
              <w:bottom w:val="single" w:color="595959" w:sz="4"/>
              <w:right w:val="single" w:color="595959" w:sz="4"/>
            </w:tcBorders>
            <w:shd w:color="000000" w:fill="ffffff" w:val="clear"/>
            <w:tcMar>
              <w:left w:w="44" w:type="dxa"/>
              <w:right w:w="44"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-3,78</w:t>
            </w:r>
          </w:p>
        </w:tc>
        <w:tc>
          <w:tcPr>
            <w:tcW w:w="1163" w:type="dxa"/>
            <w:tcBorders>
              <w:top w:val="single" w:color="000000" w:sz="4"/>
              <w:left w:val="single" w:color="000000" w:sz="4"/>
              <w:bottom w:val="single" w:color="000000" w:sz="4"/>
              <w:right w:val="single" w:color="000000" w:sz="4"/>
            </w:tcBorders>
            <w:shd w:color="000000" w:fill="ffffff"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-274,27</w:t>
            </w:r>
          </w:p>
        </w:tc>
        <w:tc>
          <w:tcPr>
            <w:tcW w:w="1162" w:type="dxa"/>
            <w:tcBorders>
              <w:top w:val="single" w:color="000000" w:sz="4"/>
              <w:left w:val="single" w:color="000000" w:sz="4"/>
              <w:bottom w:val="single" w:color="000000" w:sz="4"/>
              <w:right w:val="single" w:color="000000" w:sz="4"/>
            </w:tcBorders>
            <w:shd w:color="000000" w:fill="ffffff"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-274,27</w:t>
            </w:r>
          </w:p>
        </w:tc>
        <w:tc>
          <w:tcPr>
            <w:tcW w:w="1497" w:type="dxa"/>
            <w:tcBorders>
              <w:top w:val="single" w:color="000000" w:sz="4"/>
              <w:left w:val="single" w:color="000000" w:sz="4"/>
              <w:bottom w:val="single" w:color="000000" w:sz="4"/>
              <w:right w:val="single" w:color="000000" w:sz="4"/>
            </w:tcBorders>
            <w:shd w:color="000000" w:fill="ffffff"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7,07</w:t>
            </w:r>
          </w:p>
        </w:tc>
        <w:tc>
          <w:tcPr>
            <w:tcW w:w="1492" w:type="dxa"/>
            <w:tcBorders>
              <w:top w:val="single" w:color="000000" w:sz="4"/>
              <w:left w:val="single" w:color="000000" w:sz="4"/>
              <w:bottom w:val="single" w:color="000000" w:sz="4"/>
              <w:right w:val="single" w:color="000000" w:sz="4"/>
            </w:tcBorders>
            <w:shd w:color="auto" w:fill="d9e1f2" w:val="clear"/>
            <w:tcMar>
              <w:left w:w="44" w:type="dxa"/>
              <w:right w:w="44" w:type="dxa"/>
            </w:tcMar>
            <w:vAlign w:val="center"/>
          </w:tcPr>
          <w:p>
            <w:pPr>
              <w:keepNext w:val="true"/>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-545,26</w:t>
            </w:r>
          </w:p>
        </w:tc>
      </w:tr>
      <w:tr>
        <w:trPr>
          <w:trHeight w:val="307" w:hRule="auto"/>
          <w:jc w:val="left"/>
        </w:trPr>
        <w:tc>
          <w:tcPr>
            <w:tcW w:w="3148" w:type="dxa"/>
            <w:tcBorders>
              <w:top w:val="single" w:color="000000" w:sz="4"/>
              <w:left w:val="single" w:color="000000" w:sz="4"/>
              <w:bottom w:val="single" w:color="000000" w:sz="4"/>
              <w:right w:val="single" w:color="000000" w:sz="4"/>
            </w:tcBorders>
            <w:shd w:color="auto" w:fill="d9e1f2" w:val="clear"/>
            <w:tcMar>
              <w:left w:w="44" w:type="dxa"/>
              <w:right w:w="44"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FINALNA ENERGIJA u 2020. [MWh]</w:t>
            </w:r>
          </w:p>
        </w:tc>
        <w:tc>
          <w:tcPr>
            <w:tcW w:w="1158" w:type="dxa"/>
            <w:tcBorders>
              <w:top w:val="single" w:color="000000" w:sz="4"/>
              <w:left w:val="single" w:color="000000" w:sz="4"/>
              <w:bottom w:val="single" w:color="000000" w:sz="4"/>
              <w:right w:val="single" w:color="000000" w:sz="4"/>
            </w:tcBorders>
            <w:shd w:color="000000" w:fill="ffffff"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10,70</w:t>
            </w:r>
          </w:p>
        </w:tc>
        <w:tc>
          <w:tcPr>
            <w:tcW w:w="1163" w:type="dxa"/>
            <w:tcBorders>
              <w:top w:val="single" w:color="000000" w:sz="4"/>
              <w:left w:val="single" w:color="000000" w:sz="4"/>
              <w:bottom w:val="single" w:color="000000" w:sz="4"/>
              <w:right w:val="single" w:color="000000" w:sz="4"/>
            </w:tcBorders>
            <w:shd w:color="000000" w:fill="ffffff"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482,70</w:t>
            </w:r>
          </w:p>
        </w:tc>
        <w:tc>
          <w:tcPr>
            <w:tcW w:w="1162" w:type="dxa"/>
            <w:tcBorders>
              <w:top w:val="single" w:color="000000" w:sz="4"/>
              <w:left w:val="single" w:color="000000" w:sz="4"/>
              <w:bottom w:val="single" w:color="000000" w:sz="4"/>
              <w:right w:val="single" w:color="000000" w:sz="4"/>
            </w:tcBorders>
            <w:shd w:color="000000" w:fill="ffffff"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482,70</w:t>
            </w:r>
          </w:p>
        </w:tc>
        <w:tc>
          <w:tcPr>
            <w:tcW w:w="1497" w:type="dxa"/>
            <w:tcBorders>
              <w:top w:val="single" w:color="000000" w:sz="4"/>
              <w:left w:val="single" w:color="000000" w:sz="4"/>
              <w:bottom w:val="single" w:color="000000" w:sz="4"/>
              <w:right w:val="single" w:color="000000" w:sz="4"/>
            </w:tcBorders>
            <w:shd w:color="000000" w:fill="ffffff"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7,07</w:t>
            </w:r>
          </w:p>
        </w:tc>
        <w:tc>
          <w:tcPr>
            <w:tcW w:w="1492" w:type="dxa"/>
            <w:tcBorders>
              <w:top w:val="single" w:color="000000" w:sz="4"/>
              <w:left w:val="single" w:color="000000" w:sz="4"/>
              <w:bottom w:val="single" w:color="000000" w:sz="4"/>
              <w:right w:val="single" w:color="000000" w:sz="4"/>
            </w:tcBorders>
            <w:shd w:color="auto" w:fill="d9e1f2" w:val="clear"/>
            <w:tcMar>
              <w:left w:w="44" w:type="dxa"/>
              <w:right w:w="44" w:type="dxa"/>
            </w:tcMar>
            <w:vAlign w:val="center"/>
          </w:tcPr>
          <w:p>
            <w:pPr>
              <w:keepNext w:val="true"/>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983,16</w:t>
            </w:r>
          </w:p>
        </w:tc>
      </w:tr>
    </w:tbl>
    <w:p>
      <w:pPr>
        <w:spacing w:before="60" w:after="160" w:line="240"/>
        <w:ind w:right="0" w:left="0" w:firstLine="0"/>
        <w:jc w:val="center"/>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Tabela 531: Potrebna finalna energija za grijanje javnih zgrada koje nisu u vlasništvu Op</w:t>
      </w:r>
      <w:r>
        <w:rPr>
          <w:rFonts w:ascii="Calibri" w:hAnsi="Calibri" w:cs="Calibri" w:eastAsia="Calibri"/>
          <w:color w:val="auto"/>
          <w:spacing w:val="0"/>
          <w:position w:val="0"/>
          <w:sz w:val="18"/>
          <w:shd w:fill="auto" w:val="clear"/>
        </w:rPr>
        <w:t xml:space="preserve">ćine u kontrolnoj godini</w:t>
      </w:r>
    </w:p>
    <w:p>
      <w:pPr>
        <w:spacing w:before="60" w:after="12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Ukupna potrebna finalna energija za grijanje zgrada iz ovog podsektora iznosi 983,16 MWh. Iz tabele je evidentno da se najve</w:t>
      </w:r>
      <w:r>
        <w:rPr>
          <w:rFonts w:ascii="Calibri" w:hAnsi="Calibri" w:cs="Calibri" w:eastAsia="Calibri"/>
          <w:color w:val="auto"/>
          <w:spacing w:val="0"/>
          <w:position w:val="0"/>
          <w:sz w:val="20"/>
          <w:shd w:fill="auto" w:val="clear"/>
        </w:rPr>
        <w:t xml:space="preserve">ći udio ove energije, oko 98%, odnosi na energente lignit i mrki ugalj, dok se preostalih oko 2% odnosi na električnu energiju i biomasu. Procentualno učešće zastupljenih energenata prikazano je na </w:t>
      </w:r>
      <w:r>
        <w:rPr>
          <w:rFonts w:ascii="Calibri" w:hAnsi="Calibri" w:cs="Calibri" w:eastAsia="Calibri"/>
          <w:i/>
          <w:color w:val="auto"/>
          <w:spacing w:val="0"/>
          <w:position w:val="0"/>
          <w:sz w:val="20"/>
          <w:shd w:fill="auto" w:val="clear"/>
        </w:rPr>
        <w:t xml:space="preserve">Dijagramu 5-20</w:t>
      </w:r>
      <w:r>
        <w:rPr>
          <w:rFonts w:ascii="Calibri" w:hAnsi="Calibri" w:cs="Calibri" w:eastAsia="Calibri"/>
          <w:color w:val="auto"/>
          <w:spacing w:val="0"/>
          <w:position w:val="0"/>
          <w:sz w:val="20"/>
          <w:shd w:fill="auto" w:val="clear"/>
        </w:rPr>
        <w:t xml:space="preserve"> u nastavku teksta. Ukupne emisije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iz ovog podsektora u kontrolnoj godini dobivene su kao proizvod potrebne finalne energije za grijanje u kontrolnoj 2020. godini i odgovarajućih emisionih faktora. Dobivene vrijednosti su date u narednoj tabeli. </w:t>
      </w:r>
    </w:p>
    <w:tbl>
      <w:tblPr/>
      <w:tblGrid>
        <w:gridCol w:w="2982"/>
        <w:gridCol w:w="1329"/>
        <w:gridCol w:w="1163"/>
        <w:gridCol w:w="1163"/>
        <w:gridCol w:w="1499"/>
        <w:gridCol w:w="1494"/>
      </w:tblGrid>
      <w:tr>
        <w:trPr>
          <w:trHeight w:val="284" w:hRule="auto"/>
          <w:jc w:val="left"/>
        </w:trPr>
        <w:tc>
          <w:tcPr>
            <w:tcW w:w="9630" w:type="dxa"/>
            <w:gridSpan w:val="6"/>
            <w:tcBorders>
              <w:top w:val="single" w:color="000000" w:sz="4"/>
              <w:left w:val="single" w:color="000000" w:sz="4"/>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EMISIJE CO</w:t>
            </w:r>
            <w:r>
              <w:rPr>
                <w:rFonts w:ascii="Calibri" w:hAnsi="Calibri" w:cs="Calibri" w:eastAsia="Calibri"/>
                <w:color w:val="000000"/>
                <w:spacing w:val="0"/>
                <w:position w:val="0"/>
                <w:sz w:val="18"/>
                <w:shd w:fill="auto" w:val="clear"/>
                <w:vertAlign w:val="subscript"/>
              </w:rPr>
              <w:t xml:space="preserve">2</w:t>
            </w:r>
            <w:r>
              <w:rPr>
                <w:rFonts w:ascii="Calibri" w:hAnsi="Calibri" w:cs="Calibri" w:eastAsia="Calibri"/>
                <w:color w:val="000000"/>
                <w:spacing w:val="0"/>
                <w:position w:val="0"/>
                <w:sz w:val="18"/>
                <w:shd w:fill="auto" w:val="clear"/>
              </w:rPr>
              <w:t xml:space="preserve"> [tCO</w:t>
            </w:r>
            <w:r>
              <w:rPr>
                <w:rFonts w:ascii="Calibri" w:hAnsi="Calibri" w:cs="Calibri" w:eastAsia="Calibri"/>
                <w:color w:val="000000"/>
                <w:spacing w:val="0"/>
                <w:position w:val="0"/>
                <w:sz w:val="18"/>
                <w:shd w:fill="auto" w:val="clear"/>
                <w:vertAlign w:val="subscript"/>
              </w:rPr>
              <w:t xml:space="preserve">2</w:t>
            </w:r>
            <w:r>
              <w:rPr>
                <w:rFonts w:ascii="Calibri" w:hAnsi="Calibri" w:cs="Calibri" w:eastAsia="Calibri"/>
                <w:color w:val="000000"/>
                <w:spacing w:val="0"/>
                <w:position w:val="0"/>
                <w:sz w:val="18"/>
                <w:shd w:fill="auto" w:val="clear"/>
              </w:rPr>
              <w:t xml:space="preserve">]</w:t>
            </w:r>
          </w:p>
        </w:tc>
      </w:tr>
      <w:tr>
        <w:trPr>
          <w:trHeight w:val="13" w:hRule="auto"/>
          <w:jc w:val="left"/>
        </w:trPr>
        <w:tc>
          <w:tcPr>
            <w:tcW w:w="2982" w:type="dxa"/>
            <w:vMerge w:val="restart"/>
            <w:tcBorders>
              <w:top w:val="single" w:color="000000" w:sz="4"/>
              <w:left w:val="single" w:color="000000" w:sz="4"/>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VRSTA ENERGENTA</w:t>
            </w:r>
          </w:p>
        </w:tc>
        <w:tc>
          <w:tcPr>
            <w:tcW w:w="1329" w:type="dxa"/>
            <w:vMerge w:val="restart"/>
            <w:tcBorders>
              <w:top w:val="single" w:color="000000" w:sz="4"/>
              <w:left w:val="single" w:color="000000" w:sz="4"/>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ELEKTRI</w:t>
            </w:r>
            <w:r>
              <w:rPr>
                <w:rFonts w:ascii="Calibri" w:hAnsi="Calibri" w:cs="Calibri" w:eastAsia="Calibri"/>
                <w:color w:val="000000"/>
                <w:spacing w:val="0"/>
                <w:position w:val="0"/>
                <w:sz w:val="18"/>
                <w:shd w:fill="auto" w:val="clear"/>
              </w:rPr>
              <w:t xml:space="preserve">ČNA ENERGIJA</w:t>
            </w:r>
          </w:p>
        </w:tc>
        <w:tc>
          <w:tcPr>
            <w:tcW w:w="2326" w:type="dxa"/>
            <w:gridSpan w:val="2"/>
            <w:tcBorders>
              <w:top w:val="single" w:color="000000" w:sz="4"/>
              <w:left w:val="single" w:color="000000" w:sz="4"/>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FOSILNA GORIVA</w:t>
            </w:r>
          </w:p>
        </w:tc>
        <w:tc>
          <w:tcPr>
            <w:tcW w:w="1499" w:type="dxa"/>
            <w:tcBorders>
              <w:top w:val="single" w:color="000000" w:sz="4"/>
              <w:left w:val="single" w:color="000000" w:sz="4"/>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OBNOVLJIVI IZVORI  ENERGIJE</w:t>
            </w:r>
          </w:p>
        </w:tc>
        <w:tc>
          <w:tcPr>
            <w:tcW w:w="1494" w:type="dxa"/>
            <w:vMerge w:val="restart"/>
            <w:tcBorders>
              <w:top w:val="single" w:color="000000" w:sz="4"/>
              <w:left w:val="single" w:color="000000" w:sz="4"/>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UKUPNO</w:t>
            </w:r>
          </w:p>
        </w:tc>
      </w:tr>
      <w:tr>
        <w:trPr>
          <w:trHeight w:val="13" w:hRule="auto"/>
          <w:jc w:val="left"/>
        </w:trPr>
        <w:tc>
          <w:tcPr>
            <w:tcW w:w="2982" w:type="dxa"/>
            <w:vMerge/>
            <w:tcBorders>
              <w:top w:val="single" w:color="000000" w:sz="4"/>
              <w:left w:val="single" w:color="000000" w:sz="4"/>
              <w:bottom w:val="single" w:color="000000" w:sz="4"/>
              <w:right w:val="single" w:color="000000" w:sz="4"/>
            </w:tcBorders>
            <w:shd w:color="000000" w:fill="ffffff" w:val="clear"/>
            <w:tcMar>
              <w:left w:w="44" w:type="dxa"/>
              <w:right w:w="44"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329" w:type="dxa"/>
            <w:vMerge/>
            <w:tcBorders>
              <w:top w:val="single" w:color="000000" w:sz="4"/>
              <w:left w:val="single" w:color="000000" w:sz="4"/>
              <w:bottom w:val="single" w:color="000000" w:sz="4"/>
              <w:right w:val="single" w:color="000000" w:sz="4"/>
            </w:tcBorders>
            <w:shd w:color="000000" w:fill="ffffff" w:val="clear"/>
            <w:tcMar>
              <w:left w:w="44" w:type="dxa"/>
              <w:right w:w="44"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163" w:type="dxa"/>
            <w:tcBorders>
              <w:top w:val="single" w:color="000000" w:sz="4"/>
              <w:left w:val="single" w:color="000000" w:sz="4"/>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LIGNIT</w:t>
            </w:r>
          </w:p>
        </w:tc>
        <w:tc>
          <w:tcPr>
            <w:tcW w:w="1163" w:type="dxa"/>
            <w:tcBorders>
              <w:top w:val="single" w:color="000000" w:sz="4"/>
              <w:left w:val="single" w:color="000000" w:sz="4"/>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MRKI UGALJ</w:t>
            </w:r>
          </w:p>
        </w:tc>
        <w:tc>
          <w:tcPr>
            <w:tcW w:w="1499" w:type="dxa"/>
            <w:tcBorders>
              <w:top w:val="single" w:color="000000" w:sz="4"/>
              <w:left w:val="single" w:color="000000" w:sz="4"/>
              <w:bottom w:val="single" w:color="000000" w:sz="4"/>
              <w:right w:val="single" w:color="000000" w:sz="4"/>
            </w:tcBorders>
            <w:shd w:color="auto" w:fill="bdd7ee"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BIOMASA</w:t>
            </w:r>
          </w:p>
        </w:tc>
        <w:tc>
          <w:tcPr>
            <w:tcW w:w="1494" w:type="dxa"/>
            <w:vMerge/>
            <w:tcBorders>
              <w:top w:val="single" w:color="000000" w:sz="4"/>
              <w:left w:val="single" w:color="000000" w:sz="4"/>
              <w:bottom w:val="single" w:color="000000" w:sz="4"/>
              <w:right w:val="single" w:color="000000" w:sz="4"/>
            </w:tcBorders>
            <w:shd w:color="000000" w:fill="ffffff" w:val="clear"/>
            <w:tcMar>
              <w:left w:w="44" w:type="dxa"/>
              <w:right w:w="44"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r>
      <w:tr>
        <w:trPr>
          <w:trHeight w:val="224" w:hRule="auto"/>
          <w:jc w:val="left"/>
        </w:trPr>
        <w:tc>
          <w:tcPr>
            <w:tcW w:w="2982" w:type="dxa"/>
            <w:tcBorders>
              <w:top w:val="single" w:color="000000" w:sz="4"/>
              <w:left w:val="single" w:color="000000" w:sz="4"/>
              <w:bottom w:val="single" w:color="000000" w:sz="4"/>
              <w:right w:val="single" w:color="000000" w:sz="4"/>
            </w:tcBorders>
            <w:shd w:color="auto" w:fill="d9e1f2"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EMISIJE CO</w:t>
            </w:r>
            <w:r>
              <w:rPr>
                <w:rFonts w:ascii="Calibri" w:hAnsi="Calibri" w:cs="Calibri" w:eastAsia="Calibri"/>
                <w:color w:val="000000"/>
                <w:spacing w:val="0"/>
                <w:position w:val="0"/>
                <w:sz w:val="18"/>
                <w:shd w:fill="auto" w:val="clear"/>
                <w:vertAlign w:val="subscript"/>
              </w:rPr>
              <w:t xml:space="preserve">2</w:t>
            </w:r>
            <w:r>
              <w:rPr>
                <w:rFonts w:ascii="Calibri" w:hAnsi="Calibri" w:cs="Calibri" w:eastAsia="Calibri"/>
                <w:color w:val="000000"/>
                <w:spacing w:val="0"/>
                <w:position w:val="0"/>
                <w:sz w:val="18"/>
                <w:shd w:fill="auto" w:val="clear"/>
              </w:rPr>
              <w:t xml:space="preserve"> [tCO</w:t>
            </w:r>
            <w:r>
              <w:rPr>
                <w:rFonts w:ascii="Calibri" w:hAnsi="Calibri" w:cs="Calibri" w:eastAsia="Calibri"/>
                <w:color w:val="000000"/>
                <w:spacing w:val="0"/>
                <w:position w:val="0"/>
                <w:sz w:val="18"/>
                <w:shd w:fill="auto" w:val="clear"/>
                <w:vertAlign w:val="subscript"/>
              </w:rPr>
              <w:t xml:space="preserve">2</w:t>
            </w:r>
            <w:r>
              <w:rPr>
                <w:rFonts w:ascii="Calibri" w:hAnsi="Calibri" w:cs="Calibri" w:eastAsia="Calibri"/>
                <w:color w:val="000000"/>
                <w:spacing w:val="0"/>
                <w:position w:val="0"/>
                <w:sz w:val="18"/>
                <w:shd w:fill="auto" w:val="clear"/>
              </w:rPr>
              <w:t xml:space="preserve">]</w:t>
            </w:r>
          </w:p>
        </w:tc>
        <w:tc>
          <w:tcPr>
            <w:tcW w:w="1329" w:type="dxa"/>
            <w:tcBorders>
              <w:top w:val="single" w:color="000000" w:sz="4"/>
              <w:left w:val="single" w:color="000000" w:sz="4"/>
              <w:bottom w:val="single" w:color="000000" w:sz="4"/>
              <w:right w:val="single" w:color="000000" w:sz="4"/>
            </w:tcBorders>
            <w:shd w:color="000000" w:fill="ffffff"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8,14</w:t>
            </w:r>
          </w:p>
        </w:tc>
        <w:tc>
          <w:tcPr>
            <w:tcW w:w="1163" w:type="dxa"/>
            <w:tcBorders>
              <w:top w:val="single" w:color="000000" w:sz="4"/>
              <w:left w:val="single" w:color="000000" w:sz="4"/>
              <w:bottom w:val="single" w:color="000000" w:sz="4"/>
              <w:right w:val="single" w:color="000000" w:sz="4"/>
            </w:tcBorders>
            <w:shd w:color="000000" w:fill="ffffff"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175,70</w:t>
            </w:r>
          </w:p>
        </w:tc>
        <w:tc>
          <w:tcPr>
            <w:tcW w:w="1163" w:type="dxa"/>
            <w:tcBorders>
              <w:top w:val="single" w:color="000000" w:sz="4"/>
              <w:left w:val="single" w:color="000000" w:sz="4"/>
              <w:bottom w:val="single" w:color="000000" w:sz="4"/>
              <w:right w:val="single" w:color="000000" w:sz="4"/>
            </w:tcBorders>
            <w:shd w:color="000000" w:fill="ffffff"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164,60</w:t>
            </w:r>
          </w:p>
        </w:tc>
        <w:tc>
          <w:tcPr>
            <w:tcW w:w="1499" w:type="dxa"/>
            <w:tcBorders>
              <w:top w:val="single" w:color="000000" w:sz="4"/>
              <w:left w:val="single" w:color="000000" w:sz="4"/>
              <w:bottom w:val="single" w:color="000000" w:sz="4"/>
              <w:right w:val="single" w:color="000000" w:sz="4"/>
            </w:tcBorders>
            <w:shd w:color="000000" w:fill="ffffff" w:val="clear"/>
            <w:tcMar>
              <w:left w:w="44" w:type="dxa"/>
              <w:right w:w="44"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494" w:type="dxa"/>
            <w:tcBorders>
              <w:top w:val="single" w:color="000000" w:sz="4"/>
              <w:left w:val="single" w:color="000000" w:sz="4"/>
              <w:bottom w:val="single" w:color="000000" w:sz="4"/>
              <w:right w:val="single" w:color="000000" w:sz="4"/>
            </w:tcBorders>
            <w:shd w:color="auto" w:fill="d9e1f2" w:val="clear"/>
            <w:tcMar>
              <w:left w:w="44" w:type="dxa"/>
              <w:right w:w="44" w:type="dxa"/>
            </w:tcMar>
            <w:vAlign w:val="center"/>
          </w:tcPr>
          <w:p>
            <w:pPr>
              <w:keepNext w:val="true"/>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348,44</w:t>
            </w:r>
          </w:p>
        </w:tc>
      </w:tr>
    </w:tbl>
    <w:p>
      <w:pPr>
        <w:spacing w:before="60" w:after="160" w:line="240"/>
        <w:ind w:right="0" w:left="0" w:firstLine="0"/>
        <w:jc w:val="center"/>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Tabela 532: Godišnje emisije CO</w:t>
      </w:r>
      <w:r>
        <w:rPr>
          <w:rFonts w:ascii="Calibri" w:hAnsi="Calibri" w:cs="Calibri" w:eastAsia="Calibri"/>
          <w:color w:val="auto"/>
          <w:spacing w:val="0"/>
          <w:position w:val="0"/>
          <w:sz w:val="18"/>
          <w:shd w:fill="auto" w:val="clear"/>
          <w:vertAlign w:val="subscript"/>
        </w:rPr>
        <w:t xml:space="preserve">2</w:t>
      </w:r>
      <w:r>
        <w:rPr>
          <w:rFonts w:ascii="Calibri" w:hAnsi="Calibri" w:cs="Calibri" w:eastAsia="Calibri"/>
          <w:color w:val="auto"/>
          <w:spacing w:val="0"/>
          <w:position w:val="0"/>
          <w:sz w:val="18"/>
          <w:shd w:fill="auto" w:val="clear"/>
        </w:rPr>
        <w:t xml:space="preserve"> iz podsektora javnih zgrada koje nisu u vlasništvu Op</w:t>
      </w:r>
      <w:r>
        <w:rPr>
          <w:rFonts w:ascii="Calibri" w:hAnsi="Calibri" w:cs="Calibri" w:eastAsia="Calibri"/>
          <w:color w:val="auto"/>
          <w:spacing w:val="0"/>
          <w:position w:val="0"/>
          <w:sz w:val="18"/>
          <w:shd w:fill="auto" w:val="clear"/>
        </w:rPr>
        <w:t xml:space="preserve">ćine u kontrolnoj godini</w:t>
      </w:r>
    </w:p>
    <w:p>
      <w:pPr>
        <w:spacing w:before="60" w:after="12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Ukupne prora</w:t>
      </w:r>
      <w:r>
        <w:rPr>
          <w:rFonts w:ascii="Calibri" w:hAnsi="Calibri" w:cs="Calibri" w:eastAsia="Calibri"/>
          <w:color w:val="auto"/>
          <w:spacing w:val="0"/>
          <w:position w:val="0"/>
          <w:sz w:val="20"/>
          <w:shd w:fill="auto" w:val="clear"/>
        </w:rPr>
        <w:t xml:space="preserve">čunate emisije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za podsektor javnih zgrada koje nisu u vlasništvu Općine u kontrolnoj 2020. godini iznose 348,44 t. S obzirom na to da je emisioni faktor za biomasu jednak nuli, najveći udio u ukupnim emisijama imaju emisije iz lignita i mrkog uglja, u približno istom omjeru, dok je udio električne energije neznatan. Procentualno učešće razmatranih energenata u ukupnim emisijama iz ovog sektora u kontrolnoj 2020. godini prikazano je na Dijagramu 5-21. </w:t>
      </w:r>
    </w:p>
    <w:tbl>
      <w:tblPr/>
      <w:tblGrid>
        <w:gridCol w:w="5017"/>
        <w:gridCol w:w="5018"/>
      </w:tblGrid>
      <w:tr>
        <w:trPr>
          <w:trHeight w:val="1" w:hRule="atLeast"/>
          <w:jc w:val="left"/>
        </w:trPr>
        <w:tc>
          <w:tcPr>
            <w:tcW w:w="5017"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i/>
                <w:color w:val="auto"/>
                <w:spacing w:val="0"/>
                <w:position w:val="0"/>
                <w:sz w:val="18"/>
                <w:shd w:fill="auto" w:val="clear"/>
              </w:rPr>
              <w:t xml:space="preserve">Dijagram 520: Udio razmatranih energenata u potrebnoj finalnoj energiji za grijanje javnih zgrada koje nisu u vlasništvu Op</w:t>
            </w:r>
            <w:r>
              <w:rPr>
                <w:rFonts w:ascii="Calibri" w:hAnsi="Calibri" w:cs="Calibri" w:eastAsia="Calibri"/>
                <w:i/>
                <w:color w:val="auto"/>
                <w:spacing w:val="0"/>
                <w:position w:val="0"/>
                <w:sz w:val="18"/>
                <w:shd w:fill="auto" w:val="clear"/>
              </w:rPr>
              <w:t xml:space="preserve">ćine u kontrolnoj 2020. godini</w:t>
            </w:r>
          </w:p>
        </w:tc>
        <w:tc>
          <w:tcPr>
            <w:tcW w:w="5018"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12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Dijagram 521: Udio razmatranih energenata u godišnjim emisijama CO</w:t>
            </w:r>
            <w:r>
              <w:rPr>
                <w:rFonts w:ascii="Calibri" w:hAnsi="Calibri" w:cs="Calibri" w:eastAsia="Calibri"/>
                <w:color w:val="auto"/>
                <w:spacing w:val="0"/>
                <w:position w:val="0"/>
                <w:sz w:val="18"/>
                <w:shd w:fill="auto" w:val="clear"/>
                <w:vertAlign w:val="subscript"/>
              </w:rPr>
              <w:t xml:space="preserve">2</w:t>
            </w:r>
            <w:r>
              <w:rPr>
                <w:rFonts w:ascii="Calibri" w:hAnsi="Calibri" w:cs="Calibri" w:eastAsia="Calibri"/>
                <w:color w:val="auto"/>
                <w:spacing w:val="0"/>
                <w:position w:val="0"/>
                <w:sz w:val="18"/>
                <w:shd w:fill="auto" w:val="clear"/>
              </w:rPr>
              <w:t xml:space="preserve"> iz podsektora javnih zgrada koje nisu u vlasništvu Op</w:t>
            </w:r>
            <w:r>
              <w:rPr>
                <w:rFonts w:ascii="Calibri" w:hAnsi="Calibri" w:cs="Calibri" w:eastAsia="Calibri"/>
                <w:color w:val="auto"/>
                <w:spacing w:val="0"/>
                <w:position w:val="0"/>
                <w:sz w:val="18"/>
                <w:shd w:fill="auto" w:val="clear"/>
              </w:rPr>
              <w:t xml:space="preserve">ćine u kontrolnoj 2020. godini</w:t>
            </w:r>
          </w:p>
        </w:tc>
      </w:tr>
    </w:tbl>
    <w:p>
      <w:pPr>
        <w:keepNext w:val="true"/>
        <w:keepLines w:val="true"/>
        <w:numPr>
          <w:ilvl w:val="0"/>
          <w:numId w:val="1569"/>
        </w:numPr>
        <w:spacing w:before="120" w:after="0" w:line="240"/>
        <w:ind w:right="0" w:left="862" w:hanging="862"/>
        <w:jc w:val="both"/>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Emisije CO</w:t>
      </w:r>
      <w:r>
        <w:rPr>
          <w:rFonts w:ascii="Calibri" w:hAnsi="Calibri" w:cs="Calibri" w:eastAsia="Calibri"/>
          <w:b/>
          <w:color w:val="auto"/>
          <w:spacing w:val="0"/>
          <w:position w:val="0"/>
          <w:sz w:val="22"/>
          <w:shd w:fill="auto" w:val="clear"/>
          <w:vertAlign w:val="subscript"/>
        </w:rPr>
        <w:t xml:space="preserve">2 </w:t>
      </w:r>
      <w:r>
        <w:rPr>
          <w:rFonts w:ascii="Calibri" w:hAnsi="Calibri" w:cs="Calibri" w:eastAsia="Calibri"/>
          <w:b/>
          <w:color w:val="auto"/>
          <w:spacing w:val="0"/>
          <w:position w:val="0"/>
          <w:sz w:val="22"/>
          <w:shd w:fill="auto" w:val="clear"/>
        </w:rPr>
        <w:t xml:space="preserve"> u kontrolnoj godini iz podsektora stambenih zgrada</w:t>
      </w:r>
    </w:p>
    <w:p>
      <w:pPr>
        <w:spacing w:before="60" w:after="120" w:line="240"/>
        <w:ind w:right="0" w:left="0" w:firstLine="0"/>
        <w:jc w:val="both"/>
        <w:rPr>
          <w:rFonts w:ascii="Calibri" w:hAnsi="Calibri" w:cs="Calibri" w:eastAsia="Calibri"/>
          <w:i/>
          <w:color w:val="auto"/>
          <w:spacing w:val="0"/>
          <w:position w:val="0"/>
          <w:sz w:val="20"/>
          <w:shd w:fill="auto" w:val="clear"/>
        </w:rPr>
      </w:pPr>
      <w:r>
        <w:rPr>
          <w:rFonts w:ascii="Calibri" w:hAnsi="Calibri" w:cs="Calibri" w:eastAsia="Calibri"/>
          <w:color w:val="auto"/>
          <w:spacing w:val="0"/>
          <w:position w:val="0"/>
          <w:sz w:val="20"/>
          <w:shd w:fill="auto" w:val="clear"/>
        </w:rPr>
        <w:t xml:space="preserve">Baznim inventarom emisija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obuhva</w:t>
      </w:r>
      <w:r>
        <w:rPr>
          <w:rFonts w:ascii="Calibri" w:hAnsi="Calibri" w:cs="Calibri" w:eastAsia="Calibri"/>
          <w:color w:val="auto"/>
          <w:spacing w:val="0"/>
          <w:position w:val="0"/>
          <w:sz w:val="20"/>
          <w:shd w:fill="auto" w:val="clear"/>
        </w:rPr>
        <w:t xml:space="preserve">ćena je ukupna korištena grijana površina svih stambenih zgrada u Doboj Istoku.  Pri određivanju potrebne finalne energije za grijanje stambenih zgrada u kontrolnoj 2020. godini najprije su određene </w:t>
      </w:r>
      <w:r>
        <w:rPr>
          <w:rFonts w:ascii="Calibri" w:hAnsi="Calibri" w:cs="Calibri" w:eastAsia="Calibri"/>
          <w:b/>
          <w:color w:val="auto"/>
          <w:spacing w:val="0"/>
          <w:position w:val="0"/>
          <w:sz w:val="20"/>
          <w:shd w:fill="auto" w:val="clear"/>
        </w:rPr>
        <w:t xml:space="preserve">energetske uštede ostvarene u ovom podsektoru u periodu od 2010. do 2020. godine realizacijom mjera energetske efikasnosti</w:t>
      </w:r>
      <w:r>
        <w:rPr>
          <w:rFonts w:ascii="Calibri" w:hAnsi="Calibri" w:cs="Calibri" w:eastAsia="Calibri"/>
          <w:color w:val="auto"/>
          <w:spacing w:val="0"/>
          <w:position w:val="0"/>
          <w:sz w:val="20"/>
          <w:shd w:fill="auto" w:val="clear"/>
        </w:rPr>
        <w:t xml:space="preserve">. Podaci o provedenim mjerama određeni su na osnovu rezultata ankete provedene na statističkom uzorku od 234 domaćinstva. Zbirni prikaz mjera energetske efikasnosti realiziranih u periodu 2010.-2020. na stambenim jedinicama u vlasništvu anketiranih domaćinstava dati su u </w:t>
      </w:r>
      <w:r>
        <w:rPr>
          <w:rFonts w:ascii="Calibri" w:hAnsi="Calibri" w:cs="Calibri" w:eastAsia="Calibri"/>
          <w:i/>
          <w:color w:val="auto"/>
          <w:spacing w:val="0"/>
          <w:position w:val="0"/>
          <w:sz w:val="20"/>
          <w:shd w:fill="auto" w:val="clear"/>
        </w:rPr>
        <w:t xml:space="preserve">Tabelama 5-35 i 5-36. </w:t>
      </w:r>
    </w:p>
    <w:tbl>
      <w:tblPr/>
      <w:tblGrid>
        <w:gridCol w:w="3841"/>
        <w:gridCol w:w="3558"/>
        <w:gridCol w:w="2063"/>
      </w:tblGrid>
      <w:tr>
        <w:trPr>
          <w:trHeight w:val="277" w:hRule="auto"/>
          <w:jc w:val="left"/>
        </w:trPr>
        <w:tc>
          <w:tcPr>
            <w:tcW w:w="9462" w:type="dxa"/>
            <w:gridSpan w:val="3"/>
            <w:tcBorders>
              <w:top w:val="single" w:color="000000" w:sz="4"/>
              <w:left w:val="single" w:color="000000" w:sz="4"/>
              <w:bottom w:val="single" w:color="000000" w:sz="4"/>
              <w:right w:val="single" w:color="000000" w:sz="4"/>
            </w:tcBorders>
            <w:shd w:color="000000" w:fill="b8cce4"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PROMJENE U SISTEMU GRIJANJA REALIZIRANE U PERIODU 2010.-2020.</w:t>
            </w:r>
          </w:p>
        </w:tc>
      </w:tr>
      <w:tr>
        <w:trPr>
          <w:trHeight w:val="126" w:hRule="auto"/>
          <w:jc w:val="left"/>
        </w:trPr>
        <w:tc>
          <w:tcPr>
            <w:tcW w:w="7399" w:type="dxa"/>
            <w:gridSpan w:val="2"/>
            <w:tcBorders>
              <w:top w:val="single" w:color="000000" w:sz="4"/>
              <w:left w:val="single" w:color="000000" w:sz="4"/>
              <w:bottom w:val="single" w:color="000000" w:sz="4"/>
              <w:right w:val="single" w:color="000000" w:sz="4"/>
            </w:tcBorders>
            <w:shd w:color="000000" w:fill="b8cce4"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NA</w:t>
            </w:r>
            <w:r>
              <w:rPr>
                <w:rFonts w:ascii="Calibri" w:hAnsi="Calibri" w:cs="Calibri" w:eastAsia="Calibri"/>
                <w:color w:val="000000"/>
                <w:spacing w:val="0"/>
                <w:position w:val="0"/>
                <w:sz w:val="18"/>
                <w:shd w:fill="auto" w:val="clear"/>
              </w:rPr>
              <w:t xml:space="preserve">ČIN GRIJANJA - ENERGENT</w:t>
            </w:r>
          </w:p>
        </w:tc>
        <w:tc>
          <w:tcPr>
            <w:tcW w:w="2063" w:type="dxa"/>
            <w:vMerge w:val="restart"/>
            <w:tcBorders>
              <w:top w:val="single" w:color="000000" w:sz="4"/>
              <w:left w:val="single" w:color="000000" w:sz="4"/>
              <w:bottom w:val="single" w:color="000000" w:sz="4"/>
              <w:right w:val="single" w:color="000000" w:sz="4"/>
            </w:tcBorders>
            <w:shd w:color="000000" w:fill="b8cce4" w:val="clear"/>
            <w:tcMar>
              <w:left w:w="28" w:type="dxa"/>
              <w:right w:w="28" w:type="dxa"/>
            </w:tcMar>
            <w:vAlign w:val="center"/>
          </w:tcPr>
          <w:p>
            <w:pPr>
              <w:spacing w:before="0" w:after="0" w:line="240"/>
              <w:ind w:right="0" w:left="0" w:firstLine="0"/>
              <w:jc w:val="center"/>
              <w:rPr>
                <w:rFonts w:ascii="Calibri" w:hAnsi="Calibri" w:cs="Calibri" w:eastAsia="Calibri"/>
                <w:color w:val="000000"/>
                <w:spacing w:val="0"/>
                <w:position w:val="0"/>
                <w:sz w:val="18"/>
                <w:shd w:fill="auto" w:val="clear"/>
              </w:rPr>
            </w:pPr>
            <w:r>
              <w:rPr>
                <w:rFonts w:ascii="Calibri" w:hAnsi="Calibri" w:cs="Calibri" w:eastAsia="Calibri"/>
                <w:color w:val="000000"/>
                <w:spacing w:val="0"/>
                <w:position w:val="0"/>
                <w:sz w:val="18"/>
                <w:shd w:fill="auto" w:val="clear"/>
              </w:rPr>
              <w:t xml:space="preserve">BROJ STAMBENIH JEDINICA NA KOJIMA SU REALIZIRANE MJERE</w:t>
            </w:r>
          </w:p>
          <w:p>
            <w:pPr>
              <w:spacing w:before="0" w:after="0" w:line="240"/>
              <w:ind w:right="0" w:left="0" w:firstLine="0"/>
              <w:jc w:val="center"/>
              <w:rPr>
                <w:rFonts w:ascii="Calibri" w:hAnsi="Calibri" w:cs="Calibri" w:eastAsia="Calibri"/>
                <w:spacing w:val="0"/>
                <w:position w:val="0"/>
              </w:rPr>
            </w:pPr>
          </w:p>
        </w:tc>
      </w:tr>
      <w:tr>
        <w:trPr>
          <w:trHeight w:val="133" w:hRule="auto"/>
          <w:jc w:val="left"/>
        </w:trPr>
        <w:tc>
          <w:tcPr>
            <w:tcW w:w="3841" w:type="dxa"/>
            <w:tcBorders>
              <w:top w:val="single" w:color="000000" w:sz="4"/>
              <w:left w:val="single" w:color="000000" w:sz="4"/>
              <w:bottom w:val="single" w:color="000000" w:sz="4"/>
              <w:right w:val="single" w:color="000000" w:sz="4"/>
            </w:tcBorders>
            <w:shd w:color="000000" w:fill="b8cce4" w:val="clear"/>
            <w:tcMar>
              <w:left w:w="28" w:type="dxa"/>
              <w:right w:w="2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PRIJE MJERA</w:t>
            </w:r>
          </w:p>
        </w:tc>
        <w:tc>
          <w:tcPr>
            <w:tcW w:w="3558" w:type="dxa"/>
            <w:tcBorders>
              <w:top w:val="single" w:color="000000" w:sz="4"/>
              <w:left w:val="single" w:color="000000" w:sz="4"/>
              <w:bottom w:val="single" w:color="000000" w:sz="4"/>
              <w:right w:val="single" w:color="000000" w:sz="4"/>
            </w:tcBorders>
            <w:shd w:color="000000" w:fill="b8cce4" w:val="clear"/>
            <w:tcMar>
              <w:left w:w="28" w:type="dxa"/>
              <w:right w:w="2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POSLIJE MJERA</w:t>
            </w:r>
          </w:p>
        </w:tc>
        <w:tc>
          <w:tcPr>
            <w:tcW w:w="2063" w:type="dxa"/>
            <w:vMerge/>
            <w:tcBorders>
              <w:top w:val="single" w:color="000000" w:sz="4"/>
              <w:left w:val="single" w:color="000000" w:sz="4"/>
              <w:bottom w:val="single" w:color="000000" w:sz="4"/>
              <w:right w:val="single" w:color="000000" w:sz="4"/>
            </w:tcBorders>
            <w:shd w:color="000000" w:fill="ffffff" w:val="clear"/>
            <w:tcMar>
              <w:left w:w="28" w:type="dxa"/>
              <w:right w:w="28"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r>
      <w:tr>
        <w:trPr>
          <w:trHeight w:val="126" w:hRule="auto"/>
          <w:jc w:val="left"/>
        </w:trPr>
        <w:tc>
          <w:tcPr>
            <w:tcW w:w="3841" w:type="dxa"/>
            <w:tcBorders>
              <w:top w:val="single" w:color="000000" w:sz="4"/>
              <w:left w:val="single" w:color="000000" w:sz="4"/>
              <w:bottom w:val="single" w:color="000000" w:sz="4"/>
              <w:right w:val="single" w:color="000000" w:sz="4"/>
            </w:tcBorders>
            <w:shd w:color="auto" w:fill="auto" w:val="clear"/>
            <w:tcMar>
              <w:left w:w="28" w:type="dxa"/>
              <w:right w:w="28" w:type="dxa"/>
            </w:tcMar>
            <w:vAlign w:val="top"/>
          </w:tcPr>
          <w:p>
            <w:pPr>
              <w:spacing w:before="0" w:after="0" w:line="240"/>
              <w:ind w:right="0" w:left="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CENTRALNO - UGALJ I DRVO</w:t>
            </w:r>
          </w:p>
        </w:tc>
        <w:tc>
          <w:tcPr>
            <w:tcW w:w="3558" w:type="dxa"/>
            <w:tcBorders>
              <w:top w:val="single" w:color="000000" w:sz="4"/>
              <w:left w:val="single" w:color="000000" w:sz="4"/>
              <w:bottom w:val="single" w:color="000000" w:sz="4"/>
              <w:right w:val="single" w:color="000000" w:sz="4"/>
            </w:tcBorders>
            <w:shd w:color="auto" w:fill="auto" w:val="clear"/>
            <w:tcMar>
              <w:left w:w="28" w:type="dxa"/>
              <w:right w:w="28" w:type="dxa"/>
            </w:tcMar>
            <w:vAlign w:val="top"/>
          </w:tcPr>
          <w:p>
            <w:pPr>
              <w:spacing w:before="0" w:after="0" w:line="240"/>
              <w:ind w:right="0" w:left="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CENTRALNO - BIOMASA</w:t>
            </w:r>
          </w:p>
        </w:tc>
        <w:tc>
          <w:tcPr>
            <w:tcW w:w="2063" w:type="dxa"/>
            <w:tcBorders>
              <w:top w:val="single" w:color="000000" w:sz="4"/>
              <w:left w:val="single" w:color="000000" w:sz="4"/>
              <w:bottom w:val="single" w:color="000000" w:sz="4"/>
              <w:right w:val="single" w:color="000000" w:sz="4"/>
            </w:tcBorders>
            <w:shd w:color="auto" w:fill="auto" w:val="clear"/>
            <w:tcMar>
              <w:left w:w="28" w:type="dxa"/>
              <w:right w:w="28" w:type="dxa"/>
            </w:tcMar>
            <w:vAlign w:val="top"/>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4</w:t>
            </w:r>
          </w:p>
        </w:tc>
      </w:tr>
      <w:tr>
        <w:trPr>
          <w:trHeight w:val="126" w:hRule="auto"/>
          <w:jc w:val="left"/>
        </w:trPr>
        <w:tc>
          <w:tcPr>
            <w:tcW w:w="3841" w:type="dxa"/>
            <w:tcBorders>
              <w:top w:val="single" w:color="000000" w:sz="4"/>
              <w:left w:val="single" w:color="000000" w:sz="4"/>
              <w:bottom w:val="single" w:color="000000" w:sz="4"/>
              <w:right w:val="single" w:color="000000" w:sz="4"/>
            </w:tcBorders>
            <w:shd w:color="auto" w:fill="auto" w:val="clear"/>
            <w:tcMar>
              <w:left w:w="28" w:type="dxa"/>
              <w:right w:w="28" w:type="dxa"/>
            </w:tcMar>
            <w:vAlign w:val="top"/>
          </w:tcPr>
          <w:p>
            <w:pPr>
              <w:spacing w:before="0" w:after="0" w:line="240"/>
              <w:ind w:right="0" w:left="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INDIVIDULANA PE</w:t>
            </w:r>
            <w:r>
              <w:rPr>
                <w:rFonts w:ascii="Calibri" w:hAnsi="Calibri" w:cs="Calibri" w:eastAsia="Calibri"/>
                <w:color w:val="auto"/>
                <w:spacing w:val="0"/>
                <w:position w:val="0"/>
                <w:sz w:val="18"/>
                <w:shd w:fill="auto" w:val="clear"/>
              </w:rPr>
              <w:t xml:space="preserve">Ć - UGALJ I DRVO</w:t>
            </w:r>
          </w:p>
        </w:tc>
        <w:tc>
          <w:tcPr>
            <w:tcW w:w="3558" w:type="dxa"/>
            <w:tcBorders>
              <w:top w:val="single" w:color="000000" w:sz="4"/>
              <w:left w:val="single" w:color="000000" w:sz="4"/>
              <w:bottom w:val="single" w:color="000000" w:sz="4"/>
              <w:right w:val="single" w:color="000000" w:sz="4"/>
            </w:tcBorders>
            <w:shd w:color="auto" w:fill="auto" w:val="clear"/>
            <w:tcMar>
              <w:left w:w="28" w:type="dxa"/>
              <w:right w:w="28" w:type="dxa"/>
            </w:tcMar>
            <w:vAlign w:val="top"/>
          </w:tcPr>
          <w:p>
            <w:pPr>
              <w:spacing w:before="0" w:after="0" w:line="240"/>
              <w:ind w:right="0" w:left="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CENTRALNO - UGALJ I DRVO</w:t>
            </w:r>
          </w:p>
        </w:tc>
        <w:tc>
          <w:tcPr>
            <w:tcW w:w="2063" w:type="dxa"/>
            <w:tcBorders>
              <w:top w:val="single" w:color="000000" w:sz="4"/>
              <w:left w:val="single" w:color="000000" w:sz="4"/>
              <w:bottom w:val="single" w:color="000000" w:sz="4"/>
              <w:right w:val="single" w:color="000000" w:sz="4"/>
            </w:tcBorders>
            <w:shd w:color="auto" w:fill="auto" w:val="clear"/>
            <w:tcMar>
              <w:left w:w="28" w:type="dxa"/>
              <w:right w:w="28" w:type="dxa"/>
            </w:tcMar>
            <w:vAlign w:val="top"/>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22</w:t>
            </w:r>
          </w:p>
        </w:tc>
      </w:tr>
      <w:tr>
        <w:trPr>
          <w:trHeight w:val="126" w:hRule="auto"/>
          <w:jc w:val="left"/>
        </w:trPr>
        <w:tc>
          <w:tcPr>
            <w:tcW w:w="3841" w:type="dxa"/>
            <w:tcBorders>
              <w:top w:val="single" w:color="000000" w:sz="4"/>
              <w:left w:val="single" w:color="000000" w:sz="4"/>
              <w:bottom w:val="single" w:color="000000" w:sz="4"/>
              <w:right w:val="single" w:color="000000" w:sz="4"/>
            </w:tcBorders>
            <w:shd w:color="auto" w:fill="auto" w:val="clear"/>
            <w:tcMar>
              <w:left w:w="28" w:type="dxa"/>
              <w:right w:w="28" w:type="dxa"/>
            </w:tcMar>
            <w:vAlign w:val="top"/>
          </w:tcPr>
          <w:p>
            <w:pPr>
              <w:spacing w:before="0" w:after="0" w:line="240"/>
              <w:ind w:right="0" w:left="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INDIVIDUALNA PE</w:t>
            </w:r>
            <w:r>
              <w:rPr>
                <w:rFonts w:ascii="Calibri" w:hAnsi="Calibri" w:cs="Calibri" w:eastAsia="Calibri"/>
                <w:color w:val="auto"/>
                <w:spacing w:val="0"/>
                <w:position w:val="0"/>
                <w:sz w:val="18"/>
                <w:shd w:fill="auto" w:val="clear"/>
              </w:rPr>
              <w:t xml:space="preserve">Ć - UGALJ I DRVO</w:t>
            </w:r>
          </w:p>
        </w:tc>
        <w:tc>
          <w:tcPr>
            <w:tcW w:w="3558" w:type="dxa"/>
            <w:tcBorders>
              <w:top w:val="single" w:color="000000" w:sz="4"/>
              <w:left w:val="single" w:color="000000" w:sz="4"/>
              <w:bottom w:val="single" w:color="000000" w:sz="4"/>
              <w:right w:val="single" w:color="000000" w:sz="4"/>
            </w:tcBorders>
            <w:shd w:color="auto" w:fill="auto" w:val="clear"/>
            <w:tcMar>
              <w:left w:w="28" w:type="dxa"/>
              <w:right w:w="28" w:type="dxa"/>
            </w:tcMar>
            <w:vAlign w:val="top"/>
          </w:tcPr>
          <w:p>
            <w:pPr>
              <w:spacing w:before="0" w:after="0" w:line="240"/>
              <w:ind w:right="0" w:left="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CENTRALNO - BIOMASA</w:t>
            </w:r>
          </w:p>
        </w:tc>
        <w:tc>
          <w:tcPr>
            <w:tcW w:w="2063" w:type="dxa"/>
            <w:tcBorders>
              <w:top w:val="single" w:color="000000" w:sz="4"/>
              <w:left w:val="single" w:color="000000" w:sz="4"/>
              <w:bottom w:val="single" w:color="000000" w:sz="4"/>
              <w:right w:val="single" w:color="000000" w:sz="4"/>
            </w:tcBorders>
            <w:shd w:color="auto" w:fill="auto" w:val="clear"/>
            <w:tcMar>
              <w:left w:w="28" w:type="dxa"/>
              <w:right w:w="28" w:type="dxa"/>
            </w:tcMar>
            <w:vAlign w:val="top"/>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27</w:t>
            </w:r>
          </w:p>
        </w:tc>
      </w:tr>
      <w:tr>
        <w:trPr>
          <w:trHeight w:val="126" w:hRule="auto"/>
          <w:jc w:val="left"/>
        </w:trPr>
        <w:tc>
          <w:tcPr>
            <w:tcW w:w="3841" w:type="dxa"/>
            <w:tcBorders>
              <w:top w:val="single" w:color="000000" w:sz="4"/>
              <w:left w:val="single" w:color="000000" w:sz="4"/>
              <w:bottom w:val="single" w:color="000000" w:sz="4"/>
              <w:right w:val="single" w:color="000000" w:sz="4"/>
            </w:tcBorders>
            <w:shd w:color="auto" w:fill="auto" w:val="clear"/>
            <w:tcMar>
              <w:left w:w="28" w:type="dxa"/>
              <w:right w:w="28" w:type="dxa"/>
            </w:tcMar>
            <w:vAlign w:val="top"/>
          </w:tcPr>
          <w:p>
            <w:pPr>
              <w:spacing w:before="0" w:after="0" w:line="240"/>
              <w:ind w:right="0" w:left="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INDIVIDUALNA PE</w:t>
            </w:r>
            <w:r>
              <w:rPr>
                <w:rFonts w:ascii="Calibri" w:hAnsi="Calibri" w:cs="Calibri" w:eastAsia="Calibri"/>
                <w:color w:val="auto"/>
                <w:spacing w:val="0"/>
                <w:position w:val="0"/>
                <w:sz w:val="18"/>
                <w:shd w:fill="auto" w:val="clear"/>
              </w:rPr>
              <w:t xml:space="preserve">Ć - BIOMASA</w:t>
            </w:r>
          </w:p>
        </w:tc>
        <w:tc>
          <w:tcPr>
            <w:tcW w:w="3558" w:type="dxa"/>
            <w:tcBorders>
              <w:top w:val="single" w:color="000000" w:sz="4"/>
              <w:left w:val="single" w:color="000000" w:sz="4"/>
              <w:bottom w:val="single" w:color="000000" w:sz="4"/>
              <w:right w:val="single" w:color="000000" w:sz="4"/>
            </w:tcBorders>
            <w:shd w:color="auto" w:fill="auto" w:val="clear"/>
            <w:tcMar>
              <w:left w:w="28" w:type="dxa"/>
              <w:right w:w="28" w:type="dxa"/>
            </w:tcMar>
            <w:vAlign w:val="top"/>
          </w:tcPr>
          <w:p>
            <w:pPr>
              <w:spacing w:before="0" w:after="0" w:line="240"/>
              <w:ind w:right="0" w:left="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CENTRALNO - BIOMASA</w:t>
            </w:r>
          </w:p>
        </w:tc>
        <w:tc>
          <w:tcPr>
            <w:tcW w:w="2063" w:type="dxa"/>
            <w:tcBorders>
              <w:top w:val="single" w:color="000000" w:sz="4"/>
              <w:left w:val="single" w:color="000000" w:sz="4"/>
              <w:bottom w:val="single" w:color="000000" w:sz="4"/>
              <w:right w:val="single" w:color="000000" w:sz="4"/>
            </w:tcBorders>
            <w:shd w:color="auto" w:fill="auto" w:val="clear"/>
            <w:tcMar>
              <w:left w:w="28" w:type="dxa"/>
              <w:right w:w="28" w:type="dxa"/>
            </w:tcMar>
            <w:vAlign w:val="top"/>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6</w:t>
            </w:r>
          </w:p>
        </w:tc>
      </w:tr>
      <w:tr>
        <w:trPr>
          <w:trHeight w:val="126" w:hRule="auto"/>
          <w:jc w:val="left"/>
        </w:trPr>
        <w:tc>
          <w:tcPr>
            <w:tcW w:w="3841" w:type="dxa"/>
            <w:tcBorders>
              <w:top w:val="single" w:color="000000" w:sz="4"/>
              <w:left w:val="single" w:color="000000" w:sz="4"/>
              <w:bottom w:val="single" w:color="000000" w:sz="4"/>
              <w:right w:val="single" w:color="000000" w:sz="4"/>
            </w:tcBorders>
            <w:shd w:color="auto" w:fill="auto" w:val="clear"/>
            <w:tcMar>
              <w:left w:w="28" w:type="dxa"/>
              <w:right w:w="28" w:type="dxa"/>
            </w:tcMar>
            <w:vAlign w:val="top"/>
          </w:tcPr>
          <w:p>
            <w:pPr>
              <w:spacing w:before="0" w:after="0" w:line="240"/>
              <w:ind w:right="0" w:left="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CENTRALNO - UGALJ I DRVO</w:t>
            </w:r>
          </w:p>
        </w:tc>
        <w:tc>
          <w:tcPr>
            <w:tcW w:w="3558" w:type="dxa"/>
            <w:tcBorders>
              <w:top w:val="single" w:color="000000" w:sz="4"/>
              <w:left w:val="single" w:color="000000" w:sz="4"/>
              <w:bottom w:val="single" w:color="000000" w:sz="4"/>
              <w:right w:val="single" w:color="000000" w:sz="4"/>
            </w:tcBorders>
            <w:shd w:color="auto" w:fill="auto" w:val="clear"/>
            <w:tcMar>
              <w:left w:w="28" w:type="dxa"/>
              <w:right w:w="28" w:type="dxa"/>
            </w:tcMar>
            <w:vAlign w:val="top"/>
          </w:tcPr>
          <w:p>
            <w:pPr>
              <w:spacing w:before="0" w:after="0" w:line="240"/>
              <w:ind w:right="0" w:left="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BEZ PROMJENA</w:t>
            </w:r>
          </w:p>
        </w:tc>
        <w:tc>
          <w:tcPr>
            <w:tcW w:w="2063" w:type="dxa"/>
            <w:tcBorders>
              <w:top w:val="single" w:color="000000" w:sz="4"/>
              <w:left w:val="single" w:color="000000" w:sz="4"/>
              <w:bottom w:val="single" w:color="000000" w:sz="4"/>
              <w:right w:val="single" w:color="000000" w:sz="4"/>
            </w:tcBorders>
            <w:shd w:color="auto" w:fill="auto" w:val="clear"/>
            <w:tcMar>
              <w:left w:w="28" w:type="dxa"/>
              <w:right w:w="28" w:type="dxa"/>
            </w:tcMar>
            <w:vAlign w:val="top"/>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22</w:t>
            </w:r>
          </w:p>
        </w:tc>
      </w:tr>
      <w:tr>
        <w:trPr>
          <w:trHeight w:val="126" w:hRule="auto"/>
          <w:jc w:val="left"/>
        </w:trPr>
        <w:tc>
          <w:tcPr>
            <w:tcW w:w="3841" w:type="dxa"/>
            <w:tcBorders>
              <w:top w:val="single" w:color="000000" w:sz="4"/>
              <w:left w:val="single" w:color="000000" w:sz="4"/>
              <w:bottom w:val="single" w:color="000000" w:sz="4"/>
              <w:right w:val="single" w:color="000000" w:sz="4"/>
            </w:tcBorders>
            <w:shd w:color="auto" w:fill="auto" w:val="clear"/>
            <w:tcMar>
              <w:left w:w="28" w:type="dxa"/>
              <w:right w:w="28" w:type="dxa"/>
            </w:tcMar>
            <w:vAlign w:val="top"/>
          </w:tcPr>
          <w:p>
            <w:pPr>
              <w:spacing w:before="0" w:after="0" w:line="240"/>
              <w:ind w:right="0" w:left="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CENTRALNO - BIOMASA</w:t>
            </w:r>
          </w:p>
        </w:tc>
        <w:tc>
          <w:tcPr>
            <w:tcW w:w="3558" w:type="dxa"/>
            <w:tcBorders>
              <w:top w:val="single" w:color="000000" w:sz="4"/>
              <w:left w:val="single" w:color="000000" w:sz="4"/>
              <w:bottom w:val="single" w:color="000000" w:sz="4"/>
              <w:right w:val="single" w:color="000000" w:sz="4"/>
            </w:tcBorders>
            <w:shd w:color="auto" w:fill="auto" w:val="clear"/>
            <w:tcMar>
              <w:left w:w="28" w:type="dxa"/>
              <w:right w:w="28" w:type="dxa"/>
            </w:tcMar>
            <w:vAlign w:val="top"/>
          </w:tcPr>
          <w:p>
            <w:pPr>
              <w:spacing w:before="0" w:after="0" w:line="240"/>
              <w:ind w:right="0" w:left="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BEZ PROMJENA</w:t>
            </w:r>
          </w:p>
        </w:tc>
        <w:tc>
          <w:tcPr>
            <w:tcW w:w="2063" w:type="dxa"/>
            <w:tcBorders>
              <w:top w:val="single" w:color="000000" w:sz="4"/>
              <w:left w:val="single" w:color="000000" w:sz="4"/>
              <w:bottom w:val="single" w:color="000000" w:sz="4"/>
              <w:right w:val="single" w:color="000000" w:sz="4"/>
            </w:tcBorders>
            <w:shd w:color="auto" w:fill="auto" w:val="clear"/>
            <w:tcMar>
              <w:left w:w="28" w:type="dxa"/>
              <w:right w:w="28" w:type="dxa"/>
            </w:tcMar>
            <w:vAlign w:val="top"/>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4</w:t>
            </w:r>
          </w:p>
        </w:tc>
      </w:tr>
      <w:tr>
        <w:trPr>
          <w:trHeight w:val="126" w:hRule="auto"/>
          <w:jc w:val="left"/>
        </w:trPr>
        <w:tc>
          <w:tcPr>
            <w:tcW w:w="3841" w:type="dxa"/>
            <w:tcBorders>
              <w:top w:val="single" w:color="000000" w:sz="4"/>
              <w:left w:val="single" w:color="000000" w:sz="4"/>
              <w:bottom w:val="single" w:color="000000" w:sz="4"/>
              <w:right w:val="single" w:color="000000" w:sz="4"/>
            </w:tcBorders>
            <w:shd w:color="auto" w:fill="auto" w:val="clear"/>
            <w:tcMar>
              <w:left w:w="28" w:type="dxa"/>
              <w:right w:w="28" w:type="dxa"/>
            </w:tcMar>
            <w:vAlign w:val="top"/>
          </w:tcPr>
          <w:p>
            <w:pPr>
              <w:spacing w:before="0" w:after="0" w:line="240"/>
              <w:ind w:right="0" w:left="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INDIVIDUALNA PE</w:t>
            </w:r>
            <w:r>
              <w:rPr>
                <w:rFonts w:ascii="Calibri" w:hAnsi="Calibri" w:cs="Calibri" w:eastAsia="Calibri"/>
                <w:color w:val="auto"/>
                <w:spacing w:val="0"/>
                <w:position w:val="0"/>
                <w:sz w:val="18"/>
                <w:shd w:fill="auto" w:val="clear"/>
              </w:rPr>
              <w:t xml:space="preserve">Ć - UGALJ I DRVO</w:t>
            </w:r>
          </w:p>
        </w:tc>
        <w:tc>
          <w:tcPr>
            <w:tcW w:w="3558" w:type="dxa"/>
            <w:tcBorders>
              <w:top w:val="single" w:color="000000" w:sz="4"/>
              <w:left w:val="single" w:color="000000" w:sz="4"/>
              <w:bottom w:val="single" w:color="000000" w:sz="4"/>
              <w:right w:val="single" w:color="000000" w:sz="4"/>
            </w:tcBorders>
            <w:shd w:color="auto" w:fill="auto" w:val="clear"/>
            <w:tcMar>
              <w:left w:w="28" w:type="dxa"/>
              <w:right w:w="28" w:type="dxa"/>
            </w:tcMar>
            <w:vAlign w:val="top"/>
          </w:tcPr>
          <w:p>
            <w:pPr>
              <w:spacing w:before="0" w:after="0" w:line="240"/>
              <w:ind w:right="0" w:left="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BEZ PROMJENA</w:t>
            </w:r>
          </w:p>
        </w:tc>
        <w:tc>
          <w:tcPr>
            <w:tcW w:w="2063" w:type="dxa"/>
            <w:tcBorders>
              <w:top w:val="single" w:color="000000" w:sz="4"/>
              <w:left w:val="single" w:color="000000" w:sz="4"/>
              <w:bottom w:val="single" w:color="000000" w:sz="4"/>
              <w:right w:val="single" w:color="000000" w:sz="4"/>
            </w:tcBorders>
            <w:shd w:color="auto" w:fill="auto" w:val="clear"/>
            <w:tcMar>
              <w:left w:w="28" w:type="dxa"/>
              <w:right w:w="28" w:type="dxa"/>
            </w:tcMar>
            <w:vAlign w:val="top"/>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124</w:t>
            </w:r>
          </w:p>
        </w:tc>
      </w:tr>
      <w:tr>
        <w:trPr>
          <w:trHeight w:val="126" w:hRule="auto"/>
          <w:jc w:val="left"/>
        </w:trPr>
        <w:tc>
          <w:tcPr>
            <w:tcW w:w="3841" w:type="dxa"/>
            <w:tcBorders>
              <w:top w:val="single" w:color="000000" w:sz="4"/>
              <w:left w:val="single" w:color="000000" w:sz="4"/>
              <w:bottom w:val="single" w:color="000000" w:sz="4"/>
              <w:right w:val="single" w:color="000000" w:sz="4"/>
            </w:tcBorders>
            <w:shd w:color="auto" w:fill="auto" w:val="clear"/>
            <w:tcMar>
              <w:left w:w="28" w:type="dxa"/>
              <w:right w:w="28" w:type="dxa"/>
            </w:tcMar>
            <w:vAlign w:val="top"/>
          </w:tcPr>
          <w:p>
            <w:pPr>
              <w:spacing w:before="0" w:after="0" w:line="240"/>
              <w:ind w:right="0" w:left="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INDIVIDUALNA PE</w:t>
            </w:r>
            <w:r>
              <w:rPr>
                <w:rFonts w:ascii="Calibri" w:hAnsi="Calibri" w:cs="Calibri" w:eastAsia="Calibri"/>
                <w:color w:val="auto"/>
                <w:spacing w:val="0"/>
                <w:position w:val="0"/>
                <w:sz w:val="18"/>
                <w:shd w:fill="auto" w:val="clear"/>
              </w:rPr>
              <w:t xml:space="preserve">Ć - BIOMASA</w:t>
            </w:r>
          </w:p>
        </w:tc>
        <w:tc>
          <w:tcPr>
            <w:tcW w:w="3558" w:type="dxa"/>
            <w:tcBorders>
              <w:top w:val="single" w:color="000000" w:sz="4"/>
              <w:left w:val="single" w:color="000000" w:sz="4"/>
              <w:bottom w:val="single" w:color="000000" w:sz="4"/>
              <w:right w:val="single" w:color="000000" w:sz="4"/>
            </w:tcBorders>
            <w:shd w:color="auto" w:fill="auto" w:val="clear"/>
            <w:tcMar>
              <w:left w:w="28" w:type="dxa"/>
              <w:right w:w="28" w:type="dxa"/>
            </w:tcMar>
            <w:vAlign w:val="top"/>
          </w:tcPr>
          <w:p>
            <w:pPr>
              <w:spacing w:before="0" w:after="0" w:line="240"/>
              <w:ind w:right="0" w:left="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BEZ PROMJENA</w:t>
            </w:r>
          </w:p>
        </w:tc>
        <w:tc>
          <w:tcPr>
            <w:tcW w:w="2063" w:type="dxa"/>
            <w:tcBorders>
              <w:top w:val="single" w:color="000000" w:sz="4"/>
              <w:left w:val="single" w:color="000000" w:sz="4"/>
              <w:bottom w:val="single" w:color="000000" w:sz="4"/>
              <w:right w:val="single" w:color="000000" w:sz="4"/>
            </w:tcBorders>
            <w:shd w:color="auto" w:fill="auto" w:val="clear"/>
            <w:tcMar>
              <w:left w:w="28" w:type="dxa"/>
              <w:right w:w="28" w:type="dxa"/>
            </w:tcMar>
            <w:vAlign w:val="top"/>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25</w:t>
            </w:r>
          </w:p>
        </w:tc>
      </w:tr>
      <w:tr>
        <w:trPr>
          <w:trHeight w:val="227" w:hRule="auto"/>
          <w:jc w:val="left"/>
        </w:trPr>
        <w:tc>
          <w:tcPr>
            <w:tcW w:w="7399" w:type="dxa"/>
            <w:gridSpan w:val="2"/>
            <w:tcBorders>
              <w:top w:val="single" w:color="000000" w:sz="4"/>
              <w:left w:val="single" w:color="000000" w:sz="4"/>
              <w:bottom w:val="single" w:color="000000" w:sz="4"/>
              <w:right w:val="single" w:color="000000" w:sz="4"/>
            </w:tcBorders>
            <w:shd w:color="000000" w:fill="b8cce4" w:val="clear"/>
            <w:tcMar>
              <w:left w:w="28" w:type="dxa"/>
              <w:right w:w="28" w:type="dxa"/>
            </w:tcMar>
            <w:vAlign w:val="top"/>
          </w:tcPr>
          <w:p>
            <w:pPr>
              <w:spacing w:before="0" w:after="0" w:line="240"/>
              <w:ind w:right="0" w:left="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UKUPNO</w:t>
            </w:r>
          </w:p>
        </w:tc>
        <w:tc>
          <w:tcPr>
            <w:tcW w:w="2063" w:type="dxa"/>
            <w:tcBorders>
              <w:top w:val="single" w:color="000000" w:sz="4"/>
              <w:left w:val="single" w:color="000000" w:sz="4"/>
              <w:bottom w:val="single" w:color="000000" w:sz="4"/>
              <w:right w:val="single" w:color="000000" w:sz="4"/>
            </w:tcBorders>
            <w:shd w:color="000000" w:fill="b8cce4" w:val="clear"/>
            <w:tcMar>
              <w:left w:w="28" w:type="dxa"/>
              <w:right w:w="28" w:type="dxa"/>
            </w:tcMar>
            <w:vAlign w:val="top"/>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234</w:t>
            </w:r>
          </w:p>
        </w:tc>
      </w:tr>
    </w:tbl>
    <w:p>
      <w:pPr>
        <w:spacing w:before="40" w:after="120" w:line="240"/>
        <w:ind w:right="0" w:left="0" w:firstLine="0"/>
        <w:jc w:val="center"/>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Tabela 533: Zbirni pregled mjera energetske efikasnosti na sistemima grijanja stambenih jedinica iz anketnog uzorka u periodu 2010. - 2020. </w:t>
      </w:r>
    </w:p>
    <w:p>
      <w:pPr>
        <w:spacing w:before="60" w:after="12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Anketa je pokazala da najve</w:t>
      </w:r>
      <w:r>
        <w:rPr>
          <w:rFonts w:ascii="Calibri" w:hAnsi="Calibri" w:cs="Calibri" w:eastAsia="Calibri"/>
          <w:color w:val="auto"/>
          <w:spacing w:val="0"/>
          <w:position w:val="0"/>
          <w:sz w:val="20"/>
          <w:shd w:fill="auto" w:val="clear"/>
        </w:rPr>
        <w:t xml:space="preserve">ći broj domaćinstava, približno 53%, za zagrijavanje svojih stambenih jedinica koriste individualne peći bez centralnog razvoda, te kao energent koriste kombinovano ugalj i drvo. Zatim slijede stambene jedinice sa istim energentom ali centralnim sistemom sa oko 18% učešća. Anketa je takođe pokazala određenu spremnost građana za korištenje okolišno prihvatljivijih energenata i sistema grijanja. U posmatranom periodu je 31 domaćinstvo (13,25% od ukupnog broja anketiranih) promijelo energente, te sada umjesto uglja koriste drvnu biomasu (ogrijevno drvo ili pelet), dok su 22 domaćinstva (9,40%) individualne peći na ugalj i drvo zamijenila centralnim sistemom grijanja sa istim energentima.</w:t>
      </w:r>
    </w:p>
    <w:tbl>
      <w:tblPr/>
      <w:tblGrid>
        <w:gridCol w:w="4204"/>
        <w:gridCol w:w="3340"/>
      </w:tblGrid>
      <w:tr>
        <w:trPr>
          <w:trHeight w:val="227" w:hRule="auto"/>
          <w:jc w:val="center"/>
        </w:trPr>
        <w:tc>
          <w:tcPr>
            <w:tcW w:w="4204" w:type="dxa"/>
            <w:tcBorders>
              <w:top w:val="single" w:color="000000" w:sz="4"/>
              <w:left w:val="single" w:color="000000" w:sz="4"/>
              <w:bottom w:val="single" w:color="000000" w:sz="4"/>
              <w:right w:val="single" w:color="000000" w:sz="4"/>
            </w:tcBorders>
            <w:shd w:color="000000" w:fill="bdd6ee"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PROVEDENE MJERE ENERGETSKE EFIKASNOSTI</w:t>
            </w:r>
          </w:p>
        </w:tc>
        <w:tc>
          <w:tcPr>
            <w:tcW w:w="3340" w:type="dxa"/>
            <w:tcBorders>
              <w:top w:val="single" w:color="000000" w:sz="4"/>
              <w:left w:val="single" w:color="000000" w:sz="4"/>
              <w:bottom w:val="single" w:color="000000" w:sz="4"/>
              <w:right w:val="single" w:color="000000" w:sz="4"/>
            </w:tcBorders>
            <w:shd w:color="000000" w:fill="bdd6ee"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BROJ STAMBENIH JEDINICA</w:t>
            </w:r>
          </w:p>
        </w:tc>
      </w:tr>
      <w:tr>
        <w:trPr>
          <w:trHeight w:val="227" w:hRule="auto"/>
          <w:jc w:val="center"/>
        </w:trPr>
        <w:tc>
          <w:tcPr>
            <w:tcW w:w="4204" w:type="dxa"/>
            <w:tcBorders>
              <w:top w:val="single" w:color="000000" w:sz="4"/>
              <w:left w:val="single" w:color="000000" w:sz="4"/>
              <w:bottom w:val="single" w:color="000000" w:sz="4"/>
              <w:right w:val="single" w:color="000000" w:sz="4"/>
            </w:tcBorders>
            <w:shd w:color="000000" w:fill="ddebf7"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TERMOIZOLACIJA VANJSKIH ZIDOVA</w:t>
            </w:r>
          </w:p>
        </w:tc>
        <w:tc>
          <w:tcPr>
            <w:tcW w:w="334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72</w:t>
            </w:r>
          </w:p>
        </w:tc>
      </w:tr>
      <w:tr>
        <w:trPr>
          <w:trHeight w:val="227" w:hRule="auto"/>
          <w:jc w:val="center"/>
        </w:trPr>
        <w:tc>
          <w:tcPr>
            <w:tcW w:w="4204" w:type="dxa"/>
            <w:tcBorders>
              <w:top w:val="single" w:color="000000" w:sz="4"/>
              <w:left w:val="single" w:color="000000" w:sz="4"/>
              <w:bottom w:val="single" w:color="000000" w:sz="4"/>
              <w:right w:val="single" w:color="000000" w:sz="4"/>
            </w:tcBorders>
            <w:shd w:color="000000" w:fill="ddebf7"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TERMOIZOLACIJA STROPA/KROVA</w:t>
            </w:r>
          </w:p>
        </w:tc>
        <w:tc>
          <w:tcPr>
            <w:tcW w:w="334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30</w:t>
            </w:r>
          </w:p>
        </w:tc>
      </w:tr>
      <w:tr>
        <w:trPr>
          <w:trHeight w:val="227" w:hRule="auto"/>
          <w:jc w:val="center"/>
        </w:trPr>
        <w:tc>
          <w:tcPr>
            <w:tcW w:w="4204" w:type="dxa"/>
            <w:tcBorders>
              <w:top w:val="single" w:color="000000" w:sz="4"/>
              <w:left w:val="single" w:color="000000" w:sz="4"/>
              <w:bottom w:val="single" w:color="000000" w:sz="4"/>
              <w:right w:val="single" w:color="000000" w:sz="4"/>
            </w:tcBorders>
            <w:shd w:color="000000" w:fill="ddebf7"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ZAMJENA VANJSKE STOLARIJE</w:t>
            </w:r>
          </w:p>
        </w:tc>
        <w:tc>
          <w:tcPr>
            <w:tcW w:w="334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153</w:t>
            </w:r>
          </w:p>
        </w:tc>
      </w:tr>
    </w:tbl>
    <w:p>
      <w:pPr>
        <w:spacing w:before="60" w:after="160" w:line="240"/>
        <w:ind w:right="0" w:left="0" w:firstLine="0"/>
        <w:jc w:val="center"/>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Tabela 534: Zbirni pregled mjera energetske efikasnosti na ovojnici stambenih jedinica iz anketnog uzorka u periodu 2010.-2020. </w:t>
      </w:r>
    </w:p>
    <w:p>
      <w:pPr>
        <w:spacing w:before="12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Što se ti</w:t>
      </w:r>
      <w:r>
        <w:rPr>
          <w:rFonts w:ascii="Calibri" w:hAnsi="Calibri" w:cs="Calibri" w:eastAsia="Calibri"/>
          <w:color w:val="auto"/>
          <w:spacing w:val="0"/>
          <w:position w:val="0"/>
          <w:sz w:val="20"/>
          <w:shd w:fill="auto" w:val="clear"/>
        </w:rPr>
        <w:t xml:space="preserve">če obnove vanjske ovojnice stambenih jedinica (termoizolacija zidova i stropa/krova, zamjena stolarije) anketa je pokazala da je na 174 stambene jedinice realizirana najmanje jedna mjera, što predstavlja 74,36% od ukupnog broja stambenih jedinica obuhvaćenih anketom. Na 65,38% stambenih jedinica je zamijenjena vanjska stolarija, na 30,77% je postavljena termoizolacija zidova, a na 12,82% je postavljena termoizolacija stropa /krova. </w:t>
      </w:r>
    </w:p>
    <w:p>
      <w:pPr>
        <w:spacing w:before="60" w:after="12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Uštede finalne energije u kontrolnoj 2020. godini, ostvarenih u okviru razmatranih 234 stambenih jedinica, u odnosu na stanje 2010. godine dobivene su primjenom MVP metodologije na osnovu ovih ulaznih podataka o realiziranim mjerama energetske efikasnosti. Uštede finalne energije u 2020. godini, ostvarene na nivou cjelokupnog podsektora stambenih zgrada odre</w:t>
      </w:r>
      <w:r>
        <w:rPr>
          <w:rFonts w:ascii="Calibri" w:hAnsi="Calibri" w:cs="Calibri" w:eastAsia="Calibri"/>
          <w:color w:val="auto"/>
          <w:spacing w:val="0"/>
          <w:position w:val="0"/>
          <w:sz w:val="20"/>
          <w:shd w:fill="auto" w:val="clear"/>
        </w:rPr>
        <w:t xml:space="preserve">đene su transpozicijom energetske uštede određene za 234 razmatranih jedinica na cjelokupni podsektor stambenih zgrada. Ova transpozicija je izvršena tako što je ušteda finalne energije ostvarena na razmatranom uzorku pomnožena sa omjerom ukupne grijane površine svih 234 razmatranih stambenih jedinica i ukupne korisne grijane površine cjelokupnog podsektora stambenih zgrada. Rezultati ovog proračuna prikazani su u narednoj tabeli. </w:t>
      </w:r>
    </w:p>
    <w:tbl>
      <w:tblPr/>
      <w:tblGrid>
        <w:gridCol w:w="2397"/>
        <w:gridCol w:w="1082"/>
        <w:gridCol w:w="880"/>
        <w:gridCol w:w="778"/>
        <w:gridCol w:w="980"/>
        <w:gridCol w:w="980"/>
        <w:gridCol w:w="1082"/>
        <w:gridCol w:w="1283"/>
      </w:tblGrid>
      <w:tr>
        <w:trPr>
          <w:trHeight w:val="284" w:hRule="auto"/>
          <w:jc w:val="left"/>
        </w:trPr>
        <w:tc>
          <w:tcPr>
            <w:tcW w:w="9462" w:type="dxa"/>
            <w:gridSpan w:val="8"/>
            <w:tcBorders>
              <w:top w:val="single" w:color="000000" w:sz="4"/>
              <w:left w:val="single" w:color="000000" w:sz="4"/>
              <w:bottom w:val="single" w:color="000000" w:sz="4"/>
              <w:right w:val="single" w:color="000000" w:sz="4"/>
            </w:tcBorders>
            <w:shd w:color="auto" w:fill="bdd7ee"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FINALNA ENERGIJA [MWh]</w:t>
            </w:r>
          </w:p>
        </w:tc>
      </w:tr>
      <w:tr>
        <w:trPr>
          <w:trHeight w:val="429" w:hRule="auto"/>
          <w:jc w:val="left"/>
        </w:trPr>
        <w:tc>
          <w:tcPr>
            <w:tcW w:w="2397" w:type="dxa"/>
            <w:vMerge w:val="restart"/>
            <w:tcBorders>
              <w:top w:val="single" w:color="000000" w:sz="4"/>
              <w:left w:val="single" w:color="000000" w:sz="4"/>
              <w:bottom w:val="single" w:color="000000" w:sz="4"/>
              <w:right w:val="single" w:color="000000" w:sz="4"/>
            </w:tcBorders>
            <w:shd w:color="auto" w:fill="bdd7ee" w:val="clear"/>
            <w:tcMar>
              <w:left w:w="28" w:type="dxa"/>
              <w:right w:w="28" w:type="dxa"/>
            </w:tcMar>
            <w:vAlign w:val="center"/>
          </w:tcPr>
          <w:p>
            <w:pPr>
              <w:spacing w:before="0" w:after="0" w:line="240"/>
              <w:ind w:right="0" w:left="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16"/>
                <w:shd w:fill="auto" w:val="clear"/>
              </w:rPr>
              <w:t xml:space="preserve">VRSTA ENERGENTA</w:t>
            </w:r>
          </w:p>
        </w:tc>
        <w:tc>
          <w:tcPr>
            <w:tcW w:w="1082" w:type="dxa"/>
            <w:vMerge w:val="restart"/>
            <w:tcBorders>
              <w:top w:val="single" w:color="000000" w:sz="4"/>
              <w:left w:val="single" w:color="000000" w:sz="4"/>
              <w:bottom w:val="single" w:color="000000" w:sz="4"/>
              <w:right w:val="single" w:color="000000" w:sz="4"/>
            </w:tcBorders>
            <w:shd w:color="auto" w:fill="bdd7ee"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ELEKTRI</w:t>
            </w:r>
            <w:r>
              <w:rPr>
                <w:rFonts w:ascii="Calibri" w:hAnsi="Calibri" w:cs="Calibri" w:eastAsia="Calibri"/>
                <w:color w:val="000000"/>
                <w:spacing w:val="0"/>
                <w:position w:val="0"/>
                <w:sz w:val="16"/>
                <w:shd w:fill="auto" w:val="clear"/>
              </w:rPr>
              <w:t xml:space="preserve">ČNA ENERGIJA</w:t>
            </w:r>
          </w:p>
        </w:tc>
        <w:tc>
          <w:tcPr>
            <w:tcW w:w="3618" w:type="dxa"/>
            <w:gridSpan w:val="4"/>
            <w:tcBorders>
              <w:top w:val="single" w:color="000000" w:sz="4"/>
              <w:left w:val="single" w:color="000000" w:sz="0"/>
              <w:bottom w:val="single" w:color="000000" w:sz="4"/>
              <w:right w:val="single" w:color="000000" w:sz="4"/>
            </w:tcBorders>
            <w:shd w:color="auto" w:fill="bdd7ee"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FOSILNA GORIVA</w:t>
            </w:r>
          </w:p>
        </w:tc>
        <w:tc>
          <w:tcPr>
            <w:tcW w:w="1082" w:type="dxa"/>
            <w:tcBorders>
              <w:top w:val="single" w:color="000000" w:sz="4"/>
              <w:left w:val="single" w:color="000000" w:sz="0"/>
              <w:bottom w:val="single" w:color="000000" w:sz="4"/>
              <w:right w:val="single" w:color="000000" w:sz="4"/>
            </w:tcBorders>
            <w:shd w:color="auto" w:fill="bdd7ee"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OBNOVLJIVI IZVORI</w:t>
            </w:r>
          </w:p>
        </w:tc>
        <w:tc>
          <w:tcPr>
            <w:tcW w:w="1283" w:type="dxa"/>
            <w:vMerge w:val="restart"/>
            <w:tcBorders>
              <w:top w:val="single" w:color="000000" w:sz="4"/>
              <w:left w:val="single" w:color="000000" w:sz="4"/>
              <w:bottom w:val="single" w:color="000000" w:sz="4"/>
              <w:right w:val="single" w:color="000000" w:sz="4"/>
            </w:tcBorders>
            <w:shd w:color="auto" w:fill="bdd7ee"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UKUPNO PO ENERGENTIMA</w:t>
            </w:r>
          </w:p>
        </w:tc>
      </w:tr>
      <w:tr>
        <w:trPr>
          <w:trHeight w:val="322" w:hRule="auto"/>
          <w:jc w:val="left"/>
        </w:trPr>
        <w:tc>
          <w:tcPr>
            <w:tcW w:w="2397" w:type="dxa"/>
            <w:vMerge/>
            <w:tcBorders>
              <w:top w:val="single" w:color="000000" w:sz="4"/>
              <w:left w:val="single" w:color="000000" w:sz="4"/>
              <w:bottom w:val="single" w:color="000000" w:sz="4"/>
              <w:right w:val="single" w:color="000000" w:sz="4"/>
            </w:tcBorders>
            <w:shd w:color="000000" w:fill="ffffff" w:val="clear"/>
            <w:tcMar>
              <w:left w:w="28" w:type="dxa"/>
              <w:right w:w="28"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082" w:type="dxa"/>
            <w:vMerge/>
            <w:tcBorders>
              <w:top w:val="single" w:color="000000" w:sz="0"/>
              <w:left w:val="single" w:color="000000" w:sz="4"/>
              <w:bottom w:val="single" w:color="000000" w:sz="4"/>
              <w:right w:val="single" w:color="000000" w:sz="4"/>
            </w:tcBorders>
            <w:shd w:color="000000" w:fill="ffffff" w:val="clear"/>
            <w:tcMar>
              <w:left w:w="28" w:type="dxa"/>
              <w:right w:w="28"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880" w:type="dxa"/>
            <w:tcBorders>
              <w:top w:val="single" w:color="000000" w:sz="0"/>
              <w:left w:val="single" w:color="000000" w:sz="0"/>
              <w:bottom w:val="single" w:color="000000" w:sz="4"/>
              <w:right w:val="single" w:color="000000" w:sz="4"/>
            </w:tcBorders>
            <w:shd w:color="auto" w:fill="bdd7ee"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PRIRODNI PLIN</w:t>
            </w:r>
          </w:p>
        </w:tc>
        <w:tc>
          <w:tcPr>
            <w:tcW w:w="778" w:type="dxa"/>
            <w:tcBorders>
              <w:top w:val="single" w:color="000000" w:sz="0"/>
              <w:left w:val="single" w:color="000000" w:sz="0"/>
              <w:bottom w:val="single" w:color="000000" w:sz="4"/>
              <w:right w:val="single" w:color="000000" w:sz="4"/>
            </w:tcBorders>
            <w:shd w:color="auto" w:fill="bdd7ee"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LOŽ ULJE</w:t>
            </w:r>
          </w:p>
        </w:tc>
        <w:tc>
          <w:tcPr>
            <w:tcW w:w="980" w:type="dxa"/>
            <w:tcBorders>
              <w:top w:val="single" w:color="000000" w:sz="0"/>
              <w:left w:val="single" w:color="000000" w:sz="0"/>
              <w:bottom w:val="single" w:color="000000" w:sz="4"/>
              <w:right w:val="single" w:color="000000" w:sz="4"/>
            </w:tcBorders>
            <w:shd w:color="auto" w:fill="bdd7ee"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LIGNIT</w:t>
            </w:r>
          </w:p>
        </w:tc>
        <w:tc>
          <w:tcPr>
            <w:tcW w:w="980" w:type="dxa"/>
            <w:tcBorders>
              <w:top w:val="single" w:color="000000" w:sz="0"/>
              <w:left w:val="single" w:color="000000" w:sz="0"/>
              <w:bottom w:val="single" w:color="000000" w:sz="4"/>
              <w:right w:val="single" w:color="000000" w:sz="4"/>
            </w:tcBorders>
            <w:shd w:color="auto" w:fill="bdd7ee"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MRKI UGALJ</w:t>
            </w:r>
          </w:p>
        </w:tc>
        <w:tc>
          <w:tcPr>
            <w:tcW w:w="1082" w:type="dxa"/>
            <w:tcBorders>
              <w:top w:val="single" w:color="000000" w:sz="0"/>
              <w:left w:val="single" w:color="000000" w:sz="0"/>
              <w:bottom w:val="single" w:color="000000" w:sz="4"/>
              <w:right w:val="single" w:color="000000" w:sz="4"/>
            </w:tcBorders>
            <w:shd w:color="auto" w:fill="bdd7ee"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BIOMASA</w:t>
            </w:r>
          </w:p>
        </w:tc>
        <w:tc>
          <w:tcPr>
            <w:tcW w:w="1283" w:type="dxa"/>
            <w:vMerge/>
            <w:tcBorders>
              <w:top w:val="single" w:color="000000" w:sz="0"/>
              <w:left w:val="single" w:color="000000" w:sz="4"/>
              <w:bottom w:val="single" w:color="000000" w:sz="4"/>
              <w:right w:val="single" w:color="000000" w:sz="4"/>
            </w:tcBorders>
            <w:shd w:color="000000" w:fill="ffffff" w:val="clear"/>
            <w:tcMar>
              <w:left w:w="28" w:type="dxa"/>
              <w:right w:w="28"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r>
      <w:tr>
        <w:trPr>
          <w:trHeight w:val="322" w:hRule="auto"/>
          <w:jc w:val="left"/>
        </w:trPr>
        <w:tc>
          <w:tcPr>
            <w:tcW w:w="2397" w:type="dxa"/>
            <w:tcBorders>
              <w:top w:val="single" w:color="000000" w:sz="4"/>
              <w:left w:val="single" w:color="000000" w:sz="4"/>
              <w:bottom w:val="single" w:color="000000" w:sz="4"/>
              <w:right w:val="single" w:color="000000" w:sz="4"/>
            </w:tcBorders>
            <w:shd w:color="auto" w:fill="deeaf6" w:val="clear"/>
            <w:tcMar>
              <w:left w:w="28" w:type="dxa"/>
              <w:right w:w="2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POTROŠNJA PO ENERGENTIMA</w:t>
            </w:r>
          </w:p>
        </w:tc>
        <w:tc>
          <w:tcPr>
            <w:tcW w:w="1082" w:type="dxa"/>
            <w:tcBorders>
              <w:top w:val="single" w:color="000000" w:sz="0"/>
              <w:left w:val="single" w:color="000000" w:sz="0"/>
              <w:bottom w:val="single" w:color="000000" w:sz="4"/>
              <w:right w:val="single" w:color="000000" w:sz="4"/>
            </w:tcBorders>
            <w:shd w:color="000000" w:fill="ffffff"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880" w:type="dxa"/>
            <w:tcBorders>
              <w:top w:val="single" w:color="000000" w:sz="0"/>
              <w:left w:val="single" w:color="000000" w:sz="0"/>
              <w:bottom w:val="single" w:color="000000" w:sz="4"/>
              <w:right w:val="single" w:color="000000" w:sz="4"/>
            </w:tcBorders>
            <w:shd w:color="000000" w:fill="ffffff"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778" w:type="dxa"/>
            <w:tcBorders>
              <w:top w:val="single" w:color="000000" w:sz="0"/>
              <w:left w:val="single" w:color="000000" w:sz="0"/>
              <w:bottom w:val="single" w:color="000000" w:sz="4"/>
              <w:right w:val="single" w:color="000000" w:sz="4"/>
            </w:tcBorders>
            <w:shd w:color="000000" w:fill="ffffff"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980" w:type="dxa"/>
            <w:tcBorders>
              <w:top w:val="single" w:color="000000" w:sz="0"/>
              <w:left w:val="single" w:color="000000" w:sz="0"/>
              <w:bottom w:val="single" w:color="000000" w:sz="4"/>
              <w:right w:val="single" w:color="000000" w:sz="4"/>
            </w:tcBorders>
            <w:shd w:color="000000" w:fill="ffffff"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5.575,60</w:t>
            </w:r>
          </w:p>
        </w:tc>
        <w:tc>
          <w:tcPr>
            <w:tcW w:w="980" w:type="dxa"/>
            <w:tcBorders>
              <w:top w:val="single" w:color="000000" w:sz="0"/>
              <w:left w:val="single" w:color="000000" w:sz="0"/>
              <w:bottom w:val="single" w:color="000000" w:sz="4"/>
              <w:right w:val="single" w:color="000000" w:sz="4"/>
            </w:tcBorders>
            <w:shd w:color="000000" w:fill="ffffff"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5.575,60</w:t>
            </w:r>
          </w:p>
        </w:tc>
        <w:tc>
          <w:tcPr>
            <w:tcW w:w="1082" w:type="dxa"/>
            <w:tcBorders>
              <w:top w:val="single" w:color="000000" w:sz="0"/>
              <w:left w:val="single" w:color="000000" w:sz="0"/>
              <w:bottom w:val="single" w:color="000000" w:sz="4"/>
              <w:right w:val="single" w:color="000000" w:sz="4"/>
            </w:tcBorders>
            <w:shd w:color="000000" w:fill="ffffff"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-3.324,08</w:t>
            </w:r>
          </w:p>
        </w:tc>
        <w:tc>
          <w:tcPr>
            <w:tcW w:w="1283" w:type="dxa"/>
            <w:tcBorders>
              <w:top w:val="single" w:color="000000" w:sz="0"/>
              <w:left w:val="single" w:color="000000" w:sz="0"/>
              <w:bottom w:val="single" w:color="000000" w:sz="4"/>
              <w:right w:val="single" w:color="000000" w:sz="4"/>
            </w:tcBorders>
            <w:shd w:color="auto" w:fill="d9e1f2" w:val="clear"/>
            <w:tcMar>
              <w:left w:w="28" w:type="dxa"/>
              <w:right w:w="28" w:type="dxa"/>
            </w:tcMar>
            <w:vAlign w:val="center"/>
          </w:tcPr>
          <w:p>
            <w:pPr>
              <w:keepNext w:val="true"/>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7.827,12</w:t>
            </w:r>
          </w:p>
        </w:tc>
      </w:tr>
    </w:tbl>
    <w:p>
      <w:pPr>
        <w:spacing w:before="60" w:after="160" w:line="240"/>
        <w:ind w:right="0" w:left="0" w:firstLine="0"/>
        <w:jc w:val="center"/>
        <w:rPr>
          <w:rFonts w:ascii="Calibri" w:hAnsi="Calibri" w:cs="Calibri" w:eastAsia="Calibri"/>
          <w:i/>
          <w:color w:val="auto"/>
          <w:spacing w:val="0"/>
          <w:position w:val="0"/>
          <w:sz w:val="18"/>
          <w:shd w:fill="auto" w:val="clear"/>
        </w:rPr>
      </w:pPr>
      <w:r>
        <w:rPr>
          <w:rFonts w:ascii="Calibri" w:hAnsi="Calibri" w:cs="Calibri" w:eastAsia="Calibri"/>
          <w:i/>
          <w:color w:val="auto"/>
          <w:spacing w:val="0"/>
          <w:position w:val="0"/>
          <w:sz w:val="18"/>
          <w:shd w:fill="auto" w:val="clear"/>
        </w:rPr>
        <w:t xml:space="preserve">Tabela 535: Ušteda finalne energije za grijanje stambenih zgrada ostvarene u kontrolnoj 2020. godini realizacijom mjera energetske efikasnosti</w:t>
      </w:r>
    </w:p>
    <w:p>
      <w:pPr>
        <w:spacing w:before="120" w:after="120" w:line="240"/>
        <w:ind w:right="0" w:left="0" w:firstLine="0"/>
        <w:jc w:val="both"/>
        <w:rPr>
          <w:rFonts w:ascii="Calibri" w:hAnsi="Calibri" w:cs="Calibri" w:eastAsia="Calibri"/>
          <w:i/>
          <w:color w:val="auto"/>
          <w:spacing w:val="0"/>
          <w:position w:val="0"/>
          <w:sz w:val="20"/>
          <w:shd w:fill="auto" w:val="clear"/>
        </w:rPr>
      </w:pPr>
      <w:r>
        <w:rPr>
          <w:rFonts w:ascii="Calibri" w:hAnsi="Calibri" w:cs="Calibri" w:eastAsia="Calibri"/>
          <w:color w:val="auto"/>
          <w:spacing w:val="0"/>
          <w:position w:val="0"/>
          <w:sz w:val="20"/>
          <w:shd w:fill="auto" w:val="clear"/>
        </w:rPr>
        <w:t xml:space="preserve">Tabela pokazuje da je mjerama energetske efikasnosti koje su u povom podsektoru zgrada provedene u periodu od bazne do kontrolne 20202. godine, ostvarena ušteda potrebne finalne energije za grijanje od 7.827,12 MWh. Naredna tabela daje pregled prora</w:t>
      </w:r>
      <w:r>
        <w:rPr>
          <w:rFonts w:ascii="Calibri" w:hAnsi="Calibri" w:cs="Calibri" w:eastAsia="Calibri"/>
          <w:color w:val="auto"/>
          <w:spacing w:val="0"/>
          <w:position w:val="0"/>
          <w:sz w:val="20"/>
          <w:shd w:fill="auto" w:val="clear"/>
        </w:rPr>
        <w:t xml:space="preserve">čuna potrebne finalne energije za grijanje u podsektoru stambenih zgrada.</w:t>
      </w:r>
    </w:p>
    <w:tbl>
      <w:tblPr/>
      <w:tblGrid>
        <w:gridCol w:w="2382"/>
        <w:gridCol w:w="1084"/>
        <w:gridCol w:w="905"/>
        <w:gridCol w:w="814"/>
        <w:gridCol w:w="995"/>
        <w:gridCol w:w="905"/>
        <w:gridCol w:w="1084"/>
        <w:gridCol w:w="1293"/>
      </w:tblGrid>
      <w:tr>
        <w:trPr>
          <w:trHeight w:val="284" w:hRule="auto"/>
          <w:jc w:val="left"/>
        </w:trPr>
        <w:tc>
          <w:tcPr>
            <w:tcW w:w="9462" w:type="dxa"/>
            <w:gridSpan w:val="8"/>
            <w:tcBorders>
              <w:top w:val="single" w:color="000000" w:sz="4"/>
              <w:left w:val="single" w:color="000000" w:sz="4"/>
              <w:bottom w:val="single" w:color="000000" w:sz="4"/>
              <w:right w:val="single" w:color="000000" w:sz="4"/>
            </w:tcBorders>
            <w:shd w:color="000000" w:fill="bdd7ee"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FINALNA ENERGIJA [MWh]</w:t>
            </w:r>
          </w:p>
        </w:tc>
      </w:tr>
      <w:tr>
        <w:trPr>
          <w:trHeight w:val="553" w:hRule="auto"/>
          <w:jc w:val="left"/>
        </w:trPr>
        <w:tc>
          <w:tcPr>
            <w:tcW w:w="2382" w:type="dxa"/>
            <w:vMerge w:val="restart"/>
            <w:tcBorders>
              <w:top w:val="single" w:color="000000" w:sz="4"/>
              <w:left w:val="single" w:color="000000" w:sz="4"/>
              <w:bottom w:val="single" w:color="000000" w:sz="4"/>
              <w:right w:val="single" w:color="000000" w:sz="4"/>
            </w:tcBorders>
            <w:shd w:color="000000" w:fill="bdd7ee" w:val="clear"/>
            <w:tcMar>
              <w:left w:w="28" w:type="dxa"/>
              <w:right w:w="28" w:type="dxa"/>
            </w:tcMar>
            <w:vAlign w:val="center"/>
          </w:tcPr>
          <w:p>
            <w:pPr>
              <w:spacing w:before="0" w:after="0" w:line="240"/>
              <w:ind w:right="0" w:left="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VRSTA ENERGENTA</w:t>
            </w:r>
          </w:p>
        </w:tc>
        <w:tc>
          <w:tcPr>
            <w:tcW w:w="1084" w:type="dxa"/>
            <w:vMerge w:val="restart"/>
            <w:tcBorders>
              <w:top w:val="single" w:color="000000" w:sz="4"/>
              <w:left w:val="single" w:color="000000" w:sz="4"/>
              <w:bottom w:val="single" w:color="000000" w:sz="4"/>
              <w:right w:val="single" w:color="000000" w:sz="4"/>
            </w:tcBorders>
            <w:shd w:color="000000" w:fill="bdd7ee"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ELEKTRI</w:t>
            </w:r>
            <w:r>
              <w:rPr>
                <w:rFonts w:ascii="Calibri" w:hAnsi="Calibri" w:cs="Calibri" w:eastAsia="Calibri"/>
                <w:color w:val="000000"/>
                <w:spacing w:val="0"/>
                <w:position w:val="0"/>
                <w:sz w:val="18"/>
                <w:shd w:fill="auto" w:val="clear"/>
              </w:rPr>
              <w:t xml:space="preserve">ČNA ENERGIJA</w:t>
            </w:r>
          </w:p>
        </w:tc>
        <w:tc>
          <w:tcPr>
            <w:tcW w:w="3619" w:type="dxa"/>
            <w:gridSpan w:val="4"/>
            <w:tcBorders>
              <w:top w:val="single" w:color="000000" w:sz="4"/>
              <w:left w:val="single" w:color="000000" w:sz="0"/>
              <w:bottom w:val="single" w:color="000000" w:sz="4"/>
              <w:right w:val="single" w:color="000000" w:sz="4"/>
            </w:tcBorders>
            <w:shd w:color="000000" w:fill="bdd7ee"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FOSILNA GORIVA</w:t>
            </w:r>
          </w:p>
        </w:tc>
        <w:tc>
          <w:tcPr>
            <w:tcW w:w="1084" w:type="dxa"/>
            <w:tcBorders>
              <w:top w:val="single" w:color="000000" w:sz="4"/>
              <w:left w:val="single" w:color="000000" w:sz="0"/>
              <w:bottom w:val="single" w:color="000000" w:sz="4"/>
              <w:right w:val="single" w:color="000000" w:sz="4"/>
            </w:tcBorders>
            <w:shd w:color="000000" w:fill="bdd7ee"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OBNOVLJIVI IZVORI </w:t>
            </w:r>
          </w:p>
        </w:tc>
        <w:tc>
          <w:tcPr>
            <w:tcW w:w="1293" w:type="dxa"/>
            <w:vMerge w:val="restart"/>
            <w:tcBorders>
              <w:top w:val="single" w:color="000000" w:sz="4"/>
              <w:left w:val="single" w:color="000000" w:sz="4"/>
              <w:bottom w:val="single" w:color="000000" w:sz="4"/>
              <w:right w:val="single" w:color="000000" w:sz="4"/>
            </w:tcBorders>
            <w:shd w:color="000000" w:fill="bdd7ee"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UKUPNO PO ENERGENTIMA</w:t>
            </w:r>
          </w:p>
        </w:tc>
      </w:tr>
      <w:tr>
        <w:trPr>
          <w:trHeight w:val="376" w:hRule="auto"/>
          <w:jc w:val="left"/>
        </w:trPr>
        <w:tc>
          <w:tcPr>
            <w:tcW w:w="2382" w:type="dxa"/>
            <w:vMerge/>
            <w:tcBorders>
              <w:top w:val="single" w:color="000000" w:sz="4"/>
              <w:left w:val="single" w:color="000000" w:sz="4"/>
              <w:bottom w:val="single" w:color="000000" w:sz="4"/>
              <w:right w:val="single" w:color="000000" w:sz="4"/>
            </w:tcBorders>
            <w:shd w:color="000000" w:fill="ffffff" w:val="clear"/>
            <w:tcMar>
              <w:left w:w="28" w:type="dxa"/>
              <w:right w:w="28"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084" w:type="dxa"/>
            <w:vMerge/>
            <w:tcBorders>
              <w:top w:val="single" w:color="000000" w:sz="0"/>
              <w:left w:val="single" w:color="000000" w:sz="4"/>
              <w:bottom w:val="single" w:color="000000" w:sz="4"/>
              <w:right w:val="single" w:color="000000" w:sz="4"/>
            </w:tcBorders>
            <w:shd w:color="000000" w:fill="ffffff" w:val="clear"/>
            <w:tcMar>
              <w:left w:w="28" w:type="dxa"/>
              <w:right w:w="28"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905" w:type="dxa"/>
            <w:tcBorders>
              <w:top w:val="single" w:color="000000" w:sz="0"/>
              <w:left w:val="single" w:color="000000" w:sz="0"/>
              <w:bottom w:val="single" w:color="000000" w:sz="4"/>
              <w:right w:val="single" w:color="000000" w:sz="4"/>
            </w:tcBorders>
            <w:shd w:color="000000" w:fill="bdd7ee"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PRIRODNI PLIN</w:t>
            </w:r>
          </w:p>
        </w:tc>
        <w:tc>
          <w:tcPr>
            <w:tcW w:w="814" w:type="dxa"/>
            <w:tcBorders>
              <w:top w:val="single" w:color="000000" w:sz="0"/>
              <w:left w:val="single" w:color="000000" w:sz="0"/>
              <w:bottom w:val="single" w:color="000000" w:sz="4"/>
              <w:right w:val="single" w:color="000000" w:sz="4"/>
            </w:tcBorders>
            <w:shd w:color="000000" w:fill="bdd7ee"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LOŽ ULJE</w:t>
            </w:r>
          </w:p>
        </w:tc>
        <w:tc>
          <w:tcPr>
            <w:tcW w:w="995" w:type="dxa"/>
            <w:tcBorders>
              <w:top w:val="single" w:color="000000" w:sz="0"/>
              <w:left w:val="single" w:color="000000" w:sz="0"/>
              <w:bottom w:val="single" w:color="000000" w:sz="4"/>
              <w:right w:val="single" w:color="000000" w:sz="4"/>
            </w:tcBorders>
            <w:shd w:color="000000" w:fill="bdd7ee"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LIGNIT</w:t>
            </w:r>
          </w:p>
        </w:tc>
        <w:tc>
          <w:tcPr>
            <w:tcW w:w="905" w:type="dxa"/>
            <w:tcBorders>
              <w:top w:val="single" w:color="000000" w:sz="0"/>
              <w:left w:val="single" w:color="000000" w:sz="0"/>
              <w:bottom w:val="single" w:color="000000" w:sz="4"/>
              <w:right w:val="single" w:color="000000" w:sz="4"/>
            </w:tcBorders>
            <w:shd w:color="000000" w:fill="bdd7ee"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MRKI UGALJ</w:t>
            </w:r>
          </w:p>
        </w:tc>
        <w:tc>
          <w:tcPr>
            <w:tcW w:w="1084" w:type="dxa"/>
            <w:tcBorders>
              <w:top w:val="single" w:color="000000" w:sz="0"/>
              <w:left w:val="single" w:color="000000" w:sz="0"/>
              <w:bottom w:val="single" w:color="000000" w:sz="4"/>
              <w:right w:val="single" w:color="000000" w:sz="4"/>
            </w:tcBorders>
            <w:shd w:color="000000" w:fill="bdd7ee"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BIOMASA</w:t>
            </w:r>
          </w:p>
        </w:tc>
        <w:tc>
          <w:tcPr>
            <w:tcW w:w="1293" w:type="dxa"/>
            <w:vMerge/>
            <w:tcBorders>
              <w:top w:val="single" w:color="000000" w:sz="0"/>
              <w:left w:val="single" w:color="000000" w:sz="4"/>
              <w:bottom w:val="single" w:color="000000" w:sz="4"/>
              <w:right w:val="single" w:color="000000" w:sz="4"/>
            </w:tcBorders>
            <w:shd w:color="000000" w:fill="ffffff" w:val="clear"/>
            <w:tcMar>
              <w:left w:w="28" w:type="dxa"/>
              <w:right w:w="28"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r>
      <w:tr>
        <w:trPr>
          <w:trHeight w:val="284" w:hRule="auto"/>
          <w:jc w:val="left"/>
        </w:trPr>
        <w:tc>
          <w:tcPr>
            <w:tcW w:w="2382" w:type="dxa"/>
            <w:tcBorders>
              <w:top w:val="single" w:color="000000" w:sz="4"/>
              <w:left w:val="single" w:color="000000" w:sz="4"/>
              <w:bottom w:val="single" w:color="000000" w:sz="4"/>
              <w:right w:val="single" w:color="000000" w:sz="4"/>
            </w:tcBorders>
            <w:shd w:color="auto" w:fill="deeaf6" w:val="clear"/>
            <w:tcMar>
              <w:left w:w="28" w:type="dxa"/>
              <w:right w:w="2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Finalna energija u 2010. godini</w:t>
            </w:r>
          </w:p>
        </w:tc>
        <w:tc>
          <w:tcPr>
            <w:tcW w:w="1084" w:type="dxa"/>
            <w:tcBorders>
              <w:top w:val="single" w:color="000000" w:sz="0"/>
              <w:left w:val="single" w:color="000000" w:sz="0"/>
              <w:bottom w:val="single" w:color="000000" w:sz="4"/>
              <w:right w:val="single" w:color="000000" w:sz="4"/>
            </w:tcBorders>
            <w:shd w:color="auto" w:fill="auto"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179,75</w:t>
            </w:r>
          </w:p>
        </w:tc>
        <w:tc>
          <w:tcPr>
            <w:tcW w:w="905" w:type="dxa"/>
            <w:tcBorders>
              <w:top w:val="single" w:color="000000" w:sz="0"/>
              <w:left w:val="single" w:color="000000" w:sz="0"/>
              <w:bottom w:val="single" w:color="000000" w:sz="4"/>
              <w:right w:val="single" w:color="000000" w:sz="4"/>
            </w:tcBorders>
            <w:shd w:color="auto" w:fill="auto"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145,82</w:t>
            </w:r>
          </w:p>
        </w:tc>
        <w:tc>
          <w:tcPr>
            <w:tcW w:w="814" w:type="dxa"/>
            <w:tcBorders>
              <w:top w:val="single" w:color="000000" w:sz="0"/>
              <w:left w:val="single" w:color="000000" w:sz="0"/>
              <w:bottom w:val="single" w:color="000000" w:sz="4"/>
              <w:right w:val="single" w:color="000000" w:sz="4"/>
            </w:tcBorders>
            <w:shd w:color="auto" w:fill="auto"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198,74</w:t>
            </w:r>
          </w:p>
        </w:tc>
        <w:tc>
          <w:tcPr>
            <w:tcW w:w="995" w:type="dxa"/>
            <w:tcBorders>
              <w:top w:val="single" w:color="000000" w:sz="0"/>
              <w:left w:val="single" w:color="000000" w:sz="0"/>
              <w:bottom w:val="single" w:color="000000" w:sz="4"/>
              <w:right w:val="single" w:color="000000" w:sz="4"/>
            </w:tcBorders>
            <w:shd w:color="auto" w:fill="auto"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25.006,88</w:t>
            </w:r>
          </w:p>
        </w:tc>
        <w:tc>
          <w:tcPr>
            <w:tcW w:w="905" w:type="dxa"/>
            <w:tcBorders>
              <w:top w:val="single" w:color="000000" w:sz="0"/>
              <w:left w:val="single" w:color="000000" w:sz="0"/>
              <w:bottom w:val="single" w:color="000000" w:sz="4"/>
              <w:right w:val="single" w:color="000000" w:sz="4"/>
            </w:tcBorders>
            <w:shd w:color="auto" w:fill="auto"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25.006,88</w:t>
            </w:r>
          </w:p>
        </w:tc>
        <w:tc>
          <w:tcPr>
            <w:tcW w:w="1084" w:type="dxa"/>
            <w:tcBorders>
              <w:top w:val="single" w:color="000000" w:sz="0"/>
              <w:left w:val="single" w:color="000000" w:sz="0"/>
              <w:bottom w:val="single" w:color="000000" w:sz="4"/>
              <w:right w:val="single" w:color="000000" w:sz="4"/>
            </w:tcBorders>
            <w:shd w:color="auto" w:fill="auto"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3.814,53</w:t>
            </w:r>
          </w:p>
        </w:tc>
        <w:tc>
          <w:tcPr>
            <w:tcW w:w="1293" w:type="dxa"/>
            <w:tcBorders>
              <w:top w:val="single" w:color="000000" w:sz="0"/>
              <w:left w:val="single" w:color="000000" w:sz="0"/>
              <w:bottom w:val="single" w:color="000000" w:sz="4"/>
              <w:right w:val="single" w:color="000000" w:sz="4"/>
            </w:tcBorders>
            <w:shd w:color="000000" w:fill="d9e1f2" w:val="clear"/>
            <w:tcMar>
              <w:left w:w="28" w:type="dxa"/>
              <w:right w:w="28" w:type="dxa"/>
            </w:tcMar>
            <w:vAlign w:val="center"/>
          </w:tcPr>
          <w:p>
            <w:pPr>
              <w:keepNext w:val="true"/>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54.352,61</w:t>
            </w:r>
          </w:p>
        </w:tc>
      </w:tr>
      <w:tr>
        <w:trPr>
          <w:trHeight w:val="322" w:hRule="auto"/>
          <w:jc w:val="left"/>
        </w:trPr>
        <w:tc>
          <w:tcPr>
            <w:tcW w:w="2382" w:type="dxa"/>
            <w:tcBorders>
              <w:top w:val="single" w:color="000000" w:sz="4"/>
              <w:left w:val="single" w:color="000000" w:sz="4"/>
              <w:bottom w:val="single" w:color="000000" w:sz="4"/>
              <w:right w:val="single" w:color="000000" w:sz="4"/>
            </w:tcBorders>
            <w:shd w:color="auto" w:fill="deeaf6" w:val="clear"/>
            <w:tcMar>
              <w:left w:w="28" w:type="dxa"/>
              <w:right w:w="2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Uštede realizirane u periodu 2010.-2020 mjerama EE</w:t>
            </w:r>
          </w:p>
        </w:tc>
        <w:tc>
          <w:tcPr>
            <w:tcW w:w="1084" w:type="dxa"/>
            <w:tcBorders>
              <w:top w:val="single" w:color="000000" w:sz="0"/>
              <w:left w:val="single" w:color="000000" w:sz="0"/>
              <w:bottom w:val="single" w:color="000000" w:sz="4"/>
              <w:right w:val="single" w:color="000000" w:sz="4"/>
            </w:tcBorders>
            <w:shd w:color="000000" w:fill="ffffff"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905" w:type="dxa"/>
            <w:tcBorders>
              <w:top w:val="single" w:color="000000" w:sz="0"/>
              <w:left w:val="single" w:color="000000" w:sz="0"/>
              <w:bottom w:val="single" w:color="000000" w:sz="4"/>
              <w:right w:val="single" w:color="000000" w:sz="4"/>
            </w:tcBorders>
            <w:shd w:color="000000" w:fill="ffffff"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814" w:type="dxa"/>
            <w:tcBorders>
              <w:top w:val="single" w:color="000000" w:sz="0"/>
              <w:left w:val="single" w:color="000000" w:sz="0"/>
              <w:bottom w:val="single" w:color="000000" w:sz="4"/>
              <w:right w:val="single" w:color="000000" w:sz="4"/>
            </w:tcBorders>
            <w:shd w:color="000000" w:fill="ffffff"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995" w:type="dxa"/>
            <w:tcBorders>
              <w:top w:val="single" w:color="000000" w:sz="0"/>
              <w:left w:val="single" w:color="000000" w:sz="0"/>
              <w:bottom w:val="single" w:color="000000" w:sz="4"/>
              <w:right w:val="single" w:color="000000" w:sz="4"/>
            </w:tcBorders>
            <w:shd w:color="000000" w:fill="ffffff"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5.575,60</w:t>
            </w:r>
          </w:p>
        </w:tc>
        <w:tc>
          <w:tcPr>
            <w:tcW w:w="905" w:type="dxa"/>
            <w:tcBorders>
              <w:top w:val="single" w:color="000000" w:sz="0"/>
              <w:left w:val="single" w:color="000000" w:sz="0"/>
              <w:bottom w:val="single" w:color="000000" w:sz="4"/>
              <w:right w:val="single" w:color="000000" w:sz="4"/>
            </w:tcBorders>
            <w:shd w:color="000000" w:fill="ffffff"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5.575,60</w:t>
            </w:r>
          </w:p>
        </w:tc>
        <w:tc>
          <w:tcPr>
            <w:tcW w:w="1084" w:type="dxa"/>
            <w:tcBorders>
              <w:top w:val="single" w:color="000000" w:sz="0"/>
              <w:left w:val="single" w:color="000000" w:sz="0"/>
              <w:bottom w:val="single" w:color="000000" w:sz="4"/>
              <w:right w:val="single" w:color="000000" w:sz="4"/>
            </w:tcBorders>
            <w:shd w:color="000000" w:fill="ffffff"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-3.324,08</w:t>
            </w:r>
          </w:p>
        </w:tc>
        <w:tc>
          <w:tcPr>
            <w:tcW w:w="1293" w:type="dxa"/>
            <w:tcBorders>
              <w:top w:val="single" w:color="000000" w:sz="0"/>
              <w:left w:val="single" w:color="000000" w:sz="0"/>
              <w:bottom w:val="single" w:color="000000" w:sz="4"/>
              <w:right w:val="single" w:color="000000" w:sz="4"/>
            </w:tcBorders>
            <w:shd w:color="auto" w:fill="d9e1f2" w:val="clear"/>
            <w:tcMar>
              <w:left w:w="28" w:type="dxa"/>
              <w:right w:w="28" w:type="dxa"/>
            </w:tcMar>
            <w:vAlign w:val="center"/>
          </w:tcPr>
          <w:p>
            <w:pPr>
              <w:keepNext w:val="true"/>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7.827,12</w:t>
            </w:r>
          </w:p>
        </w:tc>
      </w:tr>
      <w:tr>
        <w:trPr>
          <w:trHeight w:val="284" w:hRule="auto"/>
          <w:jc w:val="left"/>
        </w:trPr>
        <w:tc>
          <w:tcPr>
            <w:tcW w:w="2382" w:type="dxa"/>
            <w:tcBorders>
              <w:top w:val="single" w:color="000000" w:sz="4"/>
              <w:left w:val="single" w:color="000000" w:sz="4"/>
              <w:bottom w:val="single" w:color="000000" w:sz="4"/>
              <w:right w:val="single" w:color="000000" w:sz="4"/>
            </w:tcBorders>
            <w:shd w:color="auto" w:fill="deeaf6" w:val="clear"/>
            <w:tcMar>
              <w:left w:w="28" w:type="dxa"/>
              <w:right w:w="28" w:type="dxa"/>
            </w:tcMar>
            <w:vAlign w:val="center"/>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FINALNA ENERGIJA u 2020.g.</w:t>
            </w:r>
          </w:p>
        </w:tc>
        <w:tc>
          <w:tcPr>
            <w:tcW w:w="1084" w:type="dxa"/>
            <w:tcBorders>
              <w:top w:val="single" w:color="000000" w:sz="0"/>
              <w:left w:val="single" w:color="000000" w:sz="0"/>
              <w:bottom w:val="single" w:color="000000" w:sz="4"/>
              <w:right w:val="single" w:color="000000" w:sz="4"/>
            </w:tcBorders>
            <w:shd w:color="auto" w:fill="auto"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179,75</w:t>
            </w:r>
          </w:p>
        </w:tc>
        <w:tc>
          <w:tcPr>
            <w:tcW w:w="905" w:type="dxa"/>
            <w:tcBorders>
              <w:top w:val="single" w:color="000000" w:sz="0"/>
              <w:left w:val="single" w:color="000000" w:sz="0"/>
              <w:bottom w:val="single" w:color="000000" w:sz="4"/>
              <w:right w:val="single" w:color="000000" w:sz="4"/>
            </w:tcBorders>
            <w:shd w:color="auto" w:fill="auto"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145,82</w:t>
            </w:r>
          </w:p>
        </w:tc>
        <w:tc>
          <w:tcPr>
            <w:tcW w:w="814" w:type="dxa"/>
            <w:tcBorders>
              <w:top w:val="single" w:color="000000" w:sz="0"/>
              <w:left w:val="single" w:color="000000" w:sz="0"/>
              <w:bottom w:val="single" w:color="000000" w:sz="4"/>
              <w:right w:val="single" w:color="000000" w:sz="4"/>
            </w:tcBorders>
            <w:shd w:color="auto" w:fill="auto"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198,74</w:t>
            </w:r>
          </w:p>
        </w:tc>
        <w:tc>
          <w:tcPr>
            <w:tcW w:w="995" w:type="dxa"/>
            <w:tcBorders>
              <w:top w:val="single" w:color="000000" w:sz="0"/>
              <w:left w:val="single" w:color="000000" w:sz="0"/>
              <w:bottom w:val="single" w:color="000000" w:sz="4"/>
              <w:right w:val="single" w:color="000000" w:sz="4"/>
            </w:tcBorders>
            <w:shd w:color="auto" w:fill="auto"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19.431,28</w:t>
            </w:r>
          </w:p>
        </w:tc>
        <w:tc>
          <w:tcPr>
            <w:tcW w:w="905" w:type="dxa"/>
            <w:tcBorders>
              <w:top w:val="single" w:color="000000" w:sz="0"/>
              <w:left w:val="single" w:color="000000" w:sz="0"/>
              <w:bottom w:val="single" w:color="000000" w:sz="4"/>
              <w:right w:val="single" w:color="000000" w:sz="4"/>
            </w:tcBorders>
            <w:shd w:color="auto" w:fill="auto"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19.431,28</w:t>
            </w:r>
          </w:p>
        </w:tc>
        <w:tc>
          <w:tcPr>
            <w:tcW w:w="1084" w:type="dxa"/>
            <w:tcBorders>
              <w:top w:val="single" w:color="000000" w:sz="0"/>
              <w:left w:val="single" w:color="000000" w:sz="0"/>
              <w:bottom w:val="single" w:color="000000" w:sz="4"/>
              <w:right w:val="single" w:color="000000" w:sz="4"/>
            </w:tcBorders>
            <w:shd w:color="auto" w:fill="auto"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7.138,61</w:t>
            </w:r>
          </w:p>
        </w:tc>
        <w:tc>
          <w:tcPr>
            <w:tcW w:w="1293" w:type="dxa"/>
            <w:tcBorders>
              <w:top w:val="single" w:color="000000" w:sz="0"/>
              <w:left w:val="single" w:color="000000" w:sz="0"/>
              <w:bottom w:val="single" w:color="000000" w:sz="4"/>
              <w:right w:val="single" w:color="000000" w:sz="4"/>
            </w:tcBorders>
            <w:shd w:color="000000" w:fill="d9e1f2" w:val="clear"/>
            <w:tcMar>
              <w:left w:w="28" w:type="dxa"/>
              <w:right w:w="28" w:type="dxa"/>
            </w:tcMar>
            <w:vAlign w:val="center"/>
          </w:tcPr>
          <w:p>
            <w:pPr>
              <w:keepNext w:val="true"/>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46.525,49</w:t>
            </w:r>
          </w:p>
        </w:tc>
      </w:tr>
    </w:tbl>
    <w:p>
      <w:pPr>
        <w:spacing w:before="60" w:after="120" w:line="240"/>
        <w:ind w:right="0" w:left="0" w:firstLine="0"/>
        <w:jc w:val="center"/>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Tabela 536: Potrebna finalna energija za grijanje stambenih zgrada u kontrolnoj 2020. godini</w:t>
      </w:r>
    </w:p>
    <w:p>
      <w:pPr>
        <w:spacing w:before="120" w:after="0" w:line="240"/>
        <w:ind w:right="0" w:left="0" w:firstLine="0"/>
        <w:jc w:val="both"/>
        <w:rPr>
          <w:rFonts w:ascii="Calibri" w:hAnsi="Calibri" w:cs="Calibri" w:eastAsia="Calibri"/>
          <w:b/>
          <w:color w:val="auto"/>
          <w:spacing w:val="0"/>
          <w:position w:val="0"/>
          <w:sz w:val="20"/>
          <w:shd w:fill="auto" w:val="clear"/>
        </w:rPr>
      </w:pPr>
      <w:r>
        <w:rPr>
          <w:rFonts w:ascii="Calibri" w:hAnsi="Calibri" w:cs="Calibri" w:eastAsia="Calibri"/>
          <w:color w:val="auto"/>
          <w:spacing w:val="0"/>
          <w:position w:val="0"/>
          <w:sz w:val="20"/>
          <w:shd w:fill="auto" w:val="clear"/>
        </w:rPr>
        <w:t xml:space="preserve">Ukupna finalna energija potrebna za grijanje stambenih zgrada na podru</w:t>
      </w:r>
      <w:r>
        <w:rPr>
          <w:rFonts w:ascii="Calibri" w:hAnsi="Calibri" w:cs="Calibri" w:eastAsia="Calibri"/>
          <w:color w:val="auto"/>
          <w:spacing w:val="0"/>
          <w:position w:val="0"/>
          <w:sz w:val="20"/>
          <w:shd w:fill="auto" w:val="clear"/>
        </w:rPr>
        <w:t xml:space="preserve">čju općine Doboj Istok iznosi 46.525,49 MWh.</w:t>
      </w:r>
      <w:r>
        <w:rPr>
          <w:rFonts w:ascii="Calibri" w:hAnsi="Calibri" w:cs="Calibri" w:eastAsia="Calibri"/>
          <w:b/>
          <w:color w:val="auto"/>
          <w:spacing w:val="0"/>
          <w:position w:val="0"/>
          <w:sz w:val="20"/>
          <w:shd w:fill="auto" w:val="clear"/>
        </w:rPr>
        <w:t xml:space="preserve"> </w:t>
      </w:r>
      <w:r>
        <w:rPr>
          <w:rFonts w:ascii="Calibri" w:hAnsi="Calibri" w:cs="Calibri" w:eastAsia="Calibri"/>
          <w:color w:val="auto"/>
          <w:spacing w:val="0"/>
          <w:position w:val="0"/>
          <w:sz w:val="20"/>
          <w:shd w:fill="auto" w:val="clear"/>
        </w:rPr>
        <w:t xml:space="preserve">Tabela pokazuje da se najveći udio energije odnosi na fosilna goriva (lignit i mrki ugalj sa po 41,76%), zatim na energiju iz biomase sa 15,34%, nakon čega slijede energenti koji su znatno manje zastupljeni (električna energija, prirodni plin i lož ulje). Procentualno učešće razmatranih energenata u  finalnoj energiji podsektora stambenih zgrada prikazano je na </w:t>
      </w:r>
      <w:r>
        <w:rPr>
          <w:rFonts w:ascii="Calibri" w:hAnsi="Calibri" w:cs="Calibri" w:eastAsia="Calibri"/>
          <w:i/>
          <w:color w:val="auto"/>
          <w:spacing w:val="0"/>
          <w:position w:val="0"/>
          <w:sz w:val="20"/>
          <w:shd w:fill="auto" w:val="clear"/>
        </w:rPr>
        <w:t xml:space="preserve">Dijagramu 5-22</w:t>
      </w:r>
      <w:r>
        <w:rPr>
          <w:rFonts w:ascii="Calibri" w:hAnsi="Calibri" w:cs="Calibri" w:eastAsia="Calibri"/>
          <w:color w:val="auto"/>
          <w:spacing w:val="0"/>
          <w:position w:val="0"/>
          <w:sz w:val="20"/>
          <w:shd w:fill="auto" w:val="clear"/>
        </w:rPr>
        <w:t xml:space="preserve"> u nastavku teksta.</w:t>
      </w:r>
    </w:p>
    <w:p>
      <w:pPr>
        <w:spacing w:before="60" w:after="12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Ukupne emisije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iz ovog podsektora u kontrolnoj godini dobivene su kao proizvod potrebne finalne energije za grijanje u 2020. godini i odgovaraju</w:t>
      </w:r>
      <w:r>
        <w:rPr>
          <w:rFonts w:ascii="Calibri" w:hAnsi="Calibri" w:cs="Calibri" w:eastAsia="Calibri"/>
          <w:color w:val="auto"/>
          <w:spacing w:val="0"/>
          <w:position w:val="0"/>
          <w:sz w:val="20"/>
          <w:shd w:fill="auto" w:val="clear"/>
        </w:rPr>
        <w:t xml:space="preserve">ćih emisionih faktora. Dobivene vrijednosti su prikazane u narednoj tabeli.</w:t>
      </w:r>
    </w:p>
    <w:tbl>
      <w:tblPr/>
      <w:tblGrid>
        <w:gridCol w:w="2328"/>
        <w:gridCol w:w="1092"/>
        <w:gridCol w:w="887"/>
        <w:gridCol w:w="787"/>
        <w:gridCol w:w="990"/>
        <w:gridCol w:w="990"/>
        <w:gridCol w:w="1093"/>
        <w:gridCol w:w="1295"/>
      </w:tblGrid>
      <w:tr>
        <w:trPr>
          <w:trHeight w:val="284" w:hRule="auto"/>
          <w:jc w:val="left"/>
        </w:trPr>
        <w:tc>
          <w:tcPr>
            <w:tcW w:w="9462" w:type="dxa"/>
            <w:gridSpan w:val="8"/>
            <w:tcBorders>
              <w:top w:val="single" w:color="000000" w:sz="4"/>
              <w:left w:val="single" w:color="000000" w:sz="4"/>
              <w:bottom w:val="single" w:color="000000" w:sz="4"/>
              <w:right w:val="single" w:color="000000" w:sz="4"/>
            </w:tcBorders>
            <w:shd w:color="000000" w:fill="bdd7ee"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EMISIJE CO2 [tCO</w:t>
            </w:r>
            <w:r>
              <w:rPr>
                <w:rFonts w:ascii="Calibri" w:hAnsi="Calibri" w:cs="Calibri" w:eastAsia="Calibri"/>
                <w:color w:val="000000"/>
                <w:spacing w:val="0"/>
                <w:position w:val="0"/>
                <w:sz w:val="18"/>
                <w:shd w:fill="auto" w:val="clear"/>
                <w:vertAlign w:val="subscript"/>
              </w:rPr>
              <w:t xml:space="preserve">2</w:t>
            </w:r>
            <w:r>
              <w:rPr>
                <w:rFonts w:ascii="Calibri" w:hAnsi="Calibri" w:cs="Calibri" w:eastAsia="Calibri"/>
                <w:color w:val="000000"/>
                <w:spacing w:val="0"/>
                <w:position w:val="0"/>
                <w:sz w:val="18"/>
                <w:shd w:fill="auto" w:val="clear"/>
              </w:rPr>
              <w:t xml:space="preserve">]</w:t>
            </w:r>
          </w:p>
        </w:tc>
      </w:tr>
      <w:tr>
        <w:trPr>
          <w:trHeight w:val="321" w:hRule="auto"/>
          <w:jc w:val="left"/>
        </w:trPr>
        <w:tc>
          <w:tcPr>
            <w:tcW w:w="2328" w:type="dxa"/>
            <w:vMerge w:val="restart"/>
            <w:tcBorders>
              <w:top w:val="single" w:color="000000" w:sz="4"/>
              <w:left w:val="single" w:color="000000" w:sz="4"/>
              <w:bottom w:val="single" w:color="000000" w:sz="4"/>
              <w:right w:val="single" w:color="000000" w:sz="4"/>
            </w:tcBorders>
            <w:shd w:color="000000" w:fill="bdd7ee" w:val="clear"/>
            <w:tcMar>
              <w:left w:w="28" w:type="dxa"/>
              <w:right w:w="28" w:type="dxa"/>
            </w:tcMar>
            <w:vAlign w:val="center"/>
          </w:tcPr>
          <w:p>
            <w:pPr>
              <w:spacing w:before="0" w:after="0" w:line="240"/>
              <w:ind w:right="0" w:left="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VRSTA ENERGENTA</w:t>
            </w:r>
          </w:p>
        </w:tc>
        <w:tc>
          <w:tcPr>
            <w:tcW w:w="1092" w:type="dxa"/>
            <w:vMerge w:val="restart"/>
            <w:tcBorders>
              <w:top w:val="single" w:color="000000" w:sz="4"/>
              <w:left w:val="single" w:color="000000" w:sz="4"/>
              <w:bottom w:val="single" w:color="000000" w:sz="4"/>
              <w:right w:val="single" w:color="000000" w:sz="4"/>
            </w:tcBorders>
            <w:shd w:color="000000" w:fill="bdd7ee"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ELEKTRI</w:t>
            </w:r>
            <w:r>
              <w:rPr>
                <w:rFonts w:ascii="Calibri" w:hAnsi="Calibri" w:cs="Calibri" w:eastAsia="Calibri"/>
                <w:color w:val="000000"/>
                <w:spacing w:val="0"/>
                <w:position w:val="0"/>
                <w:sz w:val="18"/>
                <w:shd w:fill="auto" w:val="clear"/>
              </w:rPr>
              <w:t xml:space="preserve">ČNA ENERGIJA</w:t>
            </w:r>
          </w:p>
        </w:tc>
        <w:tc>
          <w:tcPr>
            <w:tcW w:w="3654" w:type="dxa"/>
            <w:gridSpan w:val="4"/>
            <w:tcBorders>
              <w:top w:val="single" w:color="000000" w:sz="4"/>
              <w:left w:val="single" w:color="000000" w:sz="0"/>
              <w:bottom w:val="single" w:color="000000" w:sz="4"/>
              <w:right w:val="single" w:color="000000" w:sz="4"/>
            </w:tcBorders>
            <w:shd w:color="auto" w:fill="bdd6ee"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FOSILNA GORIVA</w:t>
            </w:r>
          </w:p>
        </w:tc>
        <w:tc>
          <w:tcPr>
            <w:tcW w:w="1093" w:type="dxa"/>
            <w:tcBorders>
              <w:top w:val="single" w:color="000000" w:sz="4"/>
              <w:left w:val="single" w:color="000000" w:sz="0"/>
              <w:bottom w:val="single" w:color="000000" w:sz="4"/>
              <w:right w:val="single" w:color="000000" w:sz="4"/>
            </w:tcBorders>
            <w:shd w:color="000000" w:fill="bdd7ee"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OBNOVLJIVI IZVORI</w:t>
            </w:r>
          </w:p>
        </w:tc>
        <w:tc>
          <w:tcPr>
            <w:tcW w:w="1295" w:type="dxa"/>
            <w:vMerge w:val="restart"/>
            <w:tcBorders>
              <w:top w:val="single" w:color="000000" w:sz="4"/>
              <w:left w:val="single" w:color="000000" w:sz="4"/>
              <w:bottom w:val="single" w:color="000000" w:sz="4"/>
              <w:right w:val="single" w:color="000000" w:sz="4"/>
            </w:tcBorders>
            <w:shd w:color="000000" w:fill="bdd7ee"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UKUPNO PO ENERGENTIMA</w:t>
            </w:r>
          </w:p>
        </w:tc>
      </w:tr>
      <w:tr>
        <w:trPr>
          <w:trHeight w:val="494" w:hRule="auto"/>
          <w:jc w:val="left"/>
        </w:trPr>
        <w:tc>
          <w:tcPr>
            <w:tcW w:w="2328" w:type="dxa"/>
            <w:vMerge/>
            <w:tcBorders>
              <w:top w:val="single" w:color="000000" w:sz="4"/>
              <w:left w:val="single" w:color="000000" w:sz="4"/>
              <w:bottom w:val="single" w:color="000000" w:sz="4"/>
              <w:right w:val="single" w:color="000000" w:sz="4"/>
            </w:tcBorders>
            <w:shd w:color="000000" w:fill="ffffff" w:val="clear"/>
            <w:tcMar>
              <w:left w:w="28" w:type="dxa"/>
              <w:right w:w="28"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092" w:type="dxa"/>
            <w:vMerge/>
            <w:tcBorders>
              <w:top w:val="single" w:color="000000" w:sz="4"/>
              <w:left w:val="single" w:color="000000" w:sz="4"/>
              <w:bottom w:val="single" w:color="000000" w:sz="4"/>
              <w:right w:val="single" w:color="000000" w:sz="4"/>
            </w:tcBorders>
            <w:shd w:color="000000" w:fill="ffffff" w:val="clear"/>
            <w:tcMar>
              <w:left w:w="28" w:type="dxa"/>
              <w:right w:w="28"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887" w:type="dxa"/>
            <w:tcBorders>
              <w:top w:val="single" w:color="000000" w:sz="4"/>
              <w:left w:val="single" w:color="000000" w:sz="0"/>
              <w:bottom w:val="single" w:color="000000" w:sz="4"/>
              <w:right w:val="single" w:color="000000" w:sz="4"/>
            </w:tcBorders>
            <w:shd w:color="auto" w:fill="bdd6ee"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PRIRODNI PLIN</w:t>
            </w:r>
          </w:p>
        </w:tc>
        <w:tc>
          <w:tcPr>
            <w:tcW w:w="787" w:type="dxa"/>
            <w:tcBorders>
              <w:top w:val="single" w:color="000000" w:sz="4"/>
              <w:left w:val="single" w:color="000000" w:sz="0"/>
              <w:bottom w:val="single" w:color="000000" w:sz="4"/>
              <w:right w:val="single" w:color="000000" w:sz="4"/>
            </w:tcBorders>
            <w:shd w:color="000000" w:fill="bdd7ee"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LOŽ ULJE</w:t>
            </w:r>
          </w:p>
        </w:tc>
        <w:tc>
          <w:tcPr>
            <w:tcW w:w="990" w:type="dxa"/>
            <w:tcBorders>
              <w:top w:val="single" w:color="000000" w:sz="4"/>
              <w:left w:val="single" w:color="000000" w:sz="0"/>
              <w:bottom w:val="single" w:color="000000" w:sz="4"/>
              <w:right w:val="single" w:color="000000" w:sz="4"/>
            </w:tcBorders>
            <w:shd w:color="000000" w:fill="bdd7ee"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LIGNIT</w:t>
            </w:r>
          </w:p>
        </w:tc>
        <w:tc>
          <w:tcPr>
            <w:tcW w:w="990" w:type="dxa"/>
            <w:tcBorders>
              <w:top w:val="single" w:color="000000" w:sz="4"/>
              <w:left w:val="single" w:color="000000" w:sz="0"/>
              <w:bottom w:val="single" w:color="000000" w:sz="4"/>
              <w:right w:val="single" w:color="000000" w:sz="4"/>
            </w:tcBorders>
            <w:shd w:color="000000" w:fill="bdd7ee"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MRKI UGALJ</w:t>
            </w:r>
          </w:p>
        </w:tc>
        <w:tc>
          <w:tcPr>
            <w:tcW w:w="1093" w:type="dxa"/>
            <w:tcBorders>
              <w:top w:val="single" w:color="000000" w:sz="4"/>
              <w:left w:val="single" w:color="000000" w:sz="0"/>
              <w:bottom w:val="single" w:color="000000" w:sz="4"/>
              <w:right w:val="single" w:color="000000" w:sz="4"/>
            </w:tcBorders>
            <w:shd w:color="000000" w:fill="bdd7ee" w:val="clear"/>
            <w:tcMar>
              <w:left w:w="28" w:type="dxa"/>
              <w:right w:w="2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BIOMASA</w:t>
            </w:r>
          </w:p>
        </w:tc>
        <w:tc>
          <w:tcPr>
            <w:tcW w:w="1295" w:type="dxa"/>
            <w:vMerge/>
            <w:tcBorders>
              <w:top w:val="single" w:color="000000" w:sz="4"/>
              <w:left w:val="single" w:color="000000" w:sz="4"/>
              <w:bottom w:val="single" w:color="000000" w:sz="4"/>
              <w:right w:val="single" w:color="000000" w:sz="4"/>
            </w:tcBorders>
            <w:shd w:color="000000" w:fill="ffffff" w:val="clear"/>
            <w:tcMar>
              <w:left w:w="28" w:type="dxa"/>
              <w:right w:w="28"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r>
      <w:tr>
        <w:trPr>
          <w:trHeight w:val="222" w:hRule="auto"/>
          <w:jc w:val="left"/>
        </w:trPr>
        <w:tc>
          <w:tcPr>
            <w:tcW w:w="2328" w:type="dxa"/>
            <w:tcBorders>
              <w:top w:val="single" w:color="000000" w:sz="4"/>
              <w:left w:val="single" w:color="000000" w:sz="4"/>
              <w:bottom w:val="single" w:color="000000" w:sz="4"/>
              <w:right w:val="single" w:color="000000" w:sz="4"/>
            </w:tcBorders>
            <w:shd w:color="000000" w:fill="d9e1f2" w:val="clear"/>
            <w:tcMar>
              <w:left w:w="28" w:type="dxa"/>
              <w:right w:w="2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POTROŠNJA PO ENERGENTIMA</w:t>
            </w:r>
          </w:p>
        </w:tc>
        <w:tc>
          <w:tcPr>
            <w:tcW w:w="1092" w:type="dxa"/>
            <w:tcBorders>
              <w:top w:val="single" w:color="000000" w:sz="4"/>
              <w:left w:val="single" w:color="000000" w:sz="4"/>
              <w:bottom w:val="single" w:color="000000" w:sz="4"/>
              <w:right w:val="single" w:color="000000" w:sz="4"/>
            </w:tcBorders>
            <w:shd w:color="auto" w:fill="auto" w:val="clear"/>
            <w:tcMar>
              <w:left w:w="28" w:type="dxa"/>
              <w:right w:w="2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136,61</w:t>
            </w:r>
          </w:p>
        </w:tc>
        <w:tc>
          <w:tcPr>
            <w:tcW w:w="887" w:type="dxa"/>
            <w:tcBorders>
              <w:top w:val="single" w:color="000000" w:sz="4"/>
              <w:left w:val="single" w:color="000000" w:sz="4"/>
              <w:bottom w:val="single" w:color="000000" w:sz="4"/>
              <w:right w:val="single" w:color="000000" w:sz="4"/>
            </w:tcBorders>
            <w:shd w:color="auto" w:fill="auto" w:val="clear"/>
            <w:tcMar>
              <w:left w:w="28" w:type="dxa"/>
              <w:right w:w="2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33,68</w:t>
            </w:r>
          </w:p>
        </w:tc>
        <w:tc>
          <w:tcPr>
            <w:tcW w:w="787" w:type="dxa"/>
            <w:tcBorders>
              <w:top w:val="single" w:color="000000" w:sz="4"/>
              <w:left w:val="single" w:color="000000" w:sz="4"/>
              <w:bottom w:val="single" w:color="000000" w:sz="4"/>
              <w:right w:val="single" w:color="000000" w:sz="4"/>
            </w:tcBorders>
            <w:shd w:color="auto" w:fill="auto" w:val="clear"/>
            <w:tcMar>
              <w:left w:w="28" w:type="dxa"/>
              <w:right w:w="2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53,06</w:t>
            </w:r>
          </w:p>
        </w:tc>
        <w:tc>
          <w:tcPr>
            <w:tcW w:w="990" w:type="dxa"/>
            <w:tcBorders>
              <w:top w:val="single" w:color="000000" w:sz="4"/>
              <w:left w:val="single" w:color="000000" w:sz="4"/>
              <w:bottom w:val="single" w:color="000000" w:sz="4"/>
              <w:right w:val="single" w:color="000000" w:sz="4"/>
            </w:tcBorders>
            <w:shd w:color="auto" w:fill="auto" w:val="clear"/>
            <w:tcMar>
              <w:left w:w="28" w:type="dxa"/>
              <w:right w:w="2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7.072,99</w:t>
            </w:r>
          </w:p>
        </w:tc>
        <w:tc>
          <w:tcPr>
            <w:tcW w:w="990" w:type="dxa"/>
            <w:tcBorders>
              <w:top w:val="single" w:color="000000" w:sz="4"/>
              <w:left w:val="single" w:color="000000" w:sz="4"/>
              <w:bottom w:val="single" w:color="000000" w:sz="4"/>
              <w:right w:val="single" w:color="000000" w:sz="4"/>
            </w:tcBorders>
            <w:shd w:color="auto" w:fill="auto" w:val="clear"/>
            <w:tcMar>
              <w:left w:w="28" w:type="dxa"/>
              <w:right w:w="2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6.626,07</w:t>
            </w:r>
          </w:p>
        </w:tc>
        <w:tc>
          <w:tcPr>
            <w:tcW w:w="1093" w:type="dxa"/>
            <w:tcBorders>
              <w:top w:val="single" w:color="000000" w:sz="4"/>
              <w:left w:val="single" w:color="000000" w:sz="4"/>
              <w:bottom w:val="single" w:color="000000" w:sz="4"/>
              <w:right w:val="single" w:color="000000" w:sz="4"/>
            </w:tcBorders>
            <w:shd w:color="auto" w:fill="auto" w:val="clear"/>
            <w:tcMar>
              <w:left w:w="28" w:type="dxa"/>
              <w:right w:w="2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1295" w:type="dxa"/>
            <w:tcBorders>
              <w:top w:val="single" w:color="000000" w:sz="4"/>
              <w:left w:val="single" w:color="000000" w:sz="4"/>
              <w:bottom w:val="single" w:color="000000" w:sz="4"/>
              <w:right w:val="single" w:color="000000" w:sz="4"/>
            </w:tcBorders>
            <w:shd w:color="000000" w:fill="d9e1f2" w:val="clear"/>
            <w:tcMar>
              <w:left w:w="28" w:type="dxa"/>
              <w:right w:w="2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13.922,42</w:t>
            </w:r>
          </w:p>
        </w:tc>
      </w:tr>
    </w:tbl>
    <w:p>
      <w:pPr>
        <w:spacing w:before="60" w:after="120" w:line="240"/>
        <w:ind w:right="0" w:left="0" w:firstLine="0"/>
        <w:jc w:val="center"/>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Tabela 537: Godišnje emisije CO</w:t>
      </w:r>
      <w:r>
        <w:rPr>
          <w:rFonts w:ascii="Calibri" w:hAnsi="Calibri" w:cs="Calibri" w:eastAsia="Calibri"/>
          <w:color w:val="auto"/>
          <w:spacing w:val="0"/>
          <w:position w:val="0"/>
          <w:sz w:val="18"/>
          <w:shd w:fill="auto" w:val="clear"/>
          <w:vertAlign w:val="subscript"/>
        </w:rPr>
        <w:t xml:space="preserve">2</w:t>
      </w:r>
      <w:r>
        <w:rPr>
          <w:rFonts w:ascii="Calibri" w:hAnsi="Calibri" w:cs="Calibri" w:eastAsia="Calibri"/>
          <w:color w:val="auto"/>
          <w:spacing w:val="0"/>
          <w:position w:val="0"/>
          <w:sz w:val="18"/>
          <w:shd w:fill="auto" w:val="clear"/>
        </w:rPr>
        <w:t xml:space="preserve"> iz podsektora stambenih zgrada u kontrolnoj 2020. godini</w:t>
      </w:r>
    </w:p>
    <w:p>
      <w:pPr>
        <w:spacing w:before="120" w:after="12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0"/>
          <w:shd w:fill="auto" w:val="clear"/>
        </w:rPr>
        <w:t xml:space="preserve">Ukupne prora</w:t>
      </w:r>
      <w:r>
        <w:rPr>
          <w:rFonts w:ascii="Calibri" w:hAnsi="Calibri" w:cs="Calibri" w:eastAsia="Calibri"/>
          <w:color w:val="auto"/>
          <w:spacing w:val="0"/>
          <w:position w:val="0"/>
          <w:sz w:val="20"/>
          <w:shd w:fill="auto" w:val="clear"/>
        </w:rPr>
        <w:t xml:space="preserve">čunate emisije CO</w:t>
      </w:r>
      <w:r>
        <w:rPr>
          <w:rFonts w:ascii="Calibri" w:hAnsi="Calibri" w:cs="Calibri" w:eastAsia="Calibri"/>
          <w:color w:val="auto"/>
          <w:spacing w:val="0"/>
          <w:position w:val="0"/>
          <w:sz w:val="20"/>
          <w:shd w:fill="auto" w:val="clear"/>
          <w:vertAlign w:val="subscript"/>
        </w:rPr>
        <w:t xml:space="preserve">2 </w:t>
      </w:r>
      <w:r>
        <w:rPr>
          <w:rFonts w:ascii="Calibri" w:hAnsi="Calibri" w:cs="Calibri" w:eastAsia="Calibri"/>
          <w:color w:val="auto"/>
          <w:spacing w:val="0"/>
          <w:position w:val="0"/>
          <w:sz w:val="20"/>
          <w:shd w:fill="auto" w:val="clear"/>
        </w:rPr>
        <w:t xml:space="preserve">iz podsektora stambenih zgrada u kontrolnoj 2020. godini iznose 13.922,42 tCO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što je 58,65% od ukupnih emisija iz svih sektora u 2020. godini. Obzirom da je emisioni faktor za biomasu u ovom periodu jednak nuli, najveći udio u ukupnoj emisiji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imaju emisije iz lignita sa 50,80% i mrkog uglja sa 47,59%. Procentualno učešće razmatranih energenata u ukupnim emisijama iz ovog sektora u kontrolnoj 2020. godini prikazano je na narednom Dijagramu 5-23.</w:t>
      </w:r>
    </w:p>
    <w:tbl>
      <w:tblPr/>
      <w:tblGrid>
        <w:gridCol w:w="4664"/>
        <w:gridCol w:w="4956"/>
      </w:tblGrid>
      <w:tr>
        <w:trPr>
          <w:trHeight w:val="1" w:hRule="atLeast"/>
          <w:jc w:val="left"/>
        </w:trPr>
        <w:tc>
          <w:tcPr>
            <w:tcW w:w="4664"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p>
            <w:pPr>
              <w:spacing w:before="60" w:after="16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Dijagram 522: Udio razmatranih energenata u potrebnoj finalnoj energiji za grijanje stambenih zgrada u kontrolnoj 2020. godini</w:t>
            </w:r>
          </w:p>
        </w:tc>
        <w:tc>
          <w:tcPr>
            <w:tcW w:w="4956"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i/>
                <w:color w:val="auto"/>
                <w:spacing w:val="0"/>
                <w:position w:val="0"/>
                <w:sz w:val="18"/>
                <w:shd w:fill="auto" w:val="clear"/>
              </w:rPr>
            </w:pPr>
          </w:p>
          <w:p>
            <w:pPr>
              <w:spacing w:before="60" w:after="16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Dijagram 523: Udio razmatranih energenata u emisijama CO</w:t>
            </w:r>
            <w:r>
              <w:rPr>
                <w:rFonts w:ascii="Calibri" w:hAnsi="Calibri" w:cs="Calibri" w:eastAsia="Calibri"/>
                <w:color w:val="auto"/>
                <w:spacing w:val="0"/>
                <w:position w:val="0"/>
                <w:sz w:val="18"/>
                <w:shd w:fill="auto" w:val="clear"/>
                <w:vertAlign w:val="subscript"/>
              </w:rPr>
              <w:t xml:space="preserve">2</w:t>
            </w:r>
            <w:r>
              <w:rPr>
                <w:rFonts w:ascii="Calibri" w:hAnsi="Calibri" w:cs="Calibri" w:eastAsia="Calibri"/>
                <w:color w:val="auto"/>
                <w:spacing w:val="0"/>
                <w:position w:val="0"/>
                <w:sz w:val="18"/>
                <w:shd w:fill="auto" w:val="clear"/>
              </w:rPr>
              <w:t xml:space="preserve"> iz podsektora stambenih zgrada u kontrolnoj 2020. godini</w:t>
            </w:r>
          </w:p>
        </w:tc>
      </w:tr>
    </w:tbl>
    <w:p>
      <w:pPr>
        <w:keepNext w:val="true"/>
        <w:keepLines w:val="true"/>
        <w:numPr>
          <w:ilvl w:val="0"/>
          <w:numId w:val="1702"/>
        </w:numPr>
        <w:spacing w:before="240" w:after="0" w:line="240"/>
        <w:ind w:right="0" w:left="720" w:hanging="72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Emisije CO</w:t>
      </w:r>
      <w:r>
        <w:rPr>
          <w:rFonts w:ascii="Calibri" w:hAnsi="Calibri" w:cs="Calibri" w:eastAsia="Calibri"/>
          <w:b/>
          <w:color w:val="auto"/>
          <w:spacing w:val="0"/>
          <w:position w:val="0"/>
          <w:sz w:val="24"/>
          <w:shd w:fill="auto" w:val="clear"/>
          <w:vertAlign w:val="subscript"/>
        </w:rPr>
        <w:t xml:space="preserve">2</w:t>
      </w:r>
      <w:r>
        <w:rPr>
          <w:rFonts w:ascii="Calibri" w:hAnsi="Calibri" w:cs="Calibri" w:eastAsia="Calibri"/>
          <w:b/>
          <w:color w:val="auto"/>
          <w:spacing w:val="0"/>
          <w:position w:val="0"/>
          <w:sz w:val="24"/>
          <w:shd w:fill="auto" w:val="clear"/>
        </w:rPr>
        <w:t xml:space="preserve"> u kontrolnoj godini iz sektora saobra</w:t>
      </w:r>
      <w:r>
        <w:rPr>
          <w:rFonts w:ascii="Calibri" w:hAnsi="Calibri" w:cs="Calibri" w:eastAsia="Calibri"/>
          <w:b/>
          <w:color w:val="auto"/>
          <w:spacing w:val="0"/>
          <w:position w:val="0"/>
          <w:sz w:val="24"/>
          <w:shd w:fill="auto" w:val="clear"/>
        </w:rPr>
        <w:t xml:space="preserve">ćaja</w:t>
      </w:r>
    </w:p>
    <w:p>
      <w:pPr>
        <w:spacing w:before="60" w:after="12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Sektor saobra</w:t>
      </w:r>
      <w:r>
        <w:rPr>
          <w:rFonts w:ascii="Calibri" w:hAnsi="Calibri" w:cs="Calibri" w:eastAsia="Calibri"/>
          <w:color w:val="auto"/>
          <w:spacing w:val="0"/>
          <w:position w:val="0"/>
          <w:sz w:val="20"/>
          <w:shd w:fill="auto" w:val="clear"/>
        </w:rPr>
        <w:t xml:space="preserve">ćaja na području općine Doboj Istok u 2020. godini obuhvata ukupno 3.378 vozila, od čega se najveći dio (87,39% od ukupnog broja vozila) odnosi na putnička vozila. Zatim slijede komercijalna vozila (6,54%),  teretna vozila (3,94%), motocikli i mopedi (1,75%), i autobusi (0,38%). Struktura saobraćaja  prema kategorijama vozila prikazana je u narednoj tabeli i dijagramu.</w:t>
      </w:r>
    </w:p>
    <w:tbl>
      <w:tblPr/>
      <w:tblGrid>
        <w:gridCol w:w="4289"/>
        <w:gridCol w:w="4986"/>
      </w:tblGrid>
      <w:tr>
        <w:trPr>
          <w:trHeight w:val="1" w:hRule="atLeast"/>
          <w:jc w:val="left"/>
        </w:trPr>
        <w:tc>
          <w:tcPr>
            <w:tcW w:w="4289"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keepNext w:val="true"/>
              <w:spacing w:before="0" w:after="200" w:line="240"/>
              <w:ind w:right="0" w:left="0" w:firstLine="0"/>
              <w:jc w:val="left"/>
              <w:rPr>
                <w:rFonts w:ascii="Calibri" w:hAnsi="Calibri" w:cs="Calibri" w:eastAsia="Calibri"/>
                <w:b/>
                <w:i/>
                <w:color w:val="auto"/>
                <w:spacing w:val="0"/>
                <w:position w:val="0"/>
                <w:sz w:val="20"/>
                <w:shd w:fill="auto" w:val="clear"/>
              </w:rPr>
            </w:pPr>
          </w:p>
          <w:p>
            <w:pPr>
              <w:keepNext w:val="true"/>
              <w:spacing w:before="0" w:after="0" w:line="240"/>
              <w:ind w:right="0" w:left="0" w:firstLine="0"/>
              <w:jc w:val="center"/>
              <w:rPr>
                <w:rFonts w:ascii="Calibri" w:hAnsi="Calibri" w:cs="Calibri" w:eastAsia="Calibri"/>
                <w:i/>
                <w:color w:val="auto"/>
                <w:spacing w:val="0"/>
                <w:position w:val="0"/>
                <w:sz w:val="18"/>
                <w:shd w:fill="auto" w:val="clear"/>
              </w:rPr>
            </w:pPr>
            <w:r>
              <w:rPr>
                <w:rFonts w:ascii="Calibri" w:hAnsi="Calibri" w:cs="Calibri" w:eastAsia="Calibri"/>
                <w:i/>
                <w:color w:val="auto"/>
                <w:spacing w:val="0"/>
                <w:position w:val="0"/>
                <w:sz w:val="18"/>
                <w:shd w:fill="auto" w:val="clear"/>
              </w:rPr>
              <w:t xml:space="preserve">Tabela 538: Broj vozila u kontrolnoj 2020. godini prema njihovim kategorijama</w:t>
            </w:r>
          </w:p>
          <w:tbl>
            <w:tblPr/>
            <w:tblGrid>
              <w:gridCol w:w="2616"/>
              <w:gridCol w:w="1447"/>
            </w:tblGrid>
            <w:tr>
              <w:trPr>
                <w:trHeight w:val="369" w:hRule="auto"/>
                <w:jc w:val="left"/>
              </w:trPr>
              <w:tc>
                <w:tcPr>
                  <w:tcW w:w="2616" w:type="dxa"/>
                  <w:tcBorders>
                    <w:top w:val="single" w:color="000000" w:sz="4"/>
                    <w:left w:val="single" w:color="000000" w:sz="4"/>
                    <w:bottom w:val="single" w:color="000000" w:sz="4"/>
                    <w:right w:val="single" w:color="000000" w:sz="4"/>
                  </w:tcBorders>
                  <w:shd w:color="auto" w:fill="bdd6ee"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KATEGORIJA VOZILA</w:t>
                  </w:r>
                </w:p>
              </w:tc>
              <w:tc>
                <w:tcPr>
                  <w:tcW w:w="1447" w:type="dxa"/>
                  <w:tcBorders>
                    <w:top w:val="single" w:color="000000" w:sz="4"/>
                    <w:left w:val="single" w:color="000000" w:sz="4"/>
                    <w:bottom w:val="single" w:color="000000" w:sz="4"/>
                    <w:right w:val="single" w:color="000000" w:sz="4"/>
                  </w:tcBorders>
                  <w:shd w:color="auto" w:fill="bdd6ee"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BROJ VOZILA</w:t>
                  </w:r>
                </w:p>
              </w:tc>
            </w:tr>
            <w:tr>
              <w:trPr>
                <w:trHeight w:val="174" w:hRule="auto"/>
                <w:jc w:val="left"/>
              </w:trPr>
              <w:tc>
                <w:tcPr>
                  <w:tcW w:w="2616" w:type="dxa"/>
                  <w:tcBorders>
                    <w:top w:val="single" w:color="000000" w:sz="4"/>
                    <w:left w:val="single" w:color="000000" w:sz="4"/>
                    <w:bottom w:val="single" w:color="000000" w:sz="4"/>
                    <w:right w:val="single" w:color="000000" w:sz="4"/>
                  </w:tcBorders>
                  <w:shd w:color="auto" w:fill="bdd6ee"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PUTNI</w:t>
                  </w:r>
                  <w:r>
                    <w:rPr>
                      <w:rFonts w:ascii="Calibri" w:hAnsi="Calibri" w:cs="Calibri" w:eastAsia="Calibri"/>
                      <w:color w:val="000000"/>
                      <w:spacing w:val="0"/>
                      <w:position w:val="0"/>
                      <w:sz w:val="18"/>
                      <w:shd w:fill="auto" w:val="clear"/>
                    </w:rPr>
                    <w:t xml:space="preserve">ČKA VOZILA</w:t>
                  </w:r>
                </w:p>
              </w:tc>
              <w:tc>
                <w:tcPr>
                  <w:tcW w:w="14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2.949</w:t>
                  </w:r>
                </w:p>
              </w:tc>
            </w:tr>
            <w:tr>
              <w:trPr>
                <w:trHeight w:val="221" w:hRule="auto"/>
                <w:jc w:val="left"/>
              </w:trPr>
              <w:tc>
                <w:tcPr>
                  <w:tcW w:w="2616" w:type="dxa"/>
                  <w:tcBorders>
                    <w:top w:val="single" w:color="000000" w:sz="4"/>
                    <w:left w:val="single" w:color="000000" w:sz="4"/>
                    <w:bottom w:val="single" w:color="000000" w:sz="4"/>
                    <w:right w:val="single" w:color="000000" w:sz="4"/>
                  </w:tcBorders>
                  <w:shd w:color="auto" w:fill="bdd6ee"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AUTOBUSI</w:t>
                  </w:r>
                </w:p>
              </w:tc>
              <w:tc>
                <w:tcPr>
                  <w:tcW w:w="14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15</w:t>
                  </w:r>
                </w:p>
              </w:tc>
            </w:tr>
            <w:tr>
              <w:trPr>
                <w:trHeight w:val="266" w:hRule="auto"/>
                <w:jc w:val="left"/>
              </w:trPr>
              <w:tc>
                <w:tcPr>
                  <w:tcW w:w="2616" w:type="dxa"/>
                  <w:tcBorders>
                    <w:top w:val="single" w:color="000000" w:sz="4"/>
                    <w:left w:val="single" w:color="000000" w:sz="4"/>
                    <w:bottom w:val="single" w:color="000000" w:sz="4"/>
                    <w:right w:val="single" w:color="000000" w:sz="4"/>
                  </w:tcBorders>
                  <w:shd w:color="auto" w:fill="bdd6ee"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KOMERCIJALNA VOZILA</w:t>
                  </w:r>
                </w:p>
              </w:tc>
              <w:tc>
                <w:tcPr>
                  <w:tcW w:w="14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221</w:t>
                  </w:r>
                </w:p>
              </w:tc>
            </w:tr>
            <w:tr>
              <w:trPr>
                <w:trHeight w:val="270" w:hRule="auto"/>
                <w:jc w:val="left"/>
              </w:trPr>
              <w:tc>
                <w:tcPr>
                  <w:tcW w:w="2616" w:type="dxa"/>
                  <w:tcBorders>
                    <w:top w:val="single" w:color="000000" w:sz="4"/>
                    <w:left w:val="single" w:color="000000" w:sz="4"/>
                    <w:bottom w:val="single" w:color="000000" w:sz="4"/>
                    <w:right w:val="single" w:color="000000" w:sz="4"/>
                  </w:tcBorders>
                  <w:shd w:color="auto" w:fill="bdd6ee"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TERETNA VOZILA</w:t>
                  </w:r>
                </w:p>
              </w:tc>
              <w:tc>
                <w:tcPr>
                  <w:tcW w:w="14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133</w:t>
                  </w:r>
                </w:p>
              </w:tc>
            </w:tr>
            <w:tr>
              <w:trPr>
                <w:trHeight w:val="274" w:hRule="auto"/>
                <w:jc w:val="left"/>
              </w:trPr>
              <w:tc>
                <w:tcPr>
                  <w:tcW w:w="2616" w:type="dxa"/>
                  <w:tcBorders>
                    <w:top w:val="single" w:color="000000" w:sz="4"/>
                    <w:left w:val="single" w:color="000000" w:sz="4"/>
                    <w:bottom w:val="single" w:color="000000" w:sz="4"/>
                    <w:right w:val="single" w:color="000000" w:sz="4"/>
                  </w:tcBorders>
                  <w:shd w:color="auto" w:fill="bdd6ee"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MOTOCIKLI I MOPEDI</w:t>
                  </w:r>
                </w:p>
              </w:tc>
              <w:tc>
                <w:tcPr>
                  <w:tcW w:w="14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59</w:t>
                  </w:r>
                </w:p>
              </w:tc>
            </w:tr>
            <w:tr>
              <w:trPr>
                <w:trHeight w:val="369" w:hRule="auto"/>
                <w:jc w:val="left"/>
              </w:trPr>
              <w:tc>
                <w:tcPr>
                  <w:tcW w:w="2616" w:type="dxa"/>
                  <w:tcBorders>
                    <w:top w:val="single" w:color="000000" w:sz="4"/>
                    <w:left w:val="single" w:color="000000" w:sz="4"/>
                    <w:bottom w:val="single" w:color="000000" w:sz="4"/>
                    <w:right w:val="single" w:color="000000" w:sz="4"/>
                  </w:tcBorders>
                  <w:shd w:color="auto" w:fill="bdd6ee" w:val="clear"/>
                  <w:tcMar>
                    <w:left w:w="108" w:type="dxa"/>
                    <w:right w:w="108" w:type="dxa"/>
                  </w:tcMar>
                  <w:vAlign w:val="center"/>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UKUPNO</w:t>
                  </w:r>
                </w:p>
              </w:tc>
              <w:tc>
                <w:tcPr>
                  <w:tcW w:w="1447" w:type="dxa"/>
                  <w:tcBorders>
                    <w:top w:val="single" w:color="000000" w:sz="4"/>
                    <w:left w:val="single" w:color="000000" w:sz="4"/>
                    <w:bottom w:val="single" w:color="000000" w:sz="4"/>
                    <w:right w:val="single" w:color="000000" w:sz="4"/>
                  </w:tcBorders>
                  <w:shd w:color="auto" w:fill="deeaf6"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3.378</w:t>
                  </w:r>
                </w:p>
              </w:tc>
            </w:tr>
          </w:tbl>
          <w:p>
            <w:pPr>
              <w:spacing w:before="0" w:after="0" w:line="240"/>
              <w:ind w:right="0" w:left="0" w:firstLine="0"/>
              <w:jc w:val="left"/>
              <w:rPr>
                <w:rFonts w:ascii="Calibri" w:hAnsi="Calibri" w:cs="Calibri" w:eastAsia="Calibri"/>
                <w:spacing w:val="0"/>
                <w:position w:val="0"/>
              </w:rPr>
            </w:pPr>
          </w:p>
        </w:tc>
        <w:tc>
          <w:tcPr>
            <w:tcW w:w="4986"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i/>
                <w:color w:val="auto"/>
                <w:spacing w:val="0"/>
                <w:position w:val="0"/>
                <w:sz w:val="18"/>
                <w:shd w:fill="auto" w:val="clear"/>
              </w:rPr>
            </w:pPr>
          </w:p>
          <w:p>
            <w:pPr>
              <w:spacing w:before="60" w:after="16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Dijagram 524: Struktura vozila u sektoru saobra</w:t>
            </w:r>
            <w:r>
              <w:rPr>
                <w:rFonts w:ascii="Calibri" w:hAnsi="Calibri" w:cs="Calibri" w:eastAsia="Calibri"/>
                <w:color w:val="auto"/>
                <w:spacing w:val="0"/>
                <w:position w:val="0"/>
                <w:sz w:val="18"/>
                <w:shd w:fill="auto" w:val="clear"/>
              </w:rPr>
              <w:t xml:space="preserve">ćaja u kontrolnoj godini prema kategorijama vozila</w:t>
            </w:r>
          </w:p>
        </w:tc>
      </w:tr>
    </w:tbl>
    <w:p>
      <w:pPr>
        <w:spacing w:before="120" w:after="12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Kao i kod izrade baznog inventara emisija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i kod prora</w:t>
      </w:r>
      <w:r>
        <w:rPr>
          <w:rFonts w:ascii="Calibri" w:hAnsi="Calibri" w:cs="Calibri" w:eastAsia="Calibri"/>
          <w:color w:val="auto"/>
          <w:spacing w:val="0"/>
          <w:position w:val="0"/>
          <w:sz w:val="20"/>
          <w:shd w:fill="auto" w:val="clear"/>
        </w:rPr>
        <w:t xml:space="preserve">čuna kontrolnog inventara sektor saobraćaja općine Doboj Istok podijeljen je na slijedeće podsektore: vozni park u vlasništvu Općine Doboj Istok, javni prijevoz, te osobna i komercijalna vozila. </w:t>
      </w:r>
    </w:p>
    <w:tbl>
      <w:tblPr/>
      <w:tblGrid>
        <w:gridCol w:w="4517"/>
        <w:gridCol w:w="5103"/>
      </w:tblGrid>
      <w:tr>
        <w:trPr>
          <w:trHeight w:val="3476" w:hRule="auto"/>
          <w:jc w:val="center"/>
        </w:trPr>
        <w:tc>
          <w:tcPr>
            <w:tcW w:w="4517"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keepNext w:val="true"/>
              <w:spacing w:before="0" w:after="200" w:line="240"/>
              <w:ind w:right="0" w:left="0" w:firstLine="0"/>
              <w:jc w:val="left"/>
              <w:rPr>
                <w:rFonts w:ascii="Calibri" w:hAnsi="Calibri" w:cs="Calibri" w:eastAsia="Calibri"/>
                <w:i/>
                <w:color w:val="auto"/>
                <w:spacing w:val="0"/>
                <w:position w:val="0"/>
                <w:sz w:val="20"/>
                <w:shd w:fill="auto" w:val="clear"/>
              </w:rPr>
            </w:pPr>
          </w:p>
          <w:p>
            <w:pPr>
              <w:keepNext w:val="true"/>
              <w:spacing w:before="0" w:after="200" w:line="240"/>
              <w:ind w:right="0" w:left="0" w:firstLine="0"/>
              <w:jc w:val="center"/>
              <w:rPr>
                <w:rFonts w:ascii="Calibri" w:hAnsi="Calibri" w:cs="Calibri" w:eastAsia="Calibri"/>
                <w:i/>
                <w:color w:val="auto"/>
                <w:spacing w:val="0"/>
                <w:position w:val="0"/>
                <w:sz w:val="18"/>
                <w:shd w:fill="auto" w:val="clear"/>
              </w:rPr>
            </w:pPr>
            <w:r>
              <w:rPr>
                <w:rFonts w:ascii="Calibri" w:hAnsi="Calibri" w:cs="Calibri" w:eastAsia="Calibri"/>
                <w:i/>
                <w:color w:val="auto"/>
                <w:spacing w:val="0"/>
                <w:position w:val="0"/>
                <w:sz w:val="18"/>
                <w:shd w:fill="auto" w:val="clear"/>
              </w:rPr>
              <w:t xml:space="preserve">Tabela 539: Broj vozila u kontrolnoj 2020. godini prema razmatranim podsektorima</w:t>
            </w:r>
          </w:p>
          <w:tbl>
            <w:tblPr/>
            <w:tblGrid>
              <w:gridCol w:w="2651"/>
              <w:gridCol w:w="1530"/>
            </w:tblGrid>
            <w:tr>
              <w:trPr>
                <w:trHeight w:val="290" w:hRule="auto"/>
                <w:jc w:val="center"/>
              </w:trPr>
              <w:tc>
                <w:tcPr>
                  <w:tcW w:w="2651" w:type="dxa"/>
                  <w:tcBorders>
                    <w:top w:val="single" w:color="000000" w:sz="6"/>
                    <w:left w:val="single" w:color="000000" w:sz="6"/>
                    <w:bottom w:val="single" w:color="000000" w:sz="6"/>
                    <w:right w:val="single" w:color="000000" w:sz="6"/>
                  </w:tcBorders>
                  <w:shd w:color="auto" w:fill="bdd6ee"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KATEGORIJA VOZILA</w:t>
                  </w:r>
                </w:p>
              </w:tc>
              <w:tc>
                <w:tcPr>
                  <w:tcW w:w="1530" w:type="dxa"/>
                  <w:tcBorders>
                    <w:top w:val="single" w:color="000000" w:sz="6"/>
                    <w:left w:val="single" w:color="000000" w:sz="6"/>
                    <w:bottom w:val="single" w:color="000000" w:sz="6"/>
                    <w:right w:val="single" w:color="000000" w:sz="6"/>
                  </w:tcBorders>
                  <w:shd w:color="auto" w:fill="bdd6ee"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BROJ VOZILA</w:t>
                  </w:r>
                </w:p>
              </w:tc>
            </w:tr>
            <w:tr>
              <w:trPr>
                <w:trHeight w:val="290" w:hRule="auto"/>
                <w:jc w:val="center"/>
              </w:trPr>
              <w:tc>
                <w:tcPr>
                  <w:tcW w:w="2651" w:type="dxa"/>
                  <w:tcBorders>
                    <w:top w:val="single" w:color="000000" w:sz="6"/>
                    <w:left w:val="single" w:color="000000" w:sz="6"/>
                    <w:bottom w:val="single" w:color="000000" w:sz="6"/>
                    <w:right w:val="single" w:color="000000" w:sz="6"/>
                  </w:tcBorders>
                  <w:shd w:color="auto" w:fill="bdd6ee"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OSOBNA I KOMERCIJALNA</w:t>
                  </w:r>
                </w:p>
              </w:tc>
              <w:tc>
                <w:tcPr>
                  <w:tcW w:w="1530" w:type="dxa"/>
                  <w:tcBorders>
                    <w:top w:val="single" w:color="000000" w:sz="6"/>
                    <w:left w:val="single" w:color="000000" w:sz="6"/>
                    <w:bottom w:val="single" w:color="000000" w:sz="6"/>
                    <w:right w:val="single" w:color="000000" w:sz="6"/>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3.340</w:t>
                  </w:r>
                </w:p>
              </w:tc>
            </w:tr>
            <w:tr>
              <w:trPr>
                <w:trHeight w:val="290" w:hRule="auto"/>
                <w:jc w:val="center"/>
              </w:trPr>
              <w:tc>
                <w:tcPr>
                  <w:tcW w:w="2651" w:type="dxa"/>
                  <w:tcBorders>
                    <w:top w:val="single" w:color="000000" w:sz="6"/>
                    <w:left w:val="single" w:color="000000" w:sz="6"/>
                    <w:bottom w:val="single" w:color="000000" w:sz="6"/>
                    <w:right w:val="single" w:color="000000" w:sz="6"/>
                  </w:tcBorders>
                  <w:shd w:color="auto" w:fill="bdd6ee"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JAVNI PREVOZ</w:t>
                  </w:r>
                </w:p>
              </w:tc>
              <w:tc>
                <w:tcPr>
                  <w:tcW w:w="1530" w:type="dxa"/>
                  <w:tcBorders>
                    <w:top w:val="single" w:color="000000" w:sz="6"/>
                    <w:left w:val="single" w:color="000000" w:sz="6"/>
                    <w:bottom w:val="single" w:color="000000" w:sz="6"/>
                    <w:right w:val="single" w:color="000000" w:sz="6"/>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15</w:t>
                  </w:r>
                </w:p>
              </w:tc>
            </w:tr>
            <w:tr>
              <w:trPr>
                <w:trHeight w:val="290" w:hRule="auto"/>
                <w:jc w:val="center"/>
              </w:trPr>
              <w:tc>
                <w:tcPr>
                  <w:tcW w:w="2651" w:type="dxa"/>
                  <w:tcBorders>
                    <w:top w:val="single" w:color="000000" w:sz="6"/>
                    <w:left w:val="single" w:color="000000" w:sz="6"/>
                    <w:bottom w:val="single" w:color="000000" w:sz="6"/>
                    <w:right w:val="single" w:color="000000" w:sz="6"/>
                  </w:tcBorders>
                  <w:shd w:color="auto" w:fill="bdd6ee"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VOZILA U NADLEŽNOSTI OP</w:t>
                  </w:r>
                  <w:r>
                    <w:rPr>
                      <w:rFonts w:ascii="Calibri" w:hAnsi="Calibri" w:cs="Calibri" w:eastAsia="Calibri"/>
                      <w:color w:val="000000"/>
                      <w:spacing w:val="0"/>
                      <w:position w:val="0"/>
                      <w:sz w:val="18"/>
                      <w:shd w:fill="auto" w:val="clear"/>
                    </w:rPr>
                    <w:t xml:space="preserve">ĆINE</w:t>
                  </w:r>
                </w:p>
              </w:tc>
              <w:tc>
                <w:tcPr>
                  <w:tcW w:w="1530" w:type="dxa"/>
                  <w:tcBorders>
                    <w:top w:val="single" w:color="000000" w:sz="6"/>
                    <w:left w:val="single" w:color="000000" w:sz="6"/>
                    <w:bottom w:val="single" w:color="000000" w:sz="6"/>
                    <w:right w:val="single" w:color="000000" w:sz="6"/>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25</w:t>
                  </w:r>
                </w:p>
              </w:tc>
            </w:tr>
            <w:tr>
              <w:trPr>
                <w:trHeight w:val="290" w:hRule="auto"/>
                <w:jc w:val="center"/>
              </w:trPr>
              <w:tc>
                <w:tcPr>
                  <w:tcW w:w="2651" w:type="dxa"/>
                  <w:tcBorders>
                    <w:top w:val="single" w:color="000000" w:sz="6"/>
                    <w:left w:val="single" w:color="000000" w:sz="6"/>
                    <w:bottom w:val="single" w:color="000000" w:sz="6"/>
                    <w:right w:val="single" w:color="000000" w:sz="6"/>
                  </w:tcBorders>
                  <w:shd w:color="auto" w:fill="bdd6ee" w:val="clear"/>
                  <w:tcMar>
                    <w:left w:w="108" w:type="dxa"/>
                    <w:right w:w="108" w:type="dxa"/>
                  </w:tcMar>
                  <w:vAlign w:val="center"/>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UKUPNO</w:t>
                  </w:r>
                </w:p>
              </w:tc>
              <w:tc>
                <w:tcPr>
                  <w:tcW w:w="1530" w:type="dxa"/>
                  <w:tcBorders>
                    <w:top w:val="single" w:color="000000" w:sz="6"/>
                    <w:left w:val="single" w:color="000000" w:sz="6"/>
                    <w:bottom w:val="single" w:color="000000" w:sz="6"/>
                    <w:right w:val="single" w:color="000000" w:sz="6"/>
                  </w:tcBorders>
                  <w:shd w:color="auto" w:fill="deeaf6"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3.378</w:t>
                  </w:r>
                </w:p>
              </w:tc>
            </w:tr>
          </w:tbl>
          <w:p>
            <w:pPr>
              <w:spacing w:before="0" w:after="0" w:line="240"/>
              <w:ind w:right="0" w:left="0" w:firstLine="0"/>
              <w:jc w:val="left"/>
              <w:rPr>
                <w:rFonts w:ascii="Calibri" w:hAnsi="Calibri" w:cs="Calibri" w:eastAsia="Calibri"/>
                <w:spacing w:val="0"/>
                <w:position w:val="0"/>
              </w:rPr>
            </w:pPr>
          </w:p>
        </w:tc>
        <w:tc>
          <w:tcPr>
            <w:tcW w:w="5103"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p>
            <w:pPr>
              <w:spacing w:before="60" w:after="16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Dijagram 525: Udio broja vozila iz pojedinih sektora u kontrolnoj godini</w:t>
            </w:r>
          </w:p>
        </w:tc>
      </w:tr>
    </w:tbl>
    <w:p>
      <w:pPr>
        <w:spacing w:before="0" w:after="12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Od ukupnog broja vozila registriranih u Doboj Istoku, u kontrolnoj 2020. godini najviše registriranih vozila (98,88% od ukupnog broja) spada u podsektor osobnih i komercijalnih vozila, dok podsektor vozila u nadležnosti Op</w:t>
      </w:r>
      <w:r>
        <w:rPr>
          <w:rFonts w:ascii="Calibri" w:hAnsi="Calibri" w:cs="Calibri" w:eastAsia="Calibri"/>
          <w:color w:val="auto"/>
          <w:spacing w:val="0"/>
          <w:position w:val="0"/>
          <w:sz w:val="20"/>
          <w:shd w:fill="auto" w:val="clear"/>
        </w:rPr>
        <w:t xml:space="preserve">ćine učestvuje sa 0,78%, a vozila javnog prijevoza sa 0,38%. </w:t>
      </w:r>
    </w:p>
    <w:p>
      <w:pPr>
        <w:keepNext w:val="true"/>
        <w:keepLines w:val="true"/>
        <w:numPr>
          <w:ilvl w:val="0"/>
          <w:numId w:val="1764"/>
        </w:numPr>
        <w:spacing w:before="120" w:after="0" w:line="240"/>
        <w:ind w:right="0" w:left="862" w:hanging="862"/>
        <w:jc w:val="both"/>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Emisije CO</w:t>
      </w:r>
      <w:r>
        <w:rPr>
          <w:rFonts w:ascii="Calibri" w:hAnsi="Calibri" w:cs="Calibri" w:eastAsia="Calibri"/>
          <w:b/>
          <w:color w:val="auto"/>
          <w:spacing w:val="0"/>
          <w:position w:val="0"/>
          <w:sz w:val="22"/>
          <w:shd w:fill="auto" w:val="clear"/>
          <w:vertAlign w:val="subscript"/>
        </w:rPr>
        <w:t xml:space="preserve">2</w:t>
      </w:r>
      <w:r>
        <w:rPr>
          <w:rFonts w:ascii="Calibri" w:hAnsi="Calibri" w:cs="Calibri" w:eastAsia="Calibri"/>
          <w:b/>
          <w:color w:val="auto"/>
          <w:spacing w:val="0"/>
          <w:position w:val="0"/>
          <w:sz w:val="22"/>
          <w:shd w:fill="auto" w:val="clear"/>
        </w:rPr>
        <w:t xml:space="preserve"> u kontrolnoj godini iz podsektora vozila u vlasništvu Op</w:t>
      </w:r>
      <w:r>
        <w:rPr>
          <w:rFonts w:ascii="Calibri" w:hAnsi="Calibri" w:cs="Calibri" w:eastAsia="Calibri"/>
          <w:b/>
          <w:color w:val="auto"/>
          <w:spacing w:val="0"/>
          <w:position w:val="0"/>
          <w:sz w:val="22"/>
          <w:shd w:fill="auto" w:val="clear"/>
        </w:rPr>
        <w:t xml:space="preserve">ćine Doboj Istok</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U kontrolnoj 2020. godini vozni park u vlasništvu Op</w:t>
      </w:r>
      <w:r>
        <w:rPr>
          <w:rFonts w:ascii="Calibri" w:hAnsi="Calibri" w:cs="Calibri" w:eastAsia="Calibri"/>
          <w:color w:val="auto"/>
          <w:spacing w:val="0"/>
          <w:position w:val="0"/>
          <w:sz w:val="20"/>
          <w:shd w:fill="auto" w:val="clear"/>
        </w:rPr>
        <w:t xml:space="preserve">ćine Doboj Istok se sastoji od ukupno 25 vozila, što uključuje putničke automobile te kombinovana vozila koja su većinom u vlasništvu javnih preduzeća i ustanova čiji osnivač je Općina Doboj Istok. Prema raspoloživim podacima, od ukupnog broja vozila 22 kao pogonsko gorivo koriste dizel, a 3 benzin, dok je prosječna starost vozila 10 godina.</w:t>
      </w:r>
    </w:p>
    <w:p>
      <w:pPr>
        <w:spacing w:before="60" w:after="12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Naredna tabela daje pregled potrošnje finalne energije i pripadaju</w:t>
      </w:r>
      <w:r>
        <w:rPr>
          <w:rFonts w:ascii="Calibri" w:hAnsi="Calibri" w:cs="Calibri" w:eastAsia="Calibri"/>
          <w:color w:val="auto"/>
          <w:spacing w:val="0"/>
          <w:position w:val="0"/>
          <w:sz w:val="20"/>
          <w:shd w:fill="auto" w:val="clear"/>
        </w:rPr>
        <w:t xml:space="preserve">će emisije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iz ovog podsektora.</w:t>
      </w:r>
    </w:p>
    <w:tbl>
      <w:tblPr/>
      <w:tblGrid>
        <w:gridCol w:w="3208"/>
        <w:gridCol w:w="3207"/>
        <w:gridCol w:w="3205"/>
      </w:tblGrid>
      <w:tr>
        <w:trPr>
          <w:trHeight w:val="113" w:hRule="auto"/>
          <w:jc w:val="center"/>
        </w:trPr>
        <w:tc>
          <w:tcPr>
            <w:tcW w:w="3208" w:type="dxa"/>
            <w:vMerge w:val="restart"/>
            <w:tcBorders>
              <w:top w:val="single" w:color="000000" w:sz="4"/>
              <w:left w:val="single" w:color="000000" w:sz="4"/>
              <w:bottom w:val="single" w:color="000000" w:sz="4"/>
              <w:right w:val="single" w:color="000000" w:sz="4"/>
            </w:tcBorders>
            <w:shd w:color="auto" w:fill="bdd6ee"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VRSTA ENERGENTA</w:t>
            </w:r>
          </w:p>
        </w:tc>
        <w:tc>
          <w:tcPr>
            <w:tcW w:w="6412" w:type="dxa"/>
            <w:gridSpan w:val="2"/>
            <w:tcBorders>
              <w:top w:val="single" w:color="000000" w:sz="4"/>
              <w:left w:val="single" w:color="000000" w:sz="0"/>
              <w:bottom w:val="single" w:color="000000" w:sz="4"/>
              <w:right w:val="single" w:color="000000" w:sz="4"/>
            </w:tcBorders>
            <w:shd w:color="auto" w:fill="bdd6ee"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VOZILA U VLASNIŠTVU OP</w:t>
            </w:r>
            <w:r>
              <w:rPr>
                <w:rFonts w:ascii="Calibri" w:hAnsi="Calibri" w:cs="Calibri" w:eastAsia="Calibri"/>
                <w:color w:val="000000"/>
                <w:spacing w:val="0"/>
                <w:position w:val="0"/>
                <w:sz w:val="18"/>
                <w:shd w:fill="auto" w:val="clear"/>
              </w:rPr>
              <w:t xml:space="preserve">ĆINE</w:t>
            </w:r>
          </w:p>
        </w:tc>
      </w:tr>
      <w:tr>
        <w:trPr>
          <w:trHeight w:val="269" w:hRule="auto"/>
          <w:jc w:val="center"/>
        </w:trPr>
        <w:tc>
          <w:tcPr>
            <w:tcW w:w="3208" w:type="dxa"/>
            <w:vMerge/>
            <w:tcBorders>
              <w:top w:val="single" w:color="000000" w:sz="4"/>
              <w:left w:val="single" w:color="000000" w:sz="4"/>
              <w:bottom w:val="single" w:color="000000" w:sz="4"/>
              <w:right w:val="single" w:color="000000" w:sz="4"/>
            </w:tcBorders>
            <w:shd w:color="auto" w:fill="bdd6ee" w:val="clear"/>
            <w:tcMar>
              <w:left w:w="108" w:type="dxa"/>
              <w:right w:w="108"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3207" w:type="dxa"/>
            <w:vMerge w:val="restart"/>
            <w:tcBorders>
              <w:top w:val="single" w:color="000000" w:sz="0"/>
              <w:left w:val="single" w:color="000000" w:sz="4"/>
              <w:bottom w:val="single" w:color="000000" w:sz="4"/>
              <w:right w:val="single" w:color="000000" w:sz="4"/>
            </w:tcBorders>
            <w:shd w:color="auto" w:fill="bdd6ee"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FINALNA ENERGIJA [MWh]</w:t>
            </w:r>
          </w:p>
        </w:tc>
        <w:tc>
          <w:tcPr>
            <w:tcW w:w="3205" w:type="dxa"/>
            <w:vMerge w:val="restart"/>
            <w:tcBorders>
              <w:top w:val="single" w:color="000000" w:sz="0"/>
              <w:left w:val="single" w:color="000000" w:sz="4"/>
              <w:bottom w:val="single" w:color="000000" w:sz="4"/>
              <w:right w:val="single" w:color="000000" w:sz="4"/>
            </w:tcBorders>
            <w:shd w:color="auto" w:fill="bdd6ee"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EMISIJE [tCO</w:t>
            </w:r>
            <w:r>
              <w:rPr>
                <w:rFonts w:ascii="Calibri" w:hAnsi="Calibri" w:cs="Calibri" w:eastAsia="Calibri"/>
                <w:color w:val="000000"/>
                <w:spacing w:val="0"/>
                <w:position w:val="0"/>
                <w:sz w:val="18"/>
                <w:shd w:fill="auto" w:val="clear"/>
                <w:vertAlign w:val="subscript"/>
              </w:rPr>
              <w:t xml:space="preserve">2</w:t>
            </w:r>
            <w:r>
              <w:rPr>
                <w:rFonts w:ascii="Calibri" w:hAnsi="Calibri" w:cs="Calibri" w:eastAsia="Calibri"/>
                <w:color w:val="000000"/>
                <w:spacing w:val="0"/>
                <w:position w:val="0"/>
                <w:sz w:val="18"/>
                <w:shd w:fill="auto" w:val="clear"/>
              </w:rPr>
              <w:t xml:space="preserve">]</w:t>
            </w:r>
          </w:p>
        </w:tc>
      </w:tr>
      <w:tr>
        <w:trPr>
          <w:trHeight w:val="269" w:hRule="auto"/>
          <w:jc w:val="center"/>
        </w:trPr>
        <w:tc>
          <w:tcPr>
            <w:tcW w:w="3208" w:type="dxa"/>
            <w:vMerge/>
            <w:tcBorders>
              <w:top w:val="single" w:color="000000" w:sz="4"/>
              <w:left w:val="single" w:color="000000" w:sz="4"/>
              <w:bottom w:val="single" w:color="000000" w:sz="4"/>
              <w:right w:val="single" w:color="000000" w:sz="4"/>
            </w:tcBorders>
            <w:shd w:color="auto" w:fill="bdd6ee" w:val="clear"/>
            <w:tcMar>
              <w:left w:w="108" w:type="dxa"/>
              <w:right w:w="108"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3207" w:type="dxa"/>
            <w:vMerge/>
            <w:tcBorders>
              <w:top w:val="single" w:color="000000" w:sz="0"/>
              <w:left w:val="single" w:color="000000" w:sz="4"/>
              <w:bottom w:val="single" w:color="000000" w:sz="4"/>
              <w:right w:val="single" w:color="000000" w:sz="4"/>
            </w:tcBorders>
            <w:shd w:color="auto" w:fill="bdd6ee" w:val="clear"/>
            <w:tcMar>
              <w:left w:w="108" w:type="dxa"/>
              <w:right w:w="108"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3205" w:type="dxa"/>
            <w:vMerge/>
            <w:tcBorders>
              <w:top w:val="single" w:color="000000" w:sz="0"/>
              <w:left w:val="single" w:color="000000" w:sz="4"/>
              <w:bottom w:val="single" w:color="000000" w:sz="4"/>
              <w:right w:val="single" w:color="000000" w:sz="4"/>
            </w:tcBorders>
            <w:shd w:color="auto" w:fill="bdd6ee" w:val="clear"/>
            <w:tcMar>
              <w:left w:w="108" w:type="dxa"/>
              <w:right w:w="108"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r>
      <w:tr>
        <w:trPr>
          <w:trHeight w:val="288" w:hRule="auto"/>
          <w:jc w:val="center"/>
        </w:trPr>
        <w:tc>
          <w:tcPr>
            <w:tcW w:w="3208" w:type="dxa"/>
            <w:tcBorders>
              <w:top w:val="single" w:color="000000" w:sz="0"/>
              <w:left w:val="single" w:color="000000" w:sz="4"/>
              <w:bottom w:val="single" w:color="000000" w:sz="4"/>
              <w:right w:val="single" w:color="000000" w:sz="4"/>
            </w:tcBorders>
            <w:shd w:color="auto" w:fill="bdd6ee"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DIZEL</w:t>
            </w:r>
          </w:p>
        </w:tc>
        <w:tc>
          <w:tcPr>
            <w:tcW w:w="3207" w:type="dxa"/>
            <w:tcBorders>
              <w:top w:val="single" w:color="000000" w:sz="0"/>
              <w:left w:val="single" w:color="000000" w:sz="0"/>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175,43</w:t>
            </w:r>
          </w:p>
        </w:tc>
        <w:tc>
          <w:tcPr>
            <w:tcW w:w="3205" w:type="dxa"/>
            <w:tcBorders>
              <w:top w:val="single" w:color="000000" w:sz="0"/>
              <w:left w:val="single" w:color="000000" w:sz="0"/>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46,84</w:t>
            </w:r>
          </w:p>
        </w:tc>
      </w:tr>
      <w:tr>
        <w:trPr>
          <w:trHeight w:val="288" w:hRule="auto"/>
          <w:jc w:val="center"/>
        </w:trPr>
        <w:tc>
          <w:tcPr>
            <w:tcW w:w="3208" w:type="dxa"/>
            <w:tcBorders>
              <w:top w:val="single" w:color="000000" w:sz="0"/>
              <w:left w:val="single" w:color="000000" w:sz="4"/>
              <w:bottom w:val="single" w:color="000000" w:sz="4"/>
              <w:right w:val="single" w:color="000000" w:sz="4"/>
            </w:tcBorders>
            <w:shd w:color="auto" w:fill="bdd6ee"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BENZIN</w:t>
            </w:r>
          </w:p>
        </w:tc>
        <w:tc>
          <w:tcPr>
            <w:tcW w:w="3207" w:type="dxa"/>
            <w:tcBorders>
              <w:top w:val="single" w:color="000000" w:sz="0"/>
              <w:left w:val="single" w:color="000000" w:sz="0"/>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23,92</w:t>
            </w:r>
          </w:p>
        </w:tc>
        <w:tc>
          <w:tcPr>
            <w:tcW w:w="3205" w:type="dxa"/>
            <w:tcBorders>
              <w:top w:val="single" w:color="000000" w:sz="0"/>
              <w:left w:val="single" w:color="000000" w:sz="0"/>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5,96</w:t>
            </w:r>
          </w:p>
        </w:tc>
      </w:tr>
      <w:tr>
        <w:trPr>
          <w:trHeight w:val="288" w:hRule="auto"/>
          <w:jc w:val="center"/>
        </w:trPr>
        <w:tc>
          <w:tcPr>
            <w:tcW w:w="3208" w:type="dxa"/>
            <w:tcBorders>
              <w:top w:val="single" w:color="000000" w:sz="0"/>
              <w:left w:val="single" w:color="000000" w:sz="4"/>
              <w:bottom w:val="single" w:color="000000" w:sz="4"/>
              <w:right w:val="single" w:color="000000" w:sz="4"/>
            </w:tcBorders>
            <w:shd w:color="auto" w:fill="bdd6ee" w:val="clear"/>
            <w:tcMar>
              <w:left w:w="108" w:type="dxa"/>
              <w:right w:w="108" w:type="dxa"/>
            </w:tcMar>
            <w:vAlign w:val="center"/>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UKUPNO</w:t>
            </w:r>
          </w:p>
        </w:tc>
        <w:tc>
          <w:tcPr>
            <w:tcW w:w="3207" w:type="dxa"/>
            <w:tcBorders>
              <w:top w:val="single" w:color="000000" w:sz="0"/>
              <w:left w:val="single" w:color="000000" w:sz="0"/>
              <w:bottom w:val="single" w:color="000000" w:sz="4"/>
              <w:right w:val="single" w:color="000000" w:sz="4"/>
            </w:tcBorders>
            <w:shd w:color="auto" w:fill="deeaf6"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199,35</w:t>
            </w:r>
          </w:p>
        </w:tc>
        <w:tc>
          <w:tcPr>
            <w:tcW w:w="3205" w:type="dxa"/>
            <w:tcBorders>
              <w:top w:val="single" w:color="000000" w:sz="0"/>
              <w:left w:val="single" w:color="000000" w:sz="0"/>
              <w:bottom w:val="single" w:color="000000" w:sz="4"/>
              <w:right w:val="single" w:color="000000" w:sz="4"/>
            </w:tcBorders>
            <w:shd w:color="auto" w:fill="deeaf6"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52,80</w:t>
            </w:r>
          </w:p>
        </w:tc>
      </w:tr>
    </w:tbl>
    <w:p>
      <w:pPr>
        <w:keepNext w:val="true"/>
        <w:spacing w:before="60" w:after="200" w:line="240"/>
        <w:ind w:right="0" w:left="0" w:firstLine="0"/>
        <w:jc w:val="center"/>
        <w:rPr>
          <w:rFonts w:ascii="Calibri" w:hAnsi="Calibri" w:cs="Calibri" w:eastAsia="Calibri"/>
          <w:i/>
          <w:color w:val="auto"/>
          <w:spacing w:val="0"/>
          <w:position w:val="0"/>
          <w:sz w:val="18"/>
          <w:shd w:fill="auto" w:val="clear"/>
        </w:rPr>
      </w:pPr>
      <w:r>
        <w:rPr>
          <w:rFonts w:ascii="Calibri" w:hAnsi="Calibri" w:cs="Calibri" w:eastAsia="Calibri"/>
          <w:i/>
          <w:color w:val="auto"/>
          <w:spacing w:val="0"/>
          <w:position w:val="0"/>
          <w:sz w:val="18"/>
          <w:shd w:fill="auto" w:val="clear"/>
        </w:rPr>
        <w:t xml:space="preserve">Tabela 540: Potrošnja energije i emisije CO</w:t>
      </w:r>
      <w:r>
        <w:rPr>
          <w:rFonts w:ascii="Calibri" w:hAnsi="Calibri" w:cs="Calibri" w:eastAsia="Calibri"/>
          <w:i/>
          <w:color w:val="auto"/>
          <w:spacing w:val="0"/>
          <w:position w:val="0"/>
          <w:sz w:val="18"/>
          <w:shd w:fill="auto" w:val="clear"/>
          <w:vertAlign w:val="subscript"/>
        </w:rPr>
        <w:t xml:space="preserve">2</w:t>
      </w:r>
      <w:r>
        <w:rPr>
          <w:rFonts w:ascii="Calibri" w:hAnsi="Calibri" w:cs="Calibri" w:eastAsia="Calibri"/>
          <w:i/>
          <w:color w:val="auto"/>
          <w:spacing w:val="0"/>
          <w:position w:val="0"/>
          <w:sz w:val="18"/>
          <w:shd w:fill="auto" w:val="clear"/>
        </w:rPr>
        <w:t xml:space="preserve"> po energentima za vozila u vlasništvu Op</w:t>
      </w:r>
      <w:r>
        <w:rPr>
          <w:rFonts w:ascii="Calibri" w:hAnsi="Calibri" w:cs="Calibri" w:eastAsia="Calibri"/>
          <w:i/>
          <w:color w:val="auto"/>
          <w:spacing w:val="0"/>
          <w:position w:val="0"/>
          <w:sz w:val="18"/>
          <w:shd w:fill="auto" w:val="clear"/>
        </w:rPr>
        <w:t xml:space="preserve">ćine Doboj Istok u 2020. godini</w:t>
      </w:r>
    </w:p>
    <w:p>
      <w:pPr>
        <w:spacing w:before="60" w:after="12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Tabela pokazuje da je u ovom podsektoru u kontrolnoj 2020. godini potrošeno ukupno 199,35 MWh energije, od </w:t>
      </w:r>
      <w:r>
        <w:rPr>
          <w:rFonts w:ascii="Calibri" w:hAnsi="Calibri" w:cs="Calibri" w:eastAsia="Calibri"/>
          <w:color w:val="auto"/>
          <w:spacing w:val="0"/>
          <w:position w:val="0"/>
          <w:sz w:val="20"/>
          <w:shd w:fill="auto" w:val="clear"/>
        </w:rPr>
        <w:t xml:space="preserve">čega je 175,43 MWh ili 88,00% proizvedeno iz dizel goriva, te 23,92 MWh odnosno 12,00% iz benzina. Od ukupnih 52,80 tCO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iz ovog podsektora, sagorijevanjem dizela nastalo je 46,84 t ili 88,72% od ukupne emisije, dok je preostalih 5,96 tCO</w:t>
      </w:r>
      <w:r>
        <w:rPr>
          <w:rFonts w:ascii="Calibri" w:hAnsi="Calibri" w:cs="Calibri" w:eastAsia="Calibri"/>
          <w:color w:val="auto"/>
          <w:spacing w:val="0"/>
          <w:position w:val="0"/>
          <w:sz w:val="20"/>
          <w:shd w:fill="auto" w:val="clear"/>
          <w:vertAlign w:val="subscript"/>
        </w:rPr>
        <w:t xml:space="preserve">2 </w:t>
      </w:r>
      <w:r>
        <w:rPr>
          <w:rFonts w:ascii="Calibri" w:hAnsi="Calibri" w:cs="Calibri" w:eastAsia="Calibri"/>
          <w:color w:val="auto"/>
          <w:spacing w:val="0"/>
          <w:position w:val="0"/>
          <w:sz w:val="20"/>
          <w:shd w:fill="auto" w:val="clear"/>
        </w:rPr>
        <w:t xml:space="preserve">ili 11,28% nastalo sagorijevanjem benzina. Ovi omjeri prikazani su u narednim dijagramima.</w:t>
      </w:r>
    </w:p>
    <w:tbl>
      <w:tblPr/>
      <w:tblGrid>
        <w:gridCol w:w="4626"/>
        <w:gridCol w:w="4585"/>
      </w:tblGrid>
      <w:tr>
        <w:trPr>
          <w:trHeight w:val="2334" w:hRule="auto"/>
          <w:jc w:val="left"/>
        </w:trPr>
        <w:tc>
          <w:tcPr>
            <w:tcW w:w="4626"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p>
            <w:pPr>
              <w:spacing w:before="60" w:after="16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Dijagram 526: Potrošnja energije prema energentima u podsektoru vozila u vlasništvu Op</w:t>
            </w:r>
            <w:r>
              <w:rPr>
                <w:rFonts w:ascii="Calibri" w:hAnsi="Calibri" w:cs="Calibri" w:eastAsia="Calibri"/>
                <w:color w:val="auto"/>
                <w:spacing w:val="0"/>
                <w:position w:val="0"/>
                <w:sz w:val="18"/>
                <w:shd w:fill="auto" w:val="clear"/>
              </w:rPr>
              <w:t xml:space="preserve">ćine u kontrolnoj godini</w:t>
            </w:r>
          </w:p>
        </w:tc>
        <w:tc>
          <w:tcPr>
            <w:tcW w:w="4585"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i/>
                <w:color w:val="auto"/>
                <w:spacing w:val="0"/>
                <w:position w:val="0"/>
                <w:sz w:val="18"/>
                <w:shd w:fill="auto" w:val="clear"/>
              </w:rPr>
            </w:pPr>
          </w:p>
          <w:p>
            <w:pPr>
              <w:spacing w:before="60" w:after="16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Dijagram 527: Udio razmatranih energenata u emisijama CO</w:t>
            </w:r>
            <w:r>
              <w:rPr>
                <w:rFonts w:ascii="Calibri" w:hAnsi="Calibri" w:cs="Calibri" w:eastAsia="Calibri"/>
                <w:color w:val="auto"/>
                <w:spacing w:val="0"/>
                <w:position w:val="0"/>
                <w:sz w:val="18"/>
                <w:shd w:fill="auto" w:val="clear"/>
                <w:vertAlign w:val="subscript"/>
              </w:rPr>
              <w:t xml:space="preserve">2</w:t>
            </w:r>
            <w:r>
              <w:rPr>
                <w:rFonts w:ascii="Calibri" w:hAnsi="Calibri" w:cs="Calibri" w:eastAsia="Calibri"/>
                <w:color w:val="auto"/>
                <w:spacing w:val="0"/>
                <w:position w:val="0"/>
                <w:sz w:val="18"/>
                <w:shd w:fill="auto" w:val="clear"/>
              </w:rPr>
              <w:t xml:space="preserve"> iz podsektora vozila u vlasništvu Op</w:t>
            </w:r>
            <w:r>
              <w:rPr>
                <w:rFonts w:ascii="Calibri" w:hAnsi="Calibri" w:cs="Calibri" w:eastAsia="Calibri"/>
                <w:color w:val="auto"/>
                <w:spacing w:val="0"/>
                <w:position w:val="0"/>
                <w:sz w:val="18"/>
                <w:shd w:fill="auto" w:val="clear"/>
              </w:rPr>
              <w:t xml:space="preserve">ćine u kontrolnoj godini</w:t>
            </w:r>
          </w:p>
        </w:tc>
      </w:tr>
    </w:tbl>
    <w:p>
      <w:pPr>
        <w:keepNext w:val="true"/>
        <w:keepLines w:val="true"/>
        <w:numPr>
          <w:ilvl w:val="0"/>
          <w:numId w:val="1796"/>
        </w:numPr>
        <w:spacing w:before="120" w:after="0" w:line="240"/>
        <w:ind w:right="0" w:left="862" w:hanging="862"/>
        <w:jc w:val="both"/>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Emisije CO</w:t>
      </w:r>
      <w:r>
        <w:rPr>
          <w:rFonts w:ascii="Calibri" w:hAnsi="Calibri" w:cs="Calibri" w:eastAsia="Calibri"/>
          <w:b/>
          <w:color w:val="auto"/>
          <w:spacing w:val="0"/>
          <w:position w:val="0"/>
          <w:sz w:val="22"/>
          <w:shd w:fill="auto" w:val="clear"/>
          <w:vertAlign w:val="subscript"/>
        </w:rPr>
        <w:t xml:space="preserve">2</w:t>
      </w:r>
      <w:r>
        <w:rPr>
          <w:rFonts w:ascii="Calibri" w:hAnsi="Calibri" w:cs="Calibri" w:eastAsia="Calibri"/>
          <w:b/>
          <w:color w:val="auto"/>
          <w:spacing w:val="0"/>
          <w:position w:val="0"/>
          <w:sz w:val="22"/>
          <w:shd w:fill="auto" w:val="clear"/>
        </w:rPr>
        <w:t xml:space="preserve"> u kontrolnoj godini iz podsektora vozila javnog prijevoza</w:t>
      </w:r>
    </w:p>
    <w:p>
      <w:pPr>
        <w:spacing w:before="60" w:after="12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Pored kompanije KIM d.o.o, 2015. godine se kao prijevoznik na podru</w:t>
      </w:r>
      <w:r>
        <w:rPr>
          <w:rFonts w:ascii="Calibri" w:hAnsi="Calibri" w:cs="Calibri" w:eastAsia="Calibri"/>
          <w:color w:val="auto"/>
          <w:spacing w:val="0"/>
          <w:position w:val="0"/>
          <w:sz w:val="20"/>
          <w:shd w:fill="auto" w:val="clear"/>
        </w:rPr>
        <w:t xml:space="preserve">čju općine Doboj Istok pojavljuje i kompanija DAM PREVOZ d.o.o sa 5 autobusa, te se u kontrolnoj godini javni prijevoz na području općine obavlja sa 15 autobusa. U kontrolnoj godini su autobusi sagorijevanjem goriva potrošili ukupno 1.978,01 MWh, čime je uzrokovano oslobađanje 528,13 tCO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Navedena energija i emisije su prikazani u narednoj tabeli. </w:t>
      </w:r>
    </w:p>
    <w:tbl>
      <w:tblPr/>
      <w:tblGrid>
        <w:gridCol w:w="2462"/>
        <w:gridCol w:w="2904"/>
        <w:gridCol w:w="3050"/>
      </w:tblGrid>
      <w:tr>
        <w:trPr>
          <w:trHeight w:val="312" w:hRule="auto"/>
          <w:jc w:val="center"/>
        </w:trPr>
        <w:tc>
          <w:tcPr>
            <w:tcW w:w="2462" w:type="dxa"/>
            <w:vMerge w:val="restart"/>
            <w:tcBorders>
              <w:top w:val="single" w:color="000000" w:sz="4"/>
              <w:left w:val="single" w:color="000000" w:sz="4"/>
              <w:bottom w:val="single" w:color="000000" w:sz="4"/>
              <w:right w:val="single" w:color="000000" w:sz="4"/>
            </w:tcBorders>
            <w:shd w:color="auto" w:fill="bdd6ee"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VRSTA ENERGENTA</w:t>
            </w:r>
          </w:p>
        </w:tc>
        <w:tc>
          <w:tcPr>
            <w:tcW w:w="5954" w:type="dxa"/>
            <w:gridSpan w:val="2"/>
            <w:tcBorders>
              <w:top w:val="single" w:color="000000" w:sz="4"/>
              <w:left w:val="single" w:color="000000" w:sz="0"/>
              <w:bottom w:val="single" w:color="000000" w:sz="4"/>
              <w:right w:val="single" w:color="000000" w:sz="4"/>
            </w:tcBorders>
            <w:shd w:color="auto" w:fill="bdd6ee"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JAVNI PRIJEVOZ</w:t>
            </w:r>
          </w:p>
        </w:tc>
      </w:tr>
      <w:tr>
        <w:trPr>
          <w:trHeight w:val="57" w:hRule="auto"/>
          <w:jc w:val="center"/>
        </w:trPr>
        <w:tc>
          <w:tcPr>
            <w:tcW w:w="2462" w:type="dxa"/>
            <w:vMerge/>
            <w:tcBorders>
              <w:top w:val="single" w:color="000000" w:sz="4"/>
              <w:left w:val="single" w:color="000000" w:sz="4"/>
              <w:bottom w:val="single" w:color="000000" w:sz="4"/>
              <w:right w:val="single" w:color="000000" w:sz="4"/>
            </w:tcBorders>
            <w:shd w:color="auto" w:fill="bdd6ee" w:val="clear"/>
            <w:tcMar>
              <w:left w:w="108" w:type="dxa"/>
              <w:right w:w="108"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2904" w:type="dxa"/>
            <w:vMerge w:val="restart"/>
            <w:tcBorders>
              <w:top w:val="single" w:color="000000" w:sz="0"/>
              <w:left w:val="single" w:color="000000" w:sz="4"/>
              <w:bottom w:val="single" w:color="000000" w:sz="4"/>
              <w:right w:val="single" w:color="000000" w:sz="4"/>
            </w:tcBorders>
            <w:shd w:color="auto" w:fill="bdd6ee"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FINALNA ENERGIJA [MWh]</w:t>
            </w:r>
          </w:p>
        </w:tc>
        <w:tc>
          <w:tcPr>
            <w:tcW w:w="3050" w:type="dxa"/>
            <w:vMerge w:val="restart"/>
            <w:tcBorders>
              <w:top w:val="single" w:color="000000" w:sz="0"/>
              <w:left w:val="single" w:color="000000" w:sz="4"/>
              <w:bottom w:val="single" w:color="000000" w:sz="4"/>
              <w:right w:val="single" w:color="000000" w:sz="4"/>
            </w:tcBorders>
            <w:shd w:color="auto" w:fill="bdd6ee"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EMISIJE [tCO</w:t>
            </w:r>
            <w:r>
              <w:rPr>
                <w:rFonts w:ascii="Calibri" w:hAnsi="Calibri" w:cs="Calibri" w:eastAsia="Calibri"/>
                <w:color w:val="000000"/>
                <w:spacing w:val="0"/>
                <w:position w:val="0"/>
                <w:sz w:val="18"/>
                <w:shd w:fill="auto" w:val="clear"/>
                <w:vertAlign w:val="subscript"/>
              </w:rPr>
              <w:t xml:space="preserve">2</w:t>
            </w:r>
            <w:r>
              <w:rPr>
                <w:rFonts w:ascii="Calibri" w:hAnsi="Calibri" w:cs="Calibri" w:eastAsia="Calibri"/>
                <w:color w:val="000000"/>
                <w:spacing w:val="0"/>
                <w:position w:val="0"/>
                <w:sz w:val="18"/>
                <w:shd w:fill="auto" w:val="clear"/>
              </w:rPr>
              <w:t xml:space="preserve">]</w:t>
            </w:r>
          </w:p>
        </w:tc>
      </w:tr>
      <w:tr>
        <w:trPr>
          <w:trHeight w:val="450" w:hRule="auto"/>
          <w:jc w:val="center"/>
        </w:trPr>
        <w:tc>
          <w:tcPr>
            <w:tcW w:w="2462" w:type="dxa"/>
            <w:vMerge/>
            <w:tcBorders>
              <w:top w:val="single" w:color="000000" w:sz="4"/>
              <w:left w:val="single" w:color="000000" w:sz="4"/>
              <w:bottom w:val="single" w:color="000000" w:sz="4"/>
              <w:right w:val="single" w:color="000000" w:sz="4"/>
            </w:tcBorders>
            <w:shd w:color="auto" w:fill="bdd6ee" w:val="clear"/>
            <w:tcMar>
              <w:left w:w="108" w:type="dxa"/>
              <w:right w:w="108"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2904" w:type="dxa"/>
            <w:vMerge/>
            <w:tcBorders>
              <w:top w:val="single" w:color="000000" w:sz="0"/>
              <w:left w:val="single" w:color="000000" w:sz="4"/>
              <w:bottom w:val="single" w:color="000000" w:sz="4"/>
              <w:right w:val="single" w:color="000000" w:sz="4"/>
            </w:tcBorders>
            <w:shd w:color="auto" w:fill="bdd6ee" w:val="clear"/>
            <w:tcMar>
              <w:left w:w="108" w:type="dxa"/>
              <w:right w:w="108"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3050" w:type="dxa"/>
            <w:vMerge/>
            <w:tcBorders>
              <w:top w:val="single" w:color="000000" w:sz="0"/>
              <w:left w:val="single" w:color="000000" w:sz="4"/>
              <w:bottom w:val="single" w:color="000000" w:sz="4"/>
              <w:right w:val="single" w:color="000000" w:sz="4"/>
            </w:tcBorders>
            <w:shd w:color="auto" w:fill="bdd6ee" w:val="clear"/>
            <w:tcMar>
              <w:left w:w="108" w:type="dxa"/>
              <w:right w:w="108"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r>
      <w:tr>
        <w:trPr>
          <w:trHeight w:val="296" w:hRule="auto"/>
          <w:jc w:val="center"/>
        </w:trPr>
        <w:tc>
          <w:tcPr>
            <w:tcW w:w="2462" w:type="dxa"/>
            <w:tcBorders>
              <w:top w:val="single" w:color="000000" w:sz="0"/>
              <w:left w:val="single" w:color="000000" w:sz="4"/>
              <w:bottom w:val="single" w:color="000000" w:sz="4"/>
              <w:right w:val="single" w:color="000000" w:sz="4"/>
            </w:tcBorders>
            <w:shd w:color="auto" w:fill="bdd6ee"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DIZEL</w:t>
            </w:r>
          </w:p>
        </w:tc>
        <w:tc>
          <w:tcPr>
            <w:tcW w:w="290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1.978,01</w:t>
            </w:r>
          </w:p>
        </w:tc>
        <w:tc>
          <w:tcPr>
            <w:tcW w:w="305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528,13</w:t>
            </w:r>
          </w:p>
        </w:tc>
      </w:tr>
    </w:tbl>
    <w:p>
      <w:pPr>
        <w:spacing w:before="60" w:after="160" w:line="240"/>
        <w:ind w:right="0" w:left="0" w:firstLine="0"/>
        <w:jc w:val="center"/>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Tabela 541: Ukupna godišnja potrošnja energije i emisije CO</w:t>
      </w:r>
      <w:r>
        <w:rPr>
          <w:rFonts w:ascii="Calibri" w:hAnsi="Calibri" w:cs="Calibri" w:eastAsia="Calibri"/>
          <w:color w:val="auto"/>
          <w:spacing w:val="0"/>
          <w:position w:val="0"/>
          <w:sz w:val="18"/>
          <w:shd w:fill="auto" w:val="clear"/>
          <w:vertAlign w:val="subscript"/>
        </w:rPr>
        <w:t xml:space="preserve">2</w:t>
      </w:r>
      <w:r>
        <w:rPr>
          <w:rFonts w:ascii="Calibri" w:hAnsi="Calibri" w:cs="Calibri" w:eastAsia="Calibri"/>
          <w:color w:val="auto"/>
          <w:spacing w:val="0"/>
          <w:position w:val="0"/>
          <w:sz w:val="18"/>
          <w:shd w:fill="auto" w:val="clear"/>
        </w:rPr>
        <w:t xml:space="preserve"> za podsektor javnog prijevoza u kontrolnoj godini</w:t>
      </w:r>
    </w:p>
    <w:p>
      <w:pPr>
        <w:keepNext w:val="true"/>
        <w:keepLines w:val="true"/>
        <w:numPr>
          <w:ilvl w:val="0"/>
          <w:numId w:val="1814"/>
        </w:numPr>
        <w:spacing w:before="120" w:after="0" w:line="240"/>
        <w:ind w:right="0" w:left="862" w:hanging="862"/>
        <w:jc w:val="both"/>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Emisije CO</w:t>
      </w:r>
      <w:r>
        <w:rPr>
          <w:rFonts w:ascii="Calibri" w:hAnsi="Calibri" w:cs="Calibri" w:eastAsia="Calibri"/>
          <w:b/>
          <w:color w:val="auto"/>
          <w:spacing w:val="0"/>
          <w:position w:val="0"/>
          <w:sz w:val="22"/>
          <w:shd w:fill="auto" w:val="clear"/>
          <w:vertAlign w:val="subscript"/>
        </w:rPr>
        <w:t xml:space="preserve">2</w:t>
      </w:r>
      <w:r>
        <w:rPr>
          <w:rFonts w:ascii="Calibri" w:hAnsi="Calibri" w:cs="Calibri" w:eastAsia="Calibri"/>
          <w:b/>
          <w:color w:val="auto"/>
          <w:spacing w:val="0"/>
          <w:position w:val="0"/>
          <w:sz w:val="22"/>
          <w:shd w:fill="auto" w:val="clear"/>
        </w:rPr>
        <w:t xml:space="preserve"> u kontrolnoj godini iz podsektora osobnih i komercijalih vozila</w:t>
      </w:r>
    </w:p>
    <w:p>
      <w:pPr>
        <w:spacing w:before="60" w:after="12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Na podru</w:t>
      </w:r>
      <w:r>
        <w:rPr>
          <w:rFonts w:ascii="Calibri" w:hAnsi="Calibri" w:cs="Calibri" w:eastAsia="Calibri"/>
          <w:color w:val="auto"/>
          <w:spacing w:val="0"/>
          <w:position w:val="0"/>
          <w:sz w:val="20"/>
          <w:shd w:fill="auto" w:val="clear"/>
        </w:rPr>
        <w:t xml:space="preserve">čju općine općine Doboj Istok je u 2020. godini registrirano ukupno 3.378 vozila, od čega je 3.365 osobnih i komercijalnih vozila. Struktura ovih vozila u odnosu na njihove ekološke kategorije prikazana je u narednoj tabeli. </w:t>
      </w:r>
    </w:p>
    <w:tbl>
      <w:tblPr/>
      <w:tblGrid>
        <w:gridCol w:w="3058"/>
        <w:gridCol w:w="2308"/>
        <w:gridCol w:w="2615"/>
      </w:tblGrid>
      <w:tr>
        <w:trPr>
          <w:trHeight w:val="227" w:hRule="auto"/>
          <w:jc w:val="center"/>
        </w:trPr>
        <w:tc>
          <w:tcPr>
            <w:tcW w:w="7981" w:type="dxa"/>
            <w:gridSpan w:val="3"/>
            <w:tcBorders>
              <w:top w:val="single" w:color="000000" w:sz="6"/>
              <w:left w:val="single" w:color="000000" w:sz="6"/>
              <w:bottom w:val="single" w:color="000000" w:sz="6"/>
              <w:right w:val="single" w:color="000000" w:sz="6"/>
            </w:tcBorders>
            <w:shd w:color="auto" w:fill="bdd6ee"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OSOBNA I KOMERCIJALNA VOZILA</w:t>
            </w:r>
          </w:p>
        </w:tc>
      </w:tr>
      <w:tr>
        <w:trPr>
          <w:trHeight w:val="227" w:hRule="auto"/>
          <w:jc w:val="center"/>
        </w:trPr>
        <w:tc>
          <w:tcPr>
            <w:tcW w:w="3058" w:type="dxa"/>
            <w:tcBorders>
              <w:top w:val="single" w:color="000000" w:sz="6"/>
              <w:left w:val="single" w:color="000000" w:sz="6"/>
              <w:bottom w:val="single" w:color="000000" w:sz="6"/>
              <w:right w:val="single" w:color="000000" w:sz="6"/>
            </w:tcBorders>
            <w:shd w:color="auto" w:fill="bdd6ee"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EKOLOŠKA KATEGORIJA</w:t>
            </w:r>
          </w:p>
        </w:tc>
        <w:tc>
          <w:tcPr>
            <w:tcW w:w="2308" w:type="dxa"/>
            <w:tcBorders>
              <w:top w:val="single" w:color="000000" w:sz="6"/>
              <w:left w:val="single" w:color="000000" w:sz="6"/>
              <w:bottom w:val="single" w:color="000000" w:sz="6"/>
              <w:right w:val="single" w:color="000000" w:sz="6"/>
            </w:tcBorders>
            <w:shd w:color="auto" w:fill="bdd6ee"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BROJ VOZILA</w:t>
            </w:r>
          </w:p>
        </w:tc>
        <w:tc>
          <w:tcPr>
            <w:tcW w:w="2615" w:type="dxa"/>
            <w:tcBorders>
              <w:top w:val="single" w:color="000000" w:sz="6"/>
              <w:left w:val="single" w:color="000000" w:sz="6"/>
              <w:bottom w:val="single" w:color="000000" w:sz="6"/>
              <w:right w:val="single" w:color="000000" w:sz="6"/>
            </w:tcBorders>
            <w:shd w:color="auto" w:fill="bdd6ee"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U</w:t>
            </w:r>
            <w:r>
              <w:rPr>
                <w:rFonts w:ascii="Calibri" w:hAnsi="Calibri" w:cs="Calibri" w:eastAsia="Calibri"/>
                <w:color w:val="000000"/>
                <w:spacing w:val="0"/>
                <w:position w:val="0"/>
                <w:sz w:val="18"/>
                <w:shd w:fill="auto" w:val="clear"/>
              </w:rPr>
              <w:t xml:space="preserve">ČEŠĆE [%]</w:t>
            </w:r>
          </w:p>
        </w:tc>
      </w:tr>
      <w:tr>
        <w:trPr>
          <w:trHeight w:val="227" w:hRule="auto"/>
          <w:jc w:val="center"/>
        </w:trPr>
        <w:tc>
          <w:tcPr>
            <w:tcW w:w="3058" w:type="dxa"/>
            <w:tcBorders>
              <w:top w:val="single" w:color="000000" w:sz="6"/>
              <w:left w:val="single" w:color="000000" w:sz="6"/>
              <w:bottom w:val="single" w:color="000000" w:sz="6"/>
              <w:right w:val="single" w:color="000000" w:sz="6"/>
            </w:tcBorders>
            <w:shd w:color="auto" w:fill="bdd6ee"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PRE ECE</w:t>
            </w:r>
          </w:p>
        </w:tc>
        <w:tc>
          <w:tcPr>
            <w:tcW w:w="2308" w:type="dxa"/>
            <w:tcBorders>
              <w:top w:val="single" w:color="000000" w:sz="6"/>
              <w:left w:val="single" w:color="000000" w:sz="6"/>
              <w:bottom w:val="single" w:color="000000" w:sz="6"/>
              <w:right w:val="single" w:color="000000" w:sz="6"/>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0</w:t>
            </w:r>
          </w:p>
        </w:tc>
        <w:tc>
          <w:tcPr>
            <w:tcW w:w="2615" w:type="dxa"/>
            <w:tcBorders>
              <w:top w:val="single" w:color="000000" w:sz="6"/>
              <w:left w:val="single" w:color="000000" w:sz="6"/>
              <w:bottom w:val="single" w:color="000000" w:sz="6"/>
              <w:right w:val="single" w:color="000000" w:sz="6"/>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0,00%</w:t>
            </w:r>
          </w:p>
        </w:tc>
      </w:tr>
      <w:tr>
        <w:trPr>
          <w:trHeight w:val="227" w:hRule="auto"/>
          <w:jc w:val="center"/>
        </w:trPr>
        <w:tc>
          <w:tcPr>
            <w:tcW w:w="3058" w:type="dxa"/>
            <w:tcBorders>
              <w:top w:val="single" w:color="000000" w:sz="6"/>
              <w:left w:val="single" w:color="000000" w:sz="6"/>
              <w:bottom w:val="single" w:color="000000" w:sz="6"/>
              <w:right w:val="single" w:color="000000" w:sz="6"/>
            </w:tcBorders>
            <w:shd w:color="auto" w:fill="bdd6ee"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ECE 15/00-01</w:t>
            </w:r>
          </w:p>
        </w:tc>
        <w:tc>
          <w:tcPr>
            <w:tcW w:w="2308" w:type="dxa"/>
            <w:tcBorders>
              <w:top w:val="single" w:color="000000" w:sz="6"/>
              <w:left w:val="single" w:color="000000" w:sz="6"/>
              <w:bottom w:val="single" w:color="000000" w:sz="6"/>
              <w:right w:val="single" w:color="000000" w:sz="6"/>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w:t>
            </w:r>
          </w:p>
        </w:tc>
        <w:tc>
          <w:tcPr>
            <w:tcW w:w="2615" w:type="dxa"/>
            <w:tcBorders>
              <w:top w:val="single" w:color="000000" w:sz="6"/>
              <w:left w:val="single" w:color="000000" w:sz="6"/>
              <w:bottom w:val="single" w:color="000000" w:sz="6"/>
              <w:right w:val="single" w:color="000000" w:sz="6"/>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0,03%</w:t>
            </w:r>
          </w:p>
        </w:tc>
      </w:tr>
      <w:tr>
        <w:trPr>
          <w:trHeight w:val="227" w:hRule="auto"/>
          <w:jc w:val="center"/>
        </w:trPr>
        <w:tc>
          <w:tcPr>
            <w:tcW w:w="3058" w:type="dxa"/>
            <w:tcBorders>
              <w:top w:val="single" w:color="000000" w:sz="6"/>
              <w:left w:val="single" w:color="000000" w:sz="6"/>
              <w:bottom w:val="single" w:color="000000" w:sz="6"/>
              <w:right w:val="single" w:color="000000" w:sz="6"/>
            </w:tcBorders>
            <w:shd w:color="auto" w:fill="bdd6ee"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ECE 15/02</w:t>
            </w:r>
          </w:p>
        </w:tc>
        <w:tc>
          <w:tcPr>
            <w:tcW w:w="2308" w:type="dxa"/>
            <w:tcBorders>
              <w:top w:val="single" w:color="000000" w:sz="6"/>
              <w:left w:val="single" w:color="000000" w:sz="6"/>
              <w:bottom w:val="single" w:color="000000" w:sz="6"/>
              <w:right w:val="single" w:color="000000" w:sz="6"/>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0</w:t>
            </w:r>
          </w:p>
        </w:tc>
        <w:tc>
          <w:tcPr>
            <w:tcW w:w="2615" w:type="dxa"/>
            <w:tcBorders>
              <w:top w:val="single" w:color="000000" w:sz="6"/>
              <w:left w:val="single" w:color="000000" w:sz="6"/>
              <w:bottom w:val="single" w:color="000000" w:sz="6"/>
              <w:right w:val="single" w:color="000000" w:sz="6"/>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0,00%</w:t>
            </w:r>
          </w:p>
        </w:tc>
      </w:tr>
      <w:tr>
        <w:trPr>
          <w:trHeight w:val="227" w:hRule="auto"/>
          <w:jc w:val="center"/>
        </w:trPr>
        <w:tc>
          <w:tcPr>
            <w:tcW w:w="3058" w:type="dxa"/>
            <w:tcBorders>
              <w:top w:val="single" w:color="000000" w:sz="6"/>
              <w:left w:val="single" w:color="000000" w:sz="6"/>
              <w:bottom w:val="single" w:color="000000" w:sz="6"/>
              <w:right w:val="single" w:color="000000" w:sz="6"/>
            </w:tcBorders>
            <w:shd w:color="auto" w:fill="bdd6ee"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ECE 15/03</w:t>
            </w:r>
          </w:p>
        </w:tc>
        <w:tc>
          <w:tcPr>
            <w:tcW w:w="2308" w:type="dxa"/>
            <w:tcBorders>
              <w:top w:val="single" w:color="000000" w:sz="6"/>
              <w:left w:val="single" w:color="000000" w:sz="6"/>
              <w:bottom w:val="single" w:color="000000" w:sz="6"/>
              <w:right w:val="single" w:color="000000" w:sz="6"/>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12</w:t>
            </w:r>
          </w:p>
        </w:tc>
        <w:tc>
          <w:tcPr>
            <w:tcW w:w="2615" w:type="dxa"/>
            <w:tcBorders>
              <w:top w:val="single" w:color="000000" w:sz="6"/>
              <w:left w:val="single" w:color="000000" w:sz="6"/>
              <w:bottom w:val="single" w:color="000000" w:sz="6"/>
              <w:right w:val="single" w:color="000000" w:sz="6"/>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0,36%</w:t>
            </w:r>
          </w:p>
        </w:tc>
      </w:tr>
      <w:tr>
        <w:trPr>
          <w:trHeight w:val="227" w:hRule="auto"/>
          <w:jc w:val="center"/>
        </w:trPr>
        <w:tc>
          <w:tcPr>
            <w:tcW w:w="3058" w:type="dxa"/>
            <w:tcBorders>
              <w:top w:val="single" w:color="000000" w:sz="6"/>
              <w:left w:val="single" w:color="000000" w:sz="6"/>
              <w:bottom w:val="single" w:color="000000" w:sz="6"/>
              <w:right w:val="single" w:color="000000" w:sz="6"/>
            </w:tcBorders>
            <w:shd w:color="auto" w:fill="bdd6ee"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ECE 15/04</w:t>
            </w:r>
          </w:p>
        </w:tc>
        <w:tc>
          <w:tcPr>
            <w:tcW w:w="2308" w:type="dxa"/>
            <w:tcBorders>
              <w:top w:val="single" w:color="000000" w:sz="6"/>
              <w:left w:val="single" w:color="000000" w:sz="6"/>
              <w:bottom w:val="single" w:color="000000" w:sz="6"/>
              <w:right w:val="single" w:color="000000" w:sz="6"/>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54</w:t>
            </w:r>
          </w:p>
        </w:tc>
        <w:tc>
          <w:tcPr>
            <w:tcW w:w="2615" w:type="dxa"/>
            <w:tcBorders>
              <w:top w:val="single" w:color="000000" w:sz="6"/>
              <w:left w:val="single" w:color="000000" w:sz="6"/>
              <w:bottom w:val="single" w:color="000000" w:sz="6"/>
              <w:right w:val="single" w:color="000000" w:sz="6"/>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1,60%</w:t>
            </w:r>
          </w:p>
        </w:tc>
      </w:tr>
      <w:tr>
        <w:trPr>
          <w:trHeight w:val="227" w:hRule="auto"/>
          <w:jc w:val="center"/>
        </w:trPr>
        <w:tc>
          <w:tcPr>
            <w:tcW w:w="3058" w:type="dxa"/>
            <w:tcBorders>
              <w:top w:val="single" w:color="000000" w:sz="6"/>
              <w:left w:val="single" w:color="000000" w:sz="6"/>
              <w:bottom w:val="single" w:color="000000" w:sz="6"/>
              <w:right w:val="single" w:color="000000" w:sz="6"/>
            </w:tcBorders>
            <w:shd w:color="auto" w:fill="bdd6ee"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KONVENCIONALNA</w:t>
            </w:r>
          </w:p>
        </w:tc>
        <w:tc>
          <w:tcPr>
            <w:tcW w:w="2308" w:type="dxa"/>
            <w:tcBorders>
              <w:top w:val="single" w:color="000000" w:sz="6"/>
              <w:left w:val="single" w:color="000000" w:sz="6"/>
              <w:bottom w:val="single" w:color="000000" w:sz="6"/>
              <w:right w:val="single" w:color="000000" w:sz="6"/>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380</w:t>
            </w:r>
          </w:p>
        </w:tc>
        <w:tc>
          <w:tcPr>
            <w:tcW w:w="2615" w:type="dxa"/>
            <w:tcBorders>
              <w:top w:val="single" w:color="000000" w:sz="6"/>
              <w:left w:val="single" w:color="000000" w:sz="6"/>
              <w:bottom w:val="single" w:color="000000" w:sz="6"/>
              <w:right w:val="single" w:color="000000" w:sz="6"/>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11,29%</w:t>
            </w:r>
          </w:p>
        </w:tc>
      </w:tr>
      <w:tr>
        <w:trPr>
          <w:trHeight w:val="227" w:hRule="auto"/>
          <w:jc w:val="center"/>
        </w:trPr>
        <w:tc>
          <w:tcPr>
            <w:tcW w:w="3058" w:type="dxa"/>
            <w:tcBorders>
              <w:top w:val="single" w:color="000000" w:sz="6"/>
              <w:left w:val="single" w:color="000000" w:sz="6"/>
              <w:bottom w:val="single" w:color="000000" w:sz="6"/>
              <w:right w:val="single" w:color="000000" w:sz="6"/>
            </w:tcBorders>
            <w:shd w:color="auto" w:fill="bdd6ee"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EURO 1</w:t>
            </w:r>
          </w:p>
        </w:tc>
        <w:tc>
          <w:tcPr>
            <w:tcW w:w="2308" w:type="dxa"/>
            <w:tcBorders>
              <w:top w:val="single" w:color="000000" w:sz="6"/>
              <w:left w:val="single" w:color="000000" w:sz="6"/>
              <w:bottom w:val="single" w:color="000000" w:sz="6"/>
              <w:right w:val="single" w:color="000000" w:sz="6"/>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95</w:t>
            </w:r>
          </w:p>
        </w:tc>
        <w:tc>
          <w:tcPr>
            <w:tcW w:w="2615" w:type="dxa"/>
            <w:tcBorders>
              <w:top w:val="single" w:color="000000" w:sz="6"/>
              <w:left w:val="single" w:color="000000" w:sz="6"/>
              <w:bottom w:val="single" w:color="000000" w:sz="6"/>
              <w:right w:val="single" w:color="000000" w:sz="6"/>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2,82%</w:t>
            </w:r>
          </w:p>
        </w:tc>
      </w:tr>
      <w:tr>
        <w:trPr>
          <w:trHeight w:val="227" w:hRule="auto"/>
          <w:jc w:val="center"/>
        </w:trPr>
        <w:tc>
          <w:tcPr>
            <w:tcW w:w="3058" w:type="dxa"/>
            <w:tcBorders>
              <w:top w:val="single" w:color="000000" w:sz="6"/>
              <w:left w:val="single" w:color="000000" w:sz="6"/>
              <w:bottom w:val="single" w:color="000000" w:sz="6"/>
              <w:right w:val="single" w:color="000000" w:sz="6"/>
            </w:tcBorders>
            <w:shd w:color="auto" w:fill="bdd6ee"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EURO 2</w:t>
            </w:r>
          </w:p>
        </w:tc>
        <w:tc>
          <w:tcPr>
            <w:tcW w:w="2308" w:type="dxa"/>
            <w:tcBorders>
              <w:top w:val="single" w:color="000000" w:sz="6"/>
              <w:left w:val="single" w:color="000000" w:sz="6"/>
              <w:bottom w:val="single" w:color="000000" w:sz="6"/>
              <w:right w:val="single" w:color="000000" w:sz="6"/>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238</w:t>
            </w:r>
          </w:p>
        </w:tc>
        <w:tc>
          <w:tcPr>
            <w:tcW w:w="2615" w:type="dxa"/>
            <w:tcBorders>
              <w:top w:val="single" w:color="000000" w:sz="6"/>
              <w:left w:val="single" w:color="000000" w:sz="6"/>
              <w:bottom w:val="single" w:color="000000" w:sz="6"/>
              <w:right w:val="single" w:color="000000" w:sz="6"/>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7,07%</w:t>
            </w:r>
          </w:p>
        </w:tc>
      </w:tr>
      <w:tr>
        <w:trPr>
          <w:trHeight w:val="227" w:hRule="auto"/>
          <w:jc w:val="center"/>
        </w:trPr>
        <w:tc>
          <w:tcPr>
            <w:tcW w:w="3058" w:type="dxa"/>
            <w:tcBorders>
              <w:top w:val="single" w:color="000000" w:sz="6"/>
              <w:left w:val="single" w:color="000000" w:sz="6"/>
              <w:bottom w:val="single" w:color="000000" w:sz="6"/>
              <w:right w:val="single" w:color="000000" w:sz="6"/>
            </w:tcBorders>
            <w:shd w:color="auto" w:fill="bdd6ee"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EURO 3</w:t>
            </w:r>
          </w:p>
        </w:tc>
        <w:tc>
          <w:tcPr>
            <w:tcW w:w="2308" w:type="dxa"/>
            <w:tcBorders>
              <w:top w:val="single" w:color="000000" w:sz="6"/>
              <w:left w:val="single" w:color="000000" w:sz="6"/>
              <w:bottom w:val="single" w:color="000000" w:sz="6"/>
              <w:right w:val="single" w:color="000000" w:sz="6"/>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1.034</w:t>
            </w:r>
          </w:p>
        </w:tc>
        <w:tc>
          <w:tcPr>
            <w:tcW w:w="2615" w:type="dxa"/>
            <w:tcBorders>
              <w:top w:val="single" w:color="000000" w:sz="6"/>
              <w:left w:val="single" w:color="000000" w:sz="6"/>
              <w:bottom w:val="single" w:color="000000" w:sz="6"/>
              <w:right w:val="single" w:color="000000" w:sz="6"/>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30,73%</w:t>
            </w:r>
          </w:p>
        </w:tc>
      </w:tr>
      <w:tr>
        <w:trPr>
          <w:trHeight w:val="227" w:hRule="auto"/>
          <w:jc w:val="center"/>
        </w:trPr>
        <w:tc>
          <w:tcPr>
            <w:tcW w:w="3058" w:type="dxa"/>
            <w:tcBorders>
              <w:top w:val="single" w:color="000000" w:sz="6"/>
              <w:left w:val="single" w:color="000000" w:sz="6"/>
              <w:bottom w:val="single" w:color="000000" w:sz="6"/>
              <w:right w:val="single" w:color="000000" w:sz="6"/>
            </w:tcBorders>
            <w:shd w:color="auto" w:fill="bdd6ee"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EURO 4</w:t>
            </w:r>
          </w:p>
        </w:tc>
        <w:tc>
          <w:tcPr>
            <w:tcW w:w="2308" w:type="dxa"/>
            <w:tcBorders>
              <w:top w:val="single" w:color="000000" w:sz="6"/>
              <w:left w:val="single" w:color="000000" w:sz="6"/>
              <w:bottom w:val="single" w:color="000000" w:sz="6"/>
              <w:right w:val="single" w:color="000000" w:sz="6"/>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991</w:t>
            </w:r>
          </w:p>
        </w:tc>
        <w:tc>
          <w:tcPr>
            <w:tcW w:w="2615" w:type="dxa"/>
            <w:tcBorders>
              <w:top w:val="single" w:color="000000" w:sz="6"/>
              <w:left w:val="single" w:color="000000" w:sz="6"/>
              <w:bottom w:val="single" w:color="000000" w:sz="6"/>
              <w:right w:val="single" w:color="000000" w:sz="6"/>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29,45%</w:t>
            </w:r>
          </w:p>
        </w:tc>
      </w:tr>
      <w:tr>
        <w:trPr>
          <w:trHeight w:val="227" w:hRule="auto"/>
          <w:jc w:val="center"/>
        </w:trPr>
        <w:tc>
          <w:tcPr>
            <w:tcW w:w="3058" w:type="dxa"/>
            <w:tcBorders>
              <w:top w:val="single" w:color="000000" w:sz="6"/>
              <w:left w:val="single" w:color="000000" w:sz="6"/>
              <w:bottom w:val="single" w:color="000000" w:sz="6"/>
              <w:right w:val="single" w:color="000000" w:sz="6"/>
            </w:tcBorders>
            <w:shd w:color="auto" w:fill="bdd6ee"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EURO 5</w:t>
            </w:r>
          </w:p>
        </w:tc>
        <w:tc>
          <w:tcPr>
            <w:tcW w:w="2308" w:type="dxa"/>
            <w:tcBorders>
              <w:top w:val="single" w:color="000000" w:sz="6"/>
              <w:left w:val="single" w:color="000000" w:sz="6"/>
              <w:bottom w:val="single" w:color="000000" w:sz="6"/>
              <w:right w:val="single" w:color="000000" w:sz="6"/>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421</w:t>
            </w:r>
          </w:p>
        </w:tc>
        <w:tc>
          <w:tcPr>
            <w:tcW w:w="2615" w:type="dxa"/>
            <w:tcBorders>
              <w:top w:val="single" w:color="000000" w:sz="6"/>
              <w:left w:val="single" w:color="000000" w:sz="6"/>
              <w:bottom w:val="single" w:color="000000" w:sz="6"/>
              <w:right w:val="single" w:color="000000" w:sz="6"/>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12,51%</w:t>
            </w:r>
          </w:p>
        </w:tc>
      </w:tr>
      <w:tr>
        <w:trPr>
          <w:trHeight w:val="227" w:hRule="auto"/>
          <w:jc w:val="center"/>
        </w:trPr>
        <w:tc>
          <w:tcPr>
            <w:tcW w:w="3058" w:type="dxa"/>
            <w:tcBorders>
              <w:top w:val="single" w:color="000000" w:sz="6"/>
              <w:left w:val="single" w:color="000000" w:sz="6"/>
              <w:bottom w:val="single" w:color="000000" w:sz="6"/>
              <w:right w:val="single" w:color="000000" w:sz="6"/>
            </w:tcBorders>
            <w:shd w:color="auto" w:fill="bdd6ee"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EURO 6</w:t>
            </w:r>
          </w:p>
        </w:tc>
        <w:tc>
          <w:tcPr>
            <w:tcW w:w="2308" w:type="dxa"/>
            <w:tcBorders>
              <w:top w:val="single" w:color="000000" w:sz="6"/>
              <w:left w:val="single" w:color="000000" w:sz="6"/>
              <w:bottom w:val="single" w:color="000000" w:sz="6"/>
              <w:right w:val="single" w:color="000000" w:sz="6"/>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139</w:t>
            </w:r>
          </w:p>
        </w:tc>
        <w:tc>
          <w:tcPr>
            <w:tcW w:w="2615" w:type="dxa"/>
            <w:tcBorders>
              <w:top w:val="single" w:color="000000" w:sz="6"/>
              <w:left w:val="single" w:color="000000" w:sz="6"/>
              <w:bottom w:val="single" w:color="000000" w:sz="6"/>
              <w:right w:val="single" w:color="000000" w:sz="6"/>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4,13%</w:t>
            </w:r>
          </w:p>
        </w:tc>
      </w:tr>
      <w:tr>
        <w:trPr>
          <w:trHeight w:val="227" w:hRule="auto"/>
          <w:jc w:val="center"/>
        </w:trPr>
        <w:tc>
          <w:tcPr>
            <w:tcW w:w="3058" w:type="dxa"/>
            <w:tcBorders>
              <w:top w:val="single" w:color="000000" w:sz="6"/>
              <w:left w:val="single" w:color="000000" w:sz="6"/>
              <w:bottom w:val="single" w:color="000000" w:sz="6"/>
              <w:right w:val="single" w:color="000000" w:sz="6"/>
            </w:tcBorders>
            <w:shd w:color="auto" w:fill="bdd6ee"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UKUPNO</w:t>
            </w:r>
          </w:p>
        </w:tc>
        <w:tc>
          <w:tcPr>
            <w:tcW w:w="2308" w:type="dxa"/>
            <w:tcBorders>
              <w:top w:val="single" w:color="000000" w:sz="6"/>
              <w:left w:val="single" w:color="000000" w:sz="6"/>
              <w:bottom w:val="single" w:color="000000" w:sz="6"/>
              <w:right w:val="single" w:color="000000" w:sz="6"/>
            </w:tcBorders>
            <w:shd w:color="auto" w:fill="deeaf6"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3.365</w:t>
            </w:r>
          </w:p>
        </w:tc>
        <w:tc>
          <w:tcPr>
            <w:tcW w:w="2615" w:type="dxa"/>
            <w:tcBorders>
              <w:top w:val="single" w:color="000000" w:sz="6"/>
              <w:left w:val="single" w:color="000000" w:sz="6"/>
              <w:bottom w:val="single" w:color="000000" w:sz="6"/>
              <w:right w:val="single" w:color="000000" w:sz="6"/>
            </w:tcBorders>
            <w:shd w:color="auto" w:fill="deeaf6"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100,00%</w:t>
            </w:r>
          </w:p>
        </w:tc>
      </w:tr>
    </w:tbl>
    <w:p>
      <w:pPr>
        <w:spacing w:before="60" w:after="160" w:line="240"/>
        <w:ind w:right="0" w:left="0" w:firstLine="0"/>
        <w:jc w:val="center"/>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Tabela 542: Broj osobnih i komercijalnih vozila u kontrolnoj godini prema ekološkim kategorijama</w:t>
      </w:r>
    </w:p>
    <w:p>
      <w:pPr>
        <w:spacing w:before="0" w:after="12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Primjetno je da u strukturi vozila najve</w:t>
      </w:r>
      <w:r>
        <w:rPr>
          <w:rFonts w:ascii="Calibri" w:hAnsi="Calibri" w:cs="Calibri" w:eastAsia="Calibri"/>
          <w:color w:val="auto"/>
          <w:spacing w:val="0"/>
          <w:position w:val="0"/>
          <w:sz w:val="20"/>
          <w:shd w:fill="auto" w:val="clear"/>
        </w:rPr>
        <w:t xml:space="preserve">ći broj vozila (preko 60% od ukupnog broja) spada u ekološke kategorije EURO 3 i EURO 4, za razliku od 2010. godine kada je gotovo polovina vozila imala godinu proizvodnje prije uspostavljanja EURO kategorija. Sada ta vozila u ukupnom broju vozila učestvuju sa samo 12,89%. Struktura vozila iz ovog podsektora u kontrolnoj 2020. godini prema eko kategorijama prikazana je na narednom dijagramu.</w:t>
      </w:r>
    </w:p>
    <w:p>
      <w:pPr>
        <w:spacing w:before="0" w:after="0" w:line="240"/>
        <w:ind w:right="0" w:left="0" w:firstLine="0"/>
        <w:jc w:val="center"/>
        <w:rPr>
          <w:rFonts w:ascii="Calibri" w:hAnsi="Calibri" w:cs="Calibri" w:eastAsia="Calibri"/>
          <w:b/>
          <w:color w:val="auto"/>
          <w:spacing w:val="0"/>
          <w:position w:val="0"/>
          <w:sz w:val="18"/>
          <w:shd w:fill="auto" w:val="clear"/>
        </w:rPr>
      </w:pPr>
    </w:p>
    <w:p>
      <w:pPr>
        <w:spacing w:before="60" w:after="160" w:line="240"/>
        <w:ind w:right="0" w:left="0" w:firstLine="0"/>
        <w:jc w:val="center"/>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Dijagram 528: Struktura vozila iz podsektora osobnih i komercijalnih vozila prema eko kategorijama u kontrolnoj godini</w:t>
      </w:r>
    </w:p>
    <w:p>
      <w:pPr>
        <w:spacing w:before="120" w:after="12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0"/>
          <w:shd w:fill="auto" w:val="clear"/>
        </w:rPr>
        <w:t xml:space="preserve">U podsektoru osobnih i komercijalnih vozila u 2020. godini je ukupno utrošeno 26.737,25 MWh, i to 22.072,12 MWh ili 82,55% iz dizel goriva, 4.665,13 MWh ili 17,45% iz benzina, te 419,45 MWh ili 1,57% iz ukapljenog naftnog plina. Sagorijevanjem ovih goriva u atmosferu je oslobo</w:t>
      </w:r>
      <w:r>
        <w:rPr>
          <w:rFonts w:ascii="Calibri" w:hAnsi="Calibri" w:cs="Calibri" w:eastAsia="Calibri"/>
          <w:color w:val="auto"/>
          <w:spacing w:val="0"/>
          <w:position w:val="0"/>
          <w:sz w:val="20"/>
          <w:shd w:fill="auto" w:val="clear"/>
        </w:rPr>
        <w:t xml:space="preserve">đeno 7.054,87 tCO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od čega 5.839,26 t odnosno 83,53% sagorijevanjem dizela, 1.161,62 t odnosno 16,47% sagorijevanjem benzina, i 95,21 t odnosno 1,35% sagorijevanjem ukapljenog naftnog plina. Ovi omjeri su prikazani u narednoj tabeli i </w:t>
      </w:r>
      <w:r>
        <w:rPr>
          <w:rFonts w:ascii="Calibri" w:hAnsi="Calibri" w:cs="Calibri" w:eastAsia="Calibri"/>
          <w:i/>
          <w:color w:val="auto"/>
          <w:spacing w:val="0"/>
          <w:position w:val="0"/>
          <w:sz w:val="20"/>
          <w:shd w:fill="auto" w:val="clear"/>
        </w:rPr>
        <w:t xml:space="preserve">Dijagramima 5-31</w:t>
      </w:r>
      <w:r>
        <w:rPr>
          <w:rFonts w:ascii="Calibri" w:hAnsi="Calibri" w:cs="Calibri" w:eastAsia="Calibri"/>
          <w:color w:val="auto"/>
          <w:spacing w:val="0"/>
          <w:position w:val="0"/>
          <w:sz w:val="20"/>
          <w:shd w:fill="auto" w:val="clear"/>
        </w:rPr>
        <w:t xml:space="preserve"> i </w:t>
      </w:r>
      <w:r>
        <w:rPr>
          <w:rFonts w:ascii="Calibri" w:hAnsi="Calibri" w:cs="Calibri" w:eastAsia="Calibri"/>
          <w:i/>
          <w:color w:val="auto"/>
          <w:spacing w:val="0"/>
          <w:position w:val="0"/>
          <w:sz w:val="20"/>
          <w:shd w:fill="auto" w:val="clear"/>
        </w:rPr>
        <w:t xml:space="preserve">5-32.</w:t>
      </w:r>
    </w:p>
    <w:tbl>
      <w:tblPr/>
      <w:tblGrid>
        <w:gridCol w:w="3208"/>
        <w:gridCol w:w="3207"/>
        <w:gridCol w:w="3205"/>
      </w:tblGrid>
      <w:tr>
        <w:trPr>
          <w:trHeight w:val="312" w:hRule="auto"/>
          <w:jc w:val="left"/>
        </w:trPr>
        <w:tc>
          <w:tcPr>
            <w:tcW w:w="3208" w:type="dxa"/>
            <w:vMerge w:val="restart"/>
            <w:tcBorders>
              <w:top w:val="single" w:color="000000" w:sz="4"/>
              <w:left w:val="single" w:color="000000" w:sz="4"/>
              <w:bottom w:val="single" w:color="000000" w:sz="4"/>
              <w:right w:val="single" w:color="000000" w:sz="4"/>
            </w:tcBorders>
            <w:shd w:color="auto" w:fill="bdd6ee"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VRSTA ENERGENTA</w:t>
            </w:r>
          </w:p>
        </w:tc>
        <w:tc>
          <w:tcPr>
            <w:tcW w:w="6412" w:type="dxa"/>
            <w:gridSpan w:val="2"/>
            <w:tcBorders>
              <w:top w:val="single" w:color="000000" w:sz="4"/>
              <w:left w:val="single" w:color="000000" w:sz="0"/>
              <w:bottom w:val="single" w:color="000000" w:sz="4"/>
              <w:right w:val="single" w:color="000000" w:sz="4"/>
            </w:tcBorders>
            <w:shd w:color="auto" w:fill="bdd6ee"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OSOBNA I KOMERCIJALNA VOZILA</w:t>
            </w:r>
          </w:p>
        </w:tc>
      </w:tr>
      <w:tr>
        <w:trPr>
          <w:trHeight w:val="57" w:hRule="auto"/>
          <w:jc w:val="left"/>
        </w:trPr>
        <w:tc>
          <w:tcPr>
            <w:tcW w:w="3208" w:type="dxa"/>
            <w:vMerge/>
            <w:tcBorders>
              <w:top w:val="single" w:color="000000" w:sz="4"/>
              <w:left w:val="single" w:color="000000" w:sz="4"/>
              <w:bottom w:val="single" w:color="000000" w:sz="4"/>
              <w:right w:val="single" w:color="000000" w:sz="4"/>
            </w:tcBorders>
            <w:shd w:color="auto" w:fill="bdd6ee" w:val="clear"/>
            <w:tcMar>
              <w:left w:w="108" w:type="dxa"/>
              <w:right w:w="108"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3207" w:type="dxa"/>
            <w:vMerge w:val="restart"/>
            <w:tcBorders>
              <w:top w:val="single" w:color="000000" w:sz="0"/>
              <w:left w:val="single" w:color="000000" w:sz="4"/>
              <w:bottom w:val="single" w:color="000000" w:sz="4"/>
              <w:right w:val="single" w:color="000000" w:sz="4"/>
            </w:tcBorders>
            <w:shd w:color="auto" w:fill="bdd6ee"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FINALNA ENERGIJA [MWh]</w:t>
            </w:r>
          </w:p>
        </w:tc>
        <w:tc>
          <w:tcPr>
            <w:tcW w:w="3205" w:type="dxa"/>
            <w:vMerge w:val="restart"/>
            <w:tcBorders>
              <w:top w:val="single" w:color="000000" w:sz="0"/>
              <w:left w:val="single" w:color="000000" w:sz="4"/>
              <w:bottom w:val="single" w:color="000000" w:sz="4"/>
              <w:right w:val="single" w:color="000000" w:sz="4"/>
            </w:tcBorders>
            <w:shd w:color="auto" w:fill="bdd6ee"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EMISIJE [tCO</w:t>
            </w:r>
            <w:r>
              <w:rPr>
                <w:rFonts w:ascii="Calibri" w:hAnsi="Calibri" w:cs="Calibri" w:eastAsia="Calibri"/>
                <w:color w:val="000000"/>
                <w:spacing w:val="0"/>
                <w:position w:val="0"/>
                <w:sz w:val="18"/>
                <w:shd w:fill="auto" w:val="clear"/>
                <w:vertAlign w:val="subscript"/>
              </w:rPr>
              <w:t xml:space="preserve">2</w:t>
            </w:r>
            <w:r>
              <w:rPr>
                <w:rFonts w:ascii="Calibri" w:hAnsi="Calibri" w:cs="Calibri" w:eastAsia="Calibri"/>
                <w:color w:val="000000"/>
                <w:spacing w:val="0"/>
                <w:position w:val="0"/>
                <w:sz w:val="18"/>
                <w:shd w:fill="auto" w:val="clear"/>
              </w:rPr>
              <w:t xml:space="preserve">]</w:t>
            </w:r>
          </w:p>
        </w:tc>
      </w:tr>
      <w:tr>
        <w:trPr>
          <w:trHeight w:val="269" w:hRule="auto"/>
          <w:jc w:val="left"/>
        </w:trPr>
        <w:tc>
          <w:tcPr>
            <w:tcW w:w="3208" w:type="dxa"/>
            <w:vMerge/>
            <w:tcBorders>
              <w:top w:val="single" w:color="000000" w:sz="4"/>
              <w:left w:val="single" w:color="000000" w:sz="4"/>
              <w:bottom w:val="single" w:color="000000" w:sz="4"/>
              <w:right w:val="single" w:color="000000" w:sz="4"/>
            </w:tcBorders>
            <w:shd w:color="auto" w:fill="bdd6ee" w:val="clear"/>
            <w:tcMar>
              <w:left w:w="108" w:type="dxa"/>
              <w:right w:w="108"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3207" w:type="dxa"/>
            <w:vMerge/>
            <w:tcBorders>
              <w:top w:val="single" w:color="000000" w:sz="0"/>
              <w:left w:val="single" w:color="000000" w:sz="4"/>
              <w:bottom w:val="single" w:color="000000" w:sz="4"/>
              <w:right w:val="single" w:color="000000" w:sz="4"/>
            </w:tcBorders>
            <w:shd w:color="auto" w:fill="bdd6ee" w:val="clear"/>
            <w:tcMar>
              <w:left w:w="108" w:type="dxa"/>
              <w:right w:w="108"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3205" w:type="dxa"/>
            <w:vMerge/>
            <w:tcBorders>
              <w:top w:val="single" w:color="000000" w:sz="0"/>
              <w:left w:val="single" w:color="000000" w:sz="4"/>
              <w:bottom w:val="single" w:color="000000" w:sz="4"/>
              <w:right w:val="single" w:color="000000" w:sz="4"/>
            </w:tcBorders>
            <w:shd w:color="auto" w:fill="bdd6ee" w:val="clear"/>
            <w:tcMar>
              <w:left w:w="108" w:type="dxa"/>
              <w:right w:w="108"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r>
      <w:tr>
        <w:trPr>
          <w:trHeight w:val="294" w:hRule="auto"/>
          <w:jc w:val="left"/>
        </w:trPr>
        <w:tc>
          <w:tcPr>
            <w:tcW w:w="3208" w:type="dxa"/>
            <w:tcBorders>
              <w:top w:val="single" w:color="000000" w:sz="0"/>
              <w:left w:val="single" w:color="000000" w:sz="4"/>
              <w:bottom w:val="single" w:color="000000" w:sz="4"/>
              <w:right w:val="single" w:color="000000" w:sz="4"/>
            </w:tcBorders>
            <w:shd w:color="auto" w:fill="bdd6ee"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DIZEL</w:t>
            </w:r>
          </w:p>
        </w:tc>
        <w:tc>
          <w:tcPr>
            <w:tcW w:w="3207" w:type="dxa"/>
            <w:tcBorders>
              <w:top w:val="single" w:color="000000" w:sz="0"/>
              <w:left w:val="single" w:color="000000" w:sz="0"/>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22.072,12</w:t>
            </w:r>
          </w:p>
        </w:tc>
        <w:tc>
          <w:tcPr>
            <w:tcW w:w="3205" w:type="dxa"/>
            <w:tcBorders>
              <w:top w:val="single" w:color="000000" w:sz="0"/>
              <w:left w:val="single" w:color="000000" w:sz="0"/>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5.893,26</w:t>
            </w:r>
          </w:p>
        </w:tc>
      </w:tr>
      <w:tr>
        <w:trPr>
          <w:trHeight w:val="294" w:hRule="auto"/>
          <w:jc w:val="left"/>
        </w:trPr>
        <w:tc>
          <w:tcPr>
            <w:tcW w:w="3208" w:type="dxa"/>
            <w:tcBorders>
              <w:top w:val="single" w:color="000000" w:sz="0"/>
              <w:left w:val="single" w:color="000000" w:sz="4"/>
              <w:bottom w:val="single" w:color="000000" w:sz="4"/>
              <w:right w:val="single" w:color="000000" w:sz="4"/>
            </w:tcBorders>
            <w:shd w:color="auto" w:fill="bdd6ee"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BENZIN</w:t>
            </w:r>
          </w:p>
        </w:tc>
        <w:tc>
          <w:tcPr>
            <w:tcW w:w="3207" w:type="dxa"/>
            <w:tcBorders>
              <w:top w:val="single" w:color="000000" w:sz="0"/>
              <w:left w:val="single" w:color="000000" w:sz="0"/>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4.665,13</w:t>
            </w:r>
          </w:p>
        </w:tc>
        <w:tc>
          <w:tcPr>
            <w:tcW w:w="3205" w:type="dxa"/>
            <w:tcBorders>
              <w:top w:val="single" w:color="000000" w:sz="0"/>
              <w:left w:val="single" w:color="000000" w:sz="0"/>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1.161,62</w:t>
            </w:r>
          </w:p>
        </w:tc>
      </w:tr>
      <w:tr>
        <w:trPr>
          <w:trHeight w:val="294" w:hRule="auto"/>
          <w:jc w:val="left"/>
        </w:trPr>
        <w:tc>
          <w:tcPr>
            <w:tcW w:w="3208" w:type="dxa"/>
            <w:tcBorders>
              <w:top w:val="single" w:color="000000" w:sz="0"/>
              <w:left w:val="single" w:color="000000" w:sz="4"/>
              <w:bottom w:val="single" w:color="000000" w:sz="4"/>
              <w:right w:val="single" w:color="000000" w:sz="4"/>
            </w:tcBorders>
            <w:shd w:color="auto" w:fill="bdd6ee"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UKAPLJENI NAFTNI PLIN</w:t>
            </w:r>
          </w:p>
        </w:tc>
        <w:tc>
          <w:tcPr>
            <w:tcW w:w="3207" w:type="dxa"/>
            <w:tcBorders>
              <w:top w:val="single" w:color="000000" w:sz="0"/>
              <w:left w:val="single" w:color="000000" w:sz="0"/>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419,45</w:t>
            </w:r>
          </w:p>
        </w:tc>
        <w:tc>
          <w:tcPr>
            <w:tcW w:w="3205" w:type="dxa"/>
            <w:tcBorders>
              <w:top w:val="single" w:color="000000" w:sz="0"/>
              <w:left w:val="single" w:color="000000" w:sz="0"/>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95,21</w:t>
            </w:r>
          </w:p>
        </w:tc>
      </w:tr>
      <w:tr>
        <w:trPr>
          <w:trHeight w:val="294" w:hRule="auto"/>
          <w:jc w:val="left"/>
        </w:trPr>
        <w:tc>
          <w:tcPr>
            <w:tcW w:w="3208" w:type="dxa"/>
            <w:tcBorders>
              <w:top w:val="single" w:color="000000" w:sz="0"/>
              <w:left w:val="single" w:color="000000" w:sz="4"/>
              <w:bottom w:val="single" w:color="000000" w:sz="4"/>
              <w:right w:val="single" w:color="000000" w:sz="4"/>
            </w:tcBorders>
            <w:shd w:color="auto" w:fill="bdd6ee"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UKUPNO</w:t>
            </w:r>
          </w:p>
        </w:tc>
        <w:tc>
          <w:tcPr>
            <w:tcW w:w="3207" w:type="dxa"/>
            <w:tcBorders>
              <w:top w:val="single" w:color="000000" w:sz="0"/>
              <w:left w:val="single" w:color="000000" w:sz="0"/>
              <w:bottom w:val="single" w:color="000000" w:sz="4"/>
              <w:right w:val="single" w:color="000000" w:sz="4"/>
            </w:tcBorders>
            <w:shd w:color="auto" w:fill="deeaf6"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26.737,25</w:t>
            </w:r>
          </w:p>
        </w:tc>
        <w:tc>
          <w:tcPr>
            <w:tcW w:w="3205" w:type="dxa"/>
            <w:tcBorders>
              <w:top w:val="single" w:color="000000" w:sz="0"/>
              <w:left w:val="single" w:color="000000" w:sz="0"/>
              <w:bottom w:val="single" w:color="000000" w:sz="4"/>
              <w:right w:val="single" w:color="000000" w:sz="4"/>
            </w:tcBorders>
            <w:shd w:color="auto" w:fill="deeaf6"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7.054,87</w:t>
            </w:r>
          </w:p>
        </w:tc>
      </w:tr>
    </w:tbl>
    <w:p>
      <w:pPr>
        <w:keepNext w:val="true"/>
        <w:spacing w:before="60" w:after="200" w:line="240"/>
        <w:ind w:right="0" w:left="0" w:firstLine="0"/>
        <w:jc w:val="center"/>
        <w:rPr>
          <w:rFonts w:ascii="Calibri" w:hAnsi="Calibri" w:cs="Calibri" w:eastAsia="Calibri"/>
          <w:i/>
          <w:color w:val="auto"/>
          <w:spacing w:val="0"/>
          <w:position w:val="0"/>
          <w:sz w:val="18"/>
          <w:shd w:fill="auto" w:val="clear"/>
        </w:rPr>
      </w:pPr>
      <w:r>
        <w:rPr>
          <w:rFonts w:ascii="Calibri" w:hAnsi="Calibri" w:cs="Calibri" w:eastAsia="Calibri"/>
          <w:i/>
          <w:color w:val="auto"/>
          <w:spacing w:val="0"/>
          <w:position w:val="0"/>
          <w:sz w:val="18"/>
          <w:shd w:fill="auto" w:val="clear"/>
        </w:rPr>
        <w:t xml:space="preserve">Tabela 543: Potrošnja energije i emisije CO</w:t>
      </w:r>
      <w:r>
        <w:rPr>
          <w:rFonts w:ascii="Calibri" w:hAnsi="Calibri" w:cs="Calibri" w:eastAsia="Calibri"/>
          <w:i/>
          <w:color w:val="auto"/>
          <w:spacing w:val="0"/>
          <w:position w:val="0"/>
          <w:sz w:val="18"/>
          <w:shd w:fill="auto" w:val="clear"/>
          <w:vertAlign w:val="subscript"/>
        </w:rPr>
        <w:t xml:space="preserve">2</w:t>
      </w:r>
      <w:r>
        <w:rPr>
          <w:rFonts w:ascii="Calibri" w:hAnsi="Calibri" w:cs="Calibri" w:eastAsia="Calibri"/>
          <w:i/>
          <w:color w:val="auto"/>
          <w:spacing w:val="0"/>
          <w:position w:val="0"/>
          <w:sz w:val="18"/>
          <w:shd w:fill="auto" w:val="clear"/>
        </w:rPr>
        <w:t xml:space="preserve"> prema pojedinim gorivima za osobna i komercijalna vozila u kontrolnoj 2020. godini</w:t>
      </w:r>
    </w:p>
    <w:p>
      <w:pPr>
        <w:spacing w:before="0" w:after="200" w:line="276"/>
        <w:ind w:right="0" w:left="0" w:firstLine="0"/>
        <w:jc w:val="both"/>
        <w:rPr>
          <w:rFonts w:ascii="Calibri" w:hAnsi="Calibri" w:cs="Calibri" w:eastAsia="Calibri"/>
          <w:color w:val="auto"/>
          <w:spacing w:val="0"/>
          <w:position w:val="0"/>
          <w:sz w:val="22"/>
          <w:shd w:fill="auto" w:val="clear"/>
        </w:rPr>
      </w:pPr>
    </w:p>
    <w:tbl>
      <w:tblPr/>
      <w:tblGrid>
        <w:gridCol w:w="4873"/>
        <w:gridCol w:w="4416"/>
      </w:tblGrid>
      <w:tr>
        <w:trPr>
          <w:trHeight w:val="1" w:hRule="atLeast"/>
          <w:jc w:val="center"/>
        </w:trPr>
        <w:tc>
          <w:tcPr>
            <w:tcW w:w="4873"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p>
            <w:pPr>
              <w:spacing w:before="60" w:after="16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Dijagram 529: Potrošnja energije prema energentima za osobna i komercijalna vozila u kontrolnoj godini</w:t>
            </w:r>
          </w:p>
        </w:tc>
        <w:tc>
          <w:tcPr>
            <w:tcW w:w="4416"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p>
            <w:pPr>
              <w:spacing w:before="60" w:after="16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Dijagram 530: Udio energenata u emisijama CO</w:t>
            </w:r>
            <w:r>
              <w:rPr>
                <w:rFonts w:ascii="Calibri" w:hAnsi="Calibri" w:cs="Calibri" w:eastAsia="Calibri"/>
                <w:color w:val="auto"/>
                <w:spacing w:val="0"/>
                <w:position w:val="0"/>
                <w:sz w:val="18"/>
                <w:shd w:fill="auto" w:val="clear"/>
                <w:vertAlign w:val="subscript"/>
              </w:rPr>
              <w:t xml:space="preserve">2</w:t>
            </w:r>
            <w:r>
              <w:rPr>
                <w:rFonts w:ascii="Calibri" w:hAnsi="Calibri" w:cs="Calibri" w:eastAsia="Calibri"/>
                <w:color w:val="auto"/>
                <w:spacing w:val="0"/>
                <w:position w:val="0"/>
                <w:sz w:val="18"/>
                <w:shd w:fill="auto" w:val="clear"/>
              </w:rPr>
              <w:t xml:space="preserve"> iz podsektora osobnih i komercijalnih vozila u kontrolnoj godini</w:t>
            </w:r>
          </w:p>
        </w:tc>
      </w:tr>
    </w:tbl>
    <w:p>
      <w:pPr>
        <w:keepNext w:val="true"/>
        <w:keepLines w:val="true"/>
        <w:numPr>
          <w:ilvl w:val="0"/>
          <w:numId w:val="1901"/>
        </w:numPr>
        <w:spacing w:before="120" w:after="0" w:line="240"/>
        <w:ind w:right="0" w:left="720" w:hanging="72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Emisije CO</w:t>
      </w:r>
      <w:r>
        <w:rPr>
          <w:rFonts w:ascii="Calibri" w:hAnsi="Calibri" w:cs="Calibri" w:eastAsia="Calibri"/>
          <w:b/>
          <w:color w:val="auto"/>
          <w:spacing w:val="0"/>
          <w:position w:val="0"/>
          <w:sz w:val="24"/>
          <w:shd w:fill="auto" w:val="clear"/>
          <w:vertAlign w:val="subscript"/>
        </w:rPr>
        <w:t xml:space="preserve">2</w:t>
      </w:r>
      <w:r>
        <w:rPr>
          <w:rFonts w:ascii="Calibri" w:hAnsi="Calibri" w:cs="Calibri" w:eastAsia="Calibri"/>
          <w:b/>
          <w:color w:val="auto"/>
          <w:spacing w:val="0"/>
          <w:position w:val="0"/>
          <w:sz w:val="24"/>
          <w:shd w:fill="auto" w:val="clear"/>
        </w:rPr>
        <w:t xml:space="preserve"> u kontrolnoj godini iz sektora javne rasvjete</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Mreža javne rasvjete u op</w:t>
      </w:r>
      <w:r>
        <w:rPr>
          <w:rFonts w:ascii="Calibri" w:hAnsi="Calibri" w:cs="Calibri" w:eastAsia="Calibri"/>
          <w:color w:val="auto"/>
          <w:spacing w:val="0"/>
          <w:position w:val="0"/>
          <w:sz w:val="20"/>
          <w:shd w:fill="auto" w:val="clear"/>
        </w:rPr>
        <w:t xml:space="preserve">ćini Doboj Istok se u kontrolnoj godini napaja putem 25 priključnih tačaka u kojima se i vrši mjerenje potrošnje električne energije za ukupno 1.300 rasvjetnih tijela. Pokrivenost teritorije općine je 90 % za urbane gradske zone, dok u ruralnim zonama stepen pokrivenosti teritorije iznosi 70 %. Prosječno dnevno vrijeme rada rasvjete tokom godine je 9,5 h/dan. Ukupna izmjerena godišnja potrošnja na nivou sistema (uključujući i efekte godišnjih ušteda ostvarenih u prethodnom periodu) iznosi 629,50 MWh. U odnosu na strukturu vrsta izvora svjetlosti, dominantno su zastupljeni izvori svjetlosti na izboj (živini, natrijevi, metal-halogeni) sa 88% od ukupnog broja dok je učešće nešto efikasnijih fluokompakt izvora 10%, a visokoefikasnih LED izvora svjetlosti tek 2%. </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Prora</w:t>
      </w:r>
      <w:r>
        <w:rPr>
          <w:rFonts w:ascii="Calibri" w:hAnsi="Calibri" w:cs="Calibri" w:eastAsia="Calibri"/>
          <w:color w:val="auto"/>
          <w:spacing w:val="0"/>
          <w:position w:val="0"/>
          <w:sz w:val="20"/>
          <w:shd w:fill="auto" w:val="clear"/>
        </w:rPr>
        <w:t xml:space="preserve">čunom kontrolnog inventara emisija CO</w:t>
      </w:r>
      <w:r>
        <w:rPr>
          <w:rFonts w:ascii="Calibri" w:hAnsi="Calibri" w:cs="Calibri" w:eastAsia="Calibri"/>
          <w:color w:val="auto"/>
          <w:spacing w:val="0"/>
          <w:position w:val="0"/>
          <w:sz w:val="20"/>
          <w:shd w:fill="auto" w:val="clear"/>
          <w:vertAlign w:val="subscript"/>
        </w:rPr>
        <w:t xml:space="preserve">2 </w:t>
      </w:r>
      <w:r>
        <w:rPr>
          <w:rFonts w:ascii="Calibri" w:hAnsi="Calibri" w:cs="Calibri" w:eastAsia="Calibri"/>
          <w:color w:val="auto"/>
          <w:spacing w:val="0"/>
          <w:position w:val="0"/>
          <w:sz w:val="20"/>
          <w:shd w:fill="auto" w:val="clear"/>
        </w:rPr>
        <w:t xml:space="preserve">obuhvaćena su sva rasvjetna tijela u okviru sistema javne rasvjete u 2020. godini. Emisije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iz sektora javne rasvjete za 2020. godinu odnose se na indirektne emisije nastale zbog potrošnje električne energije, dok direktne emisije nastale izgaranjem goriva (plin, ostalo) ne postoje. U obzir su uzete i ostvarene godišnje uštede utrošene električne energije u visini od 24,93 MWh, koje su rezultat zamjene ukupno  125 živinih izvora svjetla snage 250 W sa visokoefikasnim LED svjetiljkama snage 80 W tokom 2016. godine.</w:t>
      </w:r>
    </w:p>
    <w:p>
      <w:pPr>
        <w:spacing w:before="60" w:after="12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Pregled ukupne koli</w:t>
      </w:r>
      <w:r>
        <w:rPr>
          <w:rFonts w:ascii="Calibri" w:hAnsi="Calibri" w:cs="Calibri" w:eastAsia="Calibri"/>
          <w:color w:val="auto"/>
          <w:spacing w:val="0"/>
          <w:position w:val="0"/>
          <w:sz w:val="20"/>
          <w:shd w:fill="auto" w:val="clear"/>
        </w:rPr>
        <w:t xml:space="preserve">čine električne energije utrošene u kontrolnoj godini u ovom sektoru, te pripadajuće emisije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dat je u narednoj tabeli.</w:t>
      </w:r>
    </w:p>
    <w:tbl>
      <w:tblPr/>
      <w:tblGrid>
        <w:gridCol w:w="2118"/>
        <w:gridCol w:w="2367"/>
        <w:gridCol w:w="2364"/>
      </w:tblGrid>
      <w:tr>
        <w:trPr>
          <w:trHeight w:val="483" w:hRule="auto"/>
          <w:jc w:val="center"/>
        </w:trPr>
        <w:tc>
          <w:tcPr>
            <w:tcW w:w="2118" w:type="dxa"/>
            <w:tcBorders>
              <w:top w:val="single" w:color="000000" w:sz="4"/>
              <w:left w:val="single" w:color="000000" w:sz="4"/>
              <w:bottom w:val="single" w:color="000000" w:sz="4"/>
              <w:right w:val="single" w:color="000000" w:sz="4"/>
            </w:tcBorders>
            <w:shd w:color="auto" w:fill="bdd6ee" w:val="clear"/>
            <w:tcMar>
              <w:left w:w="108" w:type="dxa"/>
              <w:right w:w="108" w:type="dxa"/>
            </w:tcMar>
            <w:vAlign w:val="center"/>
          </w:tcPr>
          <w:p>
            <w:pPr>
              <w:spacing w:before="0" w:after="0" w:line="276"/>
              <w:ind w:right="0" w:left="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ENERGENT</w:t>
            </w:r>
          </w:p>
        </w:tc>
        <w:tc>
          <w:tcPr>
            <w:tcW w:w="2367" w:type="dxa"/>
            <w:tcBorders>
              <w:top w:val="single" w:color="000000" w:sz="4"/>
              <w:left w:val="single" w:color="000000" w:sz="4"/>
              <w:bottom w:val="single" w:color="000000" w:sz="4"/>
              <w:right w:val="single" w:color="000000" w:sz="4"/>
            </w:tcBorders>
            <w:shd w:color="auto" w:fill="bdd6ee" w:val="clear"/>
            <w:tcMar>
              <w:left w:w="108" w:type="dxa"/>
              <w:right w:w="108" w:type="dxa"/>
            </w:tcMar>
            <w:vAlign w:val="center"/>
          </w:tcPr>
          <w:p>
            <w:pPr>
              <w:spacing w:before="0" w:after="0" w:line="276"/>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FINALNA ENERGIJA [MWh]</w:t>
            </w:r>
          </w:p>
        </w:tc>
        <w:tc>
          <w:tcPr>
            <w:tcW w:w="2364" w:type="dxa"/>
            <w:tcBorders>
              <w:top w:val="single" w:color="000000" w:sz="4"/>
              <w:left w:val="single" w:color="000000" w:sz="4"/>
              <w:bottom w:val="single" w:color="000000" w:sz="4"/>
              <w:right w:val="single" w:color="000000" w:sz="4"/>
            </w:tcBorders>
            <w:shd w:color="auto" w:fill="bdd6ee" w:val="clear"/>
            <w:tcMar>
              <w:left w:w="108" w:type="dxa"/>
              <w:right w:w="108" w:type="dxa"/>
            </w:tcMar>
            <w:vAlign w:val="center"/>
          </w:tcPr>
          <w:p>
            <w:pPr>
              <w:spacing w:before="0" w:after="0" w:line="276"/>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EMISIJE [tCO</w:t>
            </w:r>
            <w:r>
              <w:rPr>
                <w:rFonts w:ascii="Calibri" w:hAnsi="Calibri" w:cs="Calibri" w:eastAsia="Calibri"/>
                <w:color w:val="auto"/>
                <w:spacing w:val="0"/>
                <w:position w:val="0"/>
                <w:sz w:val="18"/>
                <w:shd w:fill="auto" w:val="clear"/>
                <w:vertAlign w:val="subscript"/>
              </w:rPr>
              <w:t xml:space="preserve">2</w:t>
            </w:r>
            <w:r>
              <w:rPr>
                <w:rFonts w:ascii="Calibri" w:hAnsi="Calibri" w:cs="Calibri" w:eastAsia="Calibri"/>
                <w:color w:val="auto"/>
                <w:spacing w:val="0"/>
                <w:position w:val="0"/>
                <w:sz w:val="18"/>
                <w:shd w:fill="auto" w:val="clear"/>
              </w:rPr>
              <w:t xml:space="preserve">]</w:t>
            </w:r>
          </w:p>
        </w:tc>
      </w:tr>
      <w:tr>
        <w:trPr>
          <w:trHeight w:val="235" w:hRule="auto"/>
          <w:jc w:val="center"/>
        </w:trPr>
        <w:tc>
          <w:tcPr>
            <w:tcW w:w="2118" w:type="dxa"/>
            <w:tcBorders>
              <w:top w:val="single" w:color="000000" w:sz="4"/>
              <w:left w:val="single" w:color="000000" w:sz="4"/>
              <w:bottom w:val="single" w:color="000000" w:sz="4"/>
              <w:right w:val="single" w:color="000000" w:sz="4"/>
            </w:tcBorders>
            <w:shd w:color="auto" w:fill="bdd6ee" w:val="clear"/>
            <w:tcMar>
              <w:left w:w="108" w:type="dxa"/>
              <w:right w:w="108" w:type="dxa"/>
            </w:tcMar>
            <w:vAlign w:val="center"/>
          </w:tcPr>
          <w:p>
            <w:pPr>
              <w:spacing w:before="0" w:after="0" w:line="276"/>
              <w:ind w:right="0" w:left="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ELEKTRI</w:t>
            </w:r>
            <w:r>
              <w:rPr>
                <w:rFonts w:ascii="Calibri" w:hAnsi="Calibri" w:cs="Calibri" w:eastAsia="Calibri"/>
                <w:color w:val="auto"/>
                <w:spacing w:val="0"/>
                <w:position w:val="0"/>
                <w:sz w:val="18"/>
                <w:shd w:fill="auto" w:val="clear"/>
              </w:rPr>
              <w:t xml:space="preserve">ČNA ENERGIJA</w:t>
            </w:r>
          </w:p>
        </w:tc>
        <w:tc>
          <w:tcPr>
            <w:tcW w:w="23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76"/>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629,50</w:t>
            </w:r>
          </w:p>
        </w:tc>
        <w:tc>
          <w:tcPr>
            <w:tcW w:w="23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76"/>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478,42</w:t>
            </w:r>
          </w:p>
        </w:tc>
      </w:tr>
      <w:tr>
        <w:trPr>
          <w:trHeight w:val="235" w:hRule="auto"/>
          <w:jc w:val="center"/>
        </w:trPr>
        <w:tc>
          <w:tcPr>
            <w:tcW w:w="2118" w:type="dxa"/>
            <w:tcBorders>
              <w:top w:val="single" w:color="000000" w:sz="4"/>
              <w:left w:val="single" w:color="000000" w:sz="4"/>
              <w:bottom w:val="single" w:color="000000" w:sz="4"/>
              <w:right w:val="single" w:color="000000" w:sz="4"/>
            </w:tcBorders>
            <w:shd w:color="auto" w:fill="bdd6ee" w:val="clear"/>
            <w:tcMar>
              <w:left w:w="108" w:type="dxa"/>
              <w:right w:w="108" w:type="dxa"/>
            </w:tcMar>
            <w:vAlign w:val="center"/>
          </w:tcPr>
          <w:p>
            <w:pPr>
              <w:spacing w:before="0" w:after="0" w:line="276"/>
              <w:ind w:right="0" w:left="0" w:firstLine="0"/>
              <w:jc w:val="righ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UKUPNO</w:t>
            </w:r>
          </w:p>
        </w:tc>
        <w:tc>
          <w:tcPr>
            <w:tcW w:w="2367" w:type="dxa"/>
            <w:tcBorders>
              <w:top w:val="single" w:color="000000" w:sz="4"/>
              <w:left w:val="single" w:color="000000" w:sz="4"/>
              <w:bottom w:val="single" w:color="000000" w:sz="4"/>
              <w:right w:val="single" w:color="000000" w:sz="4"/>
            </w:tcBorders>
            <w:shd w:color="auto" w:fill="deeaf6" w:val="clear"/>
            <w:tcMar>
              <w:left w:w="108" w:type="dxa"/>
              <w:right w:w="108" w:type="dxa"/>
            </w:tcMar>
            <w:vAlign w:val="center"/>
          </w:tcPr>
          <w:p>
            <w:pPr>
              <w:spacing w:before="0" w:after="0" w:line="276"/>
              <w:ind w:right="0" w:left="0" w:firstLine="0"/>
              <w:jc w:val="center"/>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629,50</w:t>
            </w:r>
          </w:p>
        </w:tc>
        <w:tc>
          <w:tcPr>
            <w:tcW w:w="2364" w:type="dxa"/>
            <w:tcBorders>
              <w:top w:val="single" w:color="000000" w:sz="4"/>
              <w:left w:val="single" w:color="000000" w:sz="4"/>
              <w:bottom w:val="single" w:color="000000" w:sz="4"/>
              <w:right w:val="single" w:color="000000" w:sz="4"/>
            </w:tcBorders>
            <w:shd w:color="auto" w:fill="deeaf6" w:val="clear"/>
            <w:tcMar>
              <w:left w:w="108" w:type="dxa"/>
              <w:right w:w="108" w:type="dxa"/>
            </w:tcMar>
            <w:vAlign w:val="center"/>
          </w:tcPr>
          <w:p>
            <w:pPr>
              <w:spacing w:before="0" w:after="0" w:line="276"/>
              <w:ind w:right="0" w:left="0" w:firstLine="0"/>
              <w:jc w:val="center"/>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478,42</w:t>
            </w:r>
          </w:p>
        </w:tc>
      </w:tr>
    </w:tbl>
    <w:p>
      <w:pPr>
        <w:spacing w:before="60" w:after="160" w:line="240"/>
        <w:ind w:right="0" w:left="0" w:firstLine="0"/>
        <w:jc w:val="center"/>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Tabela 544 : Ukupna godišnja potrošnja energije i emisije CO</w:t>
      </w:r>
      <w:r>
        <w:rPr>
          <w:rFonts w:ascii="Calibri" w:hAnsi="Calibri" w:cs="Calibri" w:eastAsia="Calibri"/>
          <w:color w:val="auto"/>
          <w:spacing w:val="0"/>
          <w:position w:val="0"/>
          <w:sz w:val="18"/>
          <w:shd w:fill="auto" w:val="clear"/>
          <w:vertAlign w:val="subscript"/>
        </w:rPr>
        <w:t xml:space="preserve">2</w:t>
      </w:r>
      <w:r>
        <w:rPr>
          <w:rFonts w:ascii="Calibri" w:hAnsi="Calibri" w:cs="Calibri" w:eastAsia="Calibri"/>
          <w:color w:val="auto"/>
          <w:spacing w:val="0"/>
          <w:position w:val="0"/>
          <w:sz w:val="18"/>
          <w:shd w:fill="auto" w:val="clear"/>
        </w:rPr>
        <w:t xml:space="preserve">  za sektor javne rasvjete u kontrolnoj 2020. godini</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Ukupna izmjerena godišnja potrošnja na nivou sistema (uklju</w:t>
      </w:r>
      <w:r>
        <w:rPr>
          <w:rFonts w:ascii="Calibri" w:hAnsi="Calibri" w:cs="Calibri" w:eastAsia="Calibri"/>
          <w:color w:val="auto"/>
          <w:spacing w:val="0"/>
          <w:position w:val="0"/>
          <w:sz w:val="20"/>
          <w:shd w:fill="auto" w:val="clear"/>
        </w:rPr>
        <w:t xml:space="preserve">čujući i efekte godišnjih ušteda ostvarenih do 2020. godine) iznosi 629,50 MWh. Specifična godišnja potrošnja električne energije po jednoj svjetiljci iznosi 484,3 kWh, a specifične godišnje emisije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iznose 0,37 tCO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w:t>
      </w:r>
    </w:p>
    <w:p>
      <w:pPr>
        <w:keepNext w:val="true"/>
        <w:keepLines w:val="true"/>
        <w:numPr>
          <w:ilvl w:val="0"/>
          <w:numId w:val="1918"/>
        </w:numPr>
        <w:spacing w:before="240" w:after="0" w:line="276"/>
        <w:ind w:right="0" w:left="720" w:hanging="72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Emisije CO</w:t>
      </w:r>
      <w:r>
        <w:rPr>
          <w:rFonts w:ascii="Calibri" w:hAnsi="Calibri" w:cs="Calibri" w:eastAsia="Calibri"/>
          <w:b/>
          <w:color w:val="auto"/>
          <w:spacing w:val="0"/>
          <w:position w:val="0"/>
          <w:sz w:val="24"/>
          <w:shd w:fill="auto" w:val="clear"/>
          <w:vertAlign w:val="subscript"/>
        </w:rPr>
        <w:t xml:space="preserve">2</w:t>
      </w:r>
      <w:r>
        <w:rPr>
          <w:rFonts w:ascii="Calibri" w:hAnsi="Calibri" w:cs="Calibri" w:eastAsia="Calibri"/>
          <w:b/>
          <w:color w:val="auto"/>
          <w:spacing w:val="0"/>
          <w:position w:val="0"/>
          <w:sz w:val="24"/>
          <w:shd w:fill="auto" w:val="clear"/>
        </w:rPr>
        <w:t xml:space="preserve"> u kontrolnoj godini iz sektora vodosnabdijevanja</w:t>
      </w:r>
    </w:p>
    <w:p>
      <w:pPr>
        <w:spacing w:before="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Op</w:t>
      </w:r>
      <w:r>
        <w:rPr>
          <w:rFonts w:ascii="Calibri" w:hAnsi="Calibri" w:cs="Calibri" w:eastAsia="Calibri"/>
          <w:color w:val="auto"/>
          <w:spacing w:val="0"/>
          <w:position w:val="0"/>
          <w:sz w:val="20"/>
          <w:shd w:fill="auto" w:val="clear"/>
        </w:rPr>
        <w:t xml:space="preserve">ćina Doboj Istok nema jedinstven sistem javnog vodosnabdijevanja za cijelu teritoriju, nego se 2.644 domaćinstava i 106 privrednih subjekata pitkom vodom snabdijeva putem 4 zasebno odvojena sistema vodosnabdijevanja kojima upravlja JKP „Čisto“ Doboj Istok. Svaki od pomenutih sistema se napaja iz vlastitog izvorišta, a  osim izvorišta pomenuti sistemi u svom sastavu imaju i razgranatu mrežu potisnih i gravitacionih cjevovoda, 8 pumpnih i prepumpnih stanica te 14 rezervoara. Ukupna dužina primarne mreže sva četiri sistema u kontrolnoj godini je 13,29 km,  dok je ukupna dužina sekundarne mreže 60,28 km. Ukupna količina zahvaćene vode u kontrolnoj godini je 408.442 m</w:t>
      </w:r>
      <w:r>
        <w:rPr>
          <w:rFonts w:ascii="Calibri" w:hAnsi="Calibri" w:cs="Calibri" w:eastAsia="Calibri"/>
          <w:color w:val="auto"/>
          <w:spacing w:val="0"/>
          <w:position w:val="0"/>
          <w:sz w:val="20"/>
          <w:shd w:fill="auto" w:val="clear"/>
          <w:vertAlign w:val="superscript"/>
        </w:rPr>
        <w:t xml:space="preserve">3</w:t>
      </w:r>
      <w:r>
        <w:rPr>
          <w:rFonts w:ascii="Calibri" w:hAnsi="Calibri" w:cs="Calibri" w:eastAsia="Calibri"/>
          <w:color w:val="auto"/>
          <w:spacing w:val="0"/>
          <w:position w:val="0"/>
          <w:sz w:val="20"/>
          <w:shd w:fill="auto" w:val="clear"/>
        </w:rPr>
        <w:t xml:space="preserve">, dok je količina isporučene vode 301.065 m</w:t>
      </w:r>
      <w:r>
        <w:rPr>
          <w:rFonts w:ascii="Calibri" w:hAnsi="Calibri" w:cs="Calibri" w:eastAsia="Calibri"/>
          <w:color w:val="auto"/>
          <w:spacing w:val="0"/>
          <w:position w:val="0"/>
          <w:sz w:val="20"/>
          <w:shd w:fill="auto" w:val="clear"/>
          <w:vertAlign w:val="superscript"/>
        </w:rPr>
        <w:t xml:space="preserve">3</w:t>
      </w:r>
      <w:r>
        <w:rPr>
          <w:rFonts w:ascii="Calibri" w:hAnsi="Calibri" w:cs="Calibri" w:eastAsia="Calibri"/>
          <w:color w:val="auto"/>
          <w:spacing w:val="0"/>
          <w:position w:val="0"/>
          <w:sz w:val="20"/>
          <w:shd w:fill="auto" w:val="clear"/>
        </w:rPr>
        <w:t xml:space="preserve">, tako da gubici u mreži iznose 26,3 %. </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Prora</w:t>
      </w:r>
      <w:r>
        <w:rPr>
          <w:rFonts w:ascii="Calibri" w:hAnsi="Calibri" w:cs="Calibri" w:eastAsia="Calibri"/>
          <w:color w:val="auto"/>
          <w:spacing w:val="0"/>
          <w:position w:val="0"/>
          <w:sz w:val="20"/>
          <w:shd w:fill="auto" w:val="clear"/>
        </w:rPr>
        <w:t xml:space="preserve">čunom kontrolnog inventara emisija CO</w:t>
      </w:r>
      <w:r>
        <w:rPr>
          <w:rFonts w:ascii="Calibri" w:hAnsi="Calibri" w:cs="Calibri" w:eastAsia="Calibri"/>
          <w:color w:val="auto"/>
          <w:spacing w:val="0"/>
          <w:position w:val="0"/>
          <w:sz w:val="20"/>
          <w:shd w:fill="auto" w:val="clear"/>
          <w:vertAlign w:val="subscript"/>
        </w:rPr>
        <w:t xml:space="preserve">2 </w:t>
      </w:r>
      <w:r>
        <w:rPr>
          <w:rFonts w:ascii="Calibri" w:hAnsi="Calibri" w:cs="Calibri" w:eastAsia="Calibri"/>
          <w:color w:val="auto"/>
          <w:spacing w:val="0"/>
          <w:position w:val="0"/>
          <w:sz w:val="20"/>
          <w:shd w:fill="auto" w:val="clear"/>
        </w:rPr>
        <w:t xml:space="preserve">za 2020. godinu obuhvaćene su emisije nastale korištenjem električne energije za rad pumpi u sistemu javnog vodosnabdijevanja koje su u funkciji u kontrolnoj godini, dok pumpe i ostali  elektropotrošači u sistemima odvodnje i tretmana otpadnih voda nisu uzeti u obzir zbog toga što takvi sistemi na teritoriji Općine ne postoje. Prikazane ukupne godišnje emisije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sektora vodosnabdijevanja općine Doboj Istok za 2020. godinu odnose se na indirektne emisije nastale zbog potrošnje električne energije, dok direktne emisije nastale izgaranjem goriva (plin, ostalo) ne postoje.</w:t>
      </w:r>
    </w:p>
    <w:p>
      <w:pPr>
        <w:spacing w:before="60" w:after="12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Pregled ukupne koli</w:t>
      </w:r>
      <w:r>
        <w:rPr>
          <w:rFonts w:ascii="Calibri" w:hAnsi="Calibri" w:cs="Calibri" w:eastAsia="Calibri"/>
          <w:color w:val="auto"/>
          <w:spacing w:val="0"/>
          <w:position w:val="0"/>
          <w:sz w:val="20"/>
          <w:shd w:fill="auto" w:val="clear"/>
        </w:rPr>
        <w:t xml:space="preserve">čine električne energije utrošene u kontrolnoj godini u sektoru vodosnabdijevanja, te pripadajućih emisija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dat je u narednoj tabeli.</w:t>
      </w:r>
    </w:p>
    <w:tbl>
      <w:tblPr/>
      <w:tblGrid>
        <w:gridCol w:w="2084"/>
        <w:gridCol w:w="2394"/>
        <w:gridCol w:w="2293"/>
      </w:tblGrid>
      <w:tr>
        <w:trPr>
          <w:trHeight w:val="284" w:hRule="auto"/>
          <w:jc w:val="center"/>
        </w:trPr>
        <w:tc>
          <w:tcPr>
            <w:tcW w:w="2084" w:type="dxa"/>
            <w:tcBorders>
              <w:top w:val="single" w:color="000000" w:sz="4"/>
              <w:left w:val="single" w:color="000000" w:sz="4"/>
              <w:bottom w:val="single" w:color="000000" w:sz="4"/>
              <w:right w:val="single" w:color="000000" w:sz="4"/>
            </w:tcBorders>
            <w:shd w:color="auto" w:fill="bdd6ee" w:val="clear"/>
            <w:tcMar>
              <w:left w:w="108" w:type="dxa"/>
              <w:right w:w="108" w:type="dxa"/>
            </w:tcMar>
            <w:vAlign w:val="center"/>
          </w:tcPr>
          <w:p>
            <w:pPr>
              <w:spacing w:before="0" w:after="0" w:line="276"/>
              <w:ind w:right="0" w:left="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ENERGENT</w:t>
            </w:r>
          </w:p>
        </w:tc>
        <w:tc>
          <w:tcPr>
            <w:tcW w:w="2394" w:type="dxa"/>
            <w:tcBorders>
              <w:top w:val="single" w:color="000000" w:sz="4"/>
              <w:left w:val="single" w:color="000000" w:sz="4"/>
              <w:bottom w:val="single" w:color="000000" w:sz="4"/>
              <w:right w:val="single" w:color="000000" w:sz="4"/>
            </w:tcBorders>
            <w:shd w:color="auto" w:fill="bdd6ee" w:val="clear"/>
            <w:tcMar>
              <w:left w:w="108" w:type="dxa"/>
              <w:right w:w="108" w:type="dxa"/>
            </w:tcMar>
            <w:vAlign w:val="center"/>
          </w:tcPr>
          <w:p>
            <w:pPr>
              <w:spacing w:before="0" w:after="0" w:line="276"/>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FINALNA ENERGIJA [MWh]</w:t>
            </w:r>
          </w:p>
        </w:tc>
        <w:tc>
          <w:tcPr>
            <w:tcW w:w="2293" w:type="dxa"/>
            <w:tcBorders>
              <w:top w:val="single" w:color="000000" w:sz="4"/>
              <w:left w:val="single" w:color="000000" w:sz="4"/>
              <w:bottom w:val="single" w:color="000000" w:sz="4"/>
              <w:right w:val="single" w:color="000000" w:sz="4"/>
            </w:tcBorders>
            <w:shd w:color="auto" w:fill="bdd6ee" w:val="clear"/>
            <w:tcMar>
              <w:left w:w="108" w:type="dxa"/>
              <w:right w:w="108" w:type="dxa"/>
            </w:tcMar>
            <w:vAlign w:val="center"/>
          </w:tcPr>
          <w:p>
            <w:pPr>
              <w:spacing w:before="0" w:after="0" w:line="276"/>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EMISIJE [tCO</w:t>
            </w:r>
            <w:r>
              <w:rPr>
                <w:rFonts w:ascii="Calibri" w:hAnsi="Calibri" w:cs="Calibri" w:eastAsia="Calibri"/>
                <w:color w:val="auto"/>
                <w:spacing w:val="0"/>
                <w:position w:val="0"/>
                <w:sz w:val="18"/>
                <w:shd w:fill="auto" w:val="clear"/>
                <w:vertAlign w:val="subscript"/>
              </w:rPr>
              <w:t xml:space="preserve">2</w:t>
            </w:r>
            <w:r>
              <w:rPr>
                <w:rFonts w:ascii="Calibri" w:hAnsi="Calibri" w:cs="Calibri" w:eastAsia="Calibri"/>
                <w:color w:val="auto"/>
                <w:spacing w:val="0"/>
                <w:position w:val="0"/>
                <w:sz w:val="18"/>
                <w:shd w:fill="auto" w:val="clear"/>
              </w:rPr>
              <w:t xml:space="preserve">]</w:t>
            </w:r>
          </w:p>
        </w:tc>
      </w:tr>
      <w:tr>
        <w:trPr>
          <w:trHeight w:val="248" w:hRule="auto"/>
          <w:jc w:val="center"/>
        </w:trPr>
        <w:tc>
          <w:tcPr>
            <w:tcW w:w="2084" w:type="dxa"/>
            <w:tcBorders>
              <w:top w:val="single" w:color="000000" w:sz="4"/>
              <w:left w:val="single" w:color="000000" w:sz="4"/>
              <w:bottom w:val="single" w:color="000000" w:sz="4"/>
              <w:right w:val="single" w:color="000000" w:sz="4"/>
            </w:tcBorders>
            <w:shd w:color="auto" w:fill="bdd6ee" w:val="clear"/>
            <w:tcMar>
              <w:left w:w="108" w:type="dxa"/>
              <w:right w:w="108" w:type="dxa"/>
            </w:tcMar>
            <w:vAlign w:val="center"/>
          </w:tcPr>
          <w:p>
            <w:pPr>
              <w:spacing w:before="0" w:after="0" w:line="276"/>
              <w:ind w:right="0" w:left="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ELEKTRI</w:t>
            </w:r>
            <w:r>
              <w:rPr>
                <w:rFonts w:ascii="Calibri" w:hAnsi="Calibri" w:cs="Calibri" w:eastAsia="Calibri"/>
                <w:color w:val="auto"/>
                <w:spacing w:val="0"/>
                <w:position w:val="0"/>
                <w:sz w:val="18"/>
                <w:shd w:fill="auto" w:val="clear"/>
              </w:rPr>
              <w:t xml:space="preserve">ČNA ENERGIJA</w:t>
            </w:r>
          </w:p>
        </w:tc>
        <w:tc>
          <w:tcPr>
            <w:tcW w:w="239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76"/>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499,43</w:t>
            </w:r>
          </w:p>
        </w:tc>
        <w:tc>
          <w:tcPr>
            <w:tcW w:w="22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76"/>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379,60</w:t>
            </w:r>
          </w:p>
        </w:tc>
      </w:tr>
      <w:tr>
        <w:trPr>
          <w:trHeight w:val="248" w:hRule="auto"/>
          <w:jc w:val="center"/>
        </w:trPr>
        <w:tc>
          <w:tcPr>
            <w:tcW w:w="2084" w:type="dxa"/>
            <w:tcBorders>
              <w:top w:val="single" w:color="000000" w:sz="4"/>
              <w:left w:val="single" w:color="000000" w:sz="4"/>
              <w:bottom w:val="single" w:color="000000" w:sz="4"/>
              <w:right w:val="single" w:color="000000" w:sz="4"/>
            </w:tcBorders>
            <w:shd w:color="auto" w:fill="bdd6ee" w:val="clear"/>
            <w:tcMar>
              <w:left w:w="108" w:type="dxa"/>
              <w:right w:w="108" w:type="dxa"/>
            </w:tcMar>
            <w:vAlign w:val="center"/>
          </w:tcPr>
          <w:p>
            <w:pPr>
              <w:spacing w:before="0" w:after="0" w:line="276"/>
              <w:ind w:right="0" w:left="0" w:firstLine="0"/>
              <w:jc w:val="righ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UKUPNO</w:t>
            </w:r>
          </w:p>
        </w:tc>
        <w:tc>
          <w:tcPr>
            <w:tcW w:w="2394" w:type="dxa"/>
            <w:tcBorders>
              <w:top w:val="single" w:color="000000" w:sz="4"/>
              <w:left w:val="single" w:color="000000" w:sz="4"/>
              <w:bottom w:val="single" w:color="000000" w:sz="4"/>
              <w:right w:val="single" w:color="000000" w:sz="4"/>
            </w:tcBorders>
            <w:shd w:color="auto" w:fill="deeaf6" w:val="clear"/>
            <w:tcMar>
              <w:left w:w="108" w:type="dxa"/>
              <w:right w:w="108" w:type="dxa"/>
            </w:tcMar>
            <w:vAlign w:val="center"/>
          </w:tcPr>
          <w:p>
            <w:pPr>
              <w:spacing w:before="0" w:after="0" w:line="276"/>
              <w:ind w:right="0" w:left="0" w:firstLine="0"/>
              <w:jc w:val="center"/>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499,43</w:t>
            </w:r>
          </w:p>
        </w:tc>
        <w:tc>
          <w:tcPr>
            <w:tcW w:w="2293" w:type="dxa"/>
            <w:tcBorders>
              <w:top w:val="single" w:color="000000" w:sz="4"/>
              <w:left w:val="single" w:color="000000" w:sz="4"/>
              <w:bottom w:val="single" w:color="000000" w:sz="4"/>
              <w:right w:val="single" w:color="000000" w:sz="4"/>
            </w:tcBorders>
            <w:shd w:color="auto" w:fill="deeaf6" w:val="clear"/>
            <w:tcMar>
              <w:left w:w="108" w:type="dxa"/>
              <w:right w:w="108" w:type="dxa"/>
            </w:tcMar>
            <w:vAlign w:val="center"/>
          </w:tcPr>
          <w:p>
            <w:pPr>
              <w:spacing w:before="0" w:after="0" w:line="276"/>
              <w:ind w:right="0" w:left="0" w:firstLine="0"/>
              <w:jc w:val="center"/>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379,60</w:t>
            </w:r>
          </w:p>
        </w:tc>
      </w:tr>
    </w:tbl>
    <w:p>
      <w:pPr>
        <w:spacing w:before="60" w:after="160" w:line="240"/>
        <w:ind w:right="0" w:left="0" w:firstLine="0"/>
        <w:jc w:val="center"/>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Tabela 545: Ukupna godišnja potrošnja energije i emisije CO</w:t>
      </w:r>
      <w:r>
        <w:rPr>
          <w:rFonts w:ascii="Calibri" w:hAnsi="Calibri" w:cs="Calibri" w:eastAsia="Calibri"/>
          <w:color w:val="auto"/>
          <w:spacing w:val="0"/>
          <w:position w:val="0"/>
          <w:sz w:val="18"/>
          <w:shd w:fill="auto" w:val="clear"/>
          <w:vertAlign w:val="subscript"/>
        </w:rPr>
        <w:t xml:space="preserve">2</w:t>
      </w:r>
      <w:r>
        <w:rPr>
          <w:rFonts w:ascii="Calibri" w:hAnsi="Calibri" w:cs="Calibri" w:eastAsia="Calibri"/>
          <w:color w:val="auto"/>
          <w:spacing w:val="0"/>
          <w:position w:val="0"/>
          <w:sz w:val="18"/>
          <w:shd w:fill="auto" w:val="clear"/>
        </w:rPr>
        <w:t xml:space="preserve">  za sektor vodosnabdijevanja u kontrolnoj godini</w:t>
      </w:r>
    </w:p>
    <w:p>
      <w:pPr>
        <w:spacing w:before="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Ukupna elektri</w:t>
      </w:r>
      <w:r>
        <w:rPr>
          <w:rFonts w:ascii="Calibri" w:hAnsi="Calibri" w:cs="Calibri" w:eastAsia="Calibri"/>
          <w:color w:val="auto"/>
          <w:spacing w:val="0"/>
          <w:position w:val="0"/>
          <w:sz w:val="20"/>
          <w:shd w:fill="auto" w:val="clear"/>
        </w:rPr>
        <w:t xml:space="preserve">čna snaga pumpi u funkciji u okviru sva četiri sistema vodosnabdijevanja je 110,5 kW, a ukupna količina izmjerene i obračunate električne energije utrošene za pogon tih pumpi iznosila je 499,43 MWh.</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0"/>
          <w:shd w:fill="auto" w:val="clear"/>
        </w:rPr>
        <w:t xml:space="preserve">Uzimajući u obzir broj, snagu, vrijeme rada i način upravljanja radom pumpi u kontrolnoj godini, specifične godišnje emisije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za sektor vodosnabdijevanja iznose 12,6x10</w:t>
      </w:r>
      <w:r>
        <w:rPr>
          <w:rFonts w:ascii="Calibri" w:hAnsi="Calibri" w:cs="Calibri" w:eastAsia="Calibri"/>
          <w:color w:val="auto"/>
          <w:spacing w:val="0"/>
          <w:position w:val="0"/>
          <w:sz w:val="20"/>
          <w:shd w:fill="auto" w:val="clear"/>
          <w:vertAlign w:val="superscript"/>
        </w:rPr>
        <w:t xml:space="preserve">-4</w:t>
      </w:r>
      <w:r>
        <w:rPr>
          <w:rFonts w:ascii="Calibri" w:hAnsi="Calibri" w:cs="Calibri" w:eastAsia="Calibri"/>
          <w:color w:val="auto"/>
          <w:spacing w:val="0"/>
          <w:position w:val="0"/>
          <w:sz w:val="20"/>
          <w:shd w:fill="auto" w:val="clear"/>
        </w:rPr>
        <w:t xml:space="preserve"> tCO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/m</w:t>
      </w:r>
      <w:r>
        <w:rPr>
          <w:rFonts w:ascii="Calibri" w:hAnsi="Calibri" w:cs="Calibri" w:eastAsia="Calibri"/>
          <w:color w:val="auto"/>
          <w:spacing w:val="0"/>
          <w:position w:val="0"/>
          <w:sz w:val="20"/>
          <w:shd w:fill="auto" w:val="clear"/>
          <w:vertAlign w:val="superscript"/>
        </w:rPr>
        <w:t xml:space="preserve">3</w:t>
      </w:r>
      <w:r>
        <w:rPr>
          <w:rFonts w:ascii="Calibri" w:hAnsi="Calibri" w:cs="Calibri" w:eastAsia="Calibri"/>
          <w:color w:val="auto"/>
          <w:spacing w:val="0"/>
          <w:position w:val="0"/>
          <w:sz w:val="20"/>
          <w:shd w:fill="auto" w:val="clear"/>
        </w:rPr>
        <w:t xml:space="preserve"> isporučene vode. </w:t>
      </w:r>
    </w:p>
    <w:p>
      <w:pPr>
        <w:keepNext w:val="true"/>
        <w:keepLines w:val="true"/>
        <w:numPr>
          <w:ilvl w:val="0"/>
          <w:numId w:val="1936"/>
        </w:numPr>
        <w:spacing w:before="240" w:after="0" w:line="240"/>
        <w:ind w:right="0" w:left="720" w:hanging="72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Ukupni kontrolni inventar emisija CO</w:t>
      </w:r>
      <w:r>
        <w:rPr>
          <w:rFonts w:ascii="Calibri" w:hAnsi="Calibri" w:cs="Calibri" w:eastAsia="Calibri"/>
          <w:b/>
          <w:color w:val="auto"/>
          <w:spacing w:val="0"/>
          <w:position w:val="0"/>
          <w:sz w:val="24"/>
          <w:shd w:fill="auto" w:val="clear"/>
          <w:vertAlign w:val="subscript"/>
        </w:rPr>
        <w:t xml:space="preserve">2</w:t>
      </w:r>
      <w:r>
        <w:rPr>
          <w:rFonts w:ascii="Calibri" w:hAnsi="Calibri" w:cs="Calibri" w:eastAsia="Calibri"/>
          <w:b/>
          <w:color w:val="auto"/>
          <w:spacing w:val="0"/>
          <w:position w:val="0"/>
          <w:sz w:val="24"/>
          <w:shd w:fill="auto" w:val="clear"/>
        </w:rPr>
        <w:t xml:space="preserve"> </w:t>
      </w:r>
    </w:p>
    <w:p>
      <w:pPr>
        <w:keepNext w:val="true"/>
        <w:keepLines w:val="true"/>
        <w:numPr>
          <w:ilvl w:val="0"/>
          <w:numId w:val="1936"/>
        </w:numPr>
        <w:spacing w:before="120" w:after="0" w:line="240"/>
        <w:ind w:right="0" w:left="862" w:hanging="862"/>
        <w:jc w:val="both"/>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Ukupna finalna energija u kontrolnoj godini u svim razmatranim sektorima</w:t>
      </w:r>
    </w:p>
    <w:p>
      <w:pPr>
        <w:spacing w:before="60" w:after="12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U narednoj tabeli prikazana je ukupna potrošnja finalne energije u kontrolnoj 2020. godini u svim razmatranim sektorima energetske potrošnje u Op</w:t>
      </w:r>
      <w:r>
        <w:rPr>
          <w:rFonts w:ascii="Calibri" w:hAnsi="Calibri" w:cs="Calibri" w:eastAsia="Calibri"/>
          <w:color w:val="auto"/>
          <w:spacing w:val="0"/>
          <w:position w:val="0"/>
          <w:sz w:val="20"/>
          <w:shd w:fill="auto" w:val="clear"/>
        </w:rPr>
        <w:t xml:space="preserve">ćini Doboj Istok, i za sve razmatrane energente.  </w:t>
      </w:r>
    </w:p>
    <w:tbl>
      <w:tblPr/>
      <w:tblGrid>
        <w:gridCol w:w="988"/>
        <w:gridCol w:w="1068"/>
        <w:gridCol w:w="961"/>
        <w:gridCol w:w="960"/>
        <w:gridCol w:w="826"/>
        <w:gridCol w:w="960"/>
        <w:gridCol w:w="835"/>
        <w:gridCol w:w="1059"/>
        <w:gridCol w:w="1189"/>
        <w:gridCol w:w="1174"/>
      </w:tblGrid>
      <w:tr>
        <w:trPr>
          <w:trHeight w:val="340" w:hRule="auto"/>
          <w:jc w:val="left"/>
        </w:trPr>
        <w:tc>
          <w:tcPr>
            <w:tcW w:w="988" w:type="dxa"/>
            <w:vMerge w:val="restart"/>
            <w:tcBorders>
              <w:top w:val="single" w:color="000000" w:sz="4"/>
              <w:left w:val="single" w:color="000000" w:sz="4"/>
              <w:bottom w:val="single" w:color="000000" w:sz="4"/>
              <w:right w:val="single" w:color="000000" w:sz="4"/>
            </w:tcBorders>
            <w:shd w:color="auto" w:fill="b4c6e7" w:val="clear"/>
            <w:tcMar>
              <w:left w:w="10" w:type="dxa"/>
              <w:right w:w="10"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ENERGENT</w:t>
            </w:r>
          </w:p>
        </w:tc>
        <w:tc>
          <w:tcPr>
            <w:tcW w:w="9032" w:type="dxa"/>
            <w:gridSpan w:val="9"/>
            <w:tcBorders>
              <w:top w:val="single" w:color="000000" w:sz="4"/>
              <w:left w:val="single" w:color="000000" w:sz="0"/>
              <w:bottom w:val="single" w:color="000000" w:sz="4"/>
              <w:right w:val="single" w:color="000000" w:sz="4"/>
            </w:tcBorders>
            <w:shd w:color="auto" w:fill="b4c6e7"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KONTROLNI INVENTAR - FINALNA ENERGIJA [MWh]</w:t>
            </w:r>
          </w:p>
        </w:tc>
      </w:tr>
      <w:tr>
        <w:trPr>
          <w:trHeight w:val="465" w:hRule="auto"/>
          <w:jc w:val="left"/>
        </w:trPr>
        <w:tc>
          <w:tcPr>
            <w:tcW w:w="988" w:type="dxa"/>
            <w:vMerge/>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3815" w:type="dxa"/>
            <w:gridSpan w:val="4"/>
            <w:tcBorders>
              <w:top w:val="single" w:color="000000" w:sz="4"/>
              <w:left w:val="single" w:color="000000" w:sz="0"/>
              <w:bottom w:val="single" w:color="000000" w:sz="4"/>
              <w:right w:val="single" w:color="000000" w:sz="4"/>
            </w:tcBorders>
            <w:shd w:color="auto" w:fill="b4c6e7"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ZGRADARSTVO I JAVNA RASVJETA</w:t>
            </w:r>
          </w:p>
        </w:tc>
        <w:tc>
          <w:tcPr>
            <w:tcW w:w="2854" w:type="dxa"/>
            <w:gridSpan w:val="3"/>
            <w:tcBorders>
              <w:top w:val="single" w:color="000000" w:sz="4"/>
              <w:left w:val="single" w:color="000000" w:sz="0"/>
              <w:bottom w:val="single" w:color="000000" w:sz="4"/>
              <w:right w:val="single" w:color="000000" w:sz="4"/>
            </w:tcBorders>
            <w:shd w:color="auto" w:fill="b4c6e7"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SAOBRA</w:t>
            </w:r>
            <w:r>
              <w:rPr>
                <w:rFonts w:ascii="Calibri" w:hAnsi="Calibri" w:cs="Calibri" w:eastAsia="Calibri"/>
                <w:color w:val="000000"/>
                <w:spacing w:val="0"/>
                <w:position w:val="0"/>
                <w:sz w:val="18"/>
                <w:shd w:fill="auto" w:val="clear"/>
              </w:rPr>
              <w:t xml:space="preserve">ĆAJ</w:t>
            </w:r>
          </w:p>
        </w:tc>
        <w:tc>
          <w:tcPr>
            <w:tcW w:w="1189" w:type="dxa"/>
            <w:tcBorders>
              <w:top w:val="single" w:color="000000" w:sz="0"/>
              <w:left w:val="single" w:color="000000" w:sz="0"/>
              <w:bottom w:val="single" w:color="000000" w:sz="4"/>
              <w:right w:val="single" w:color="000000" w:sz="4"/>
            </w:tcBorders>
            <w:shd w:color="auto" w:fill="b4c6e7"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NEENERGETSKI SEKTOR</w:t>
            </w:r>
          </w:p>
        </w:tc>
        <w:tc>
          <w:tcPr>
            <w:tcW w:w="1174" w:type="dxa"/>
            <w:vMerge w:val="restart"/>
            <w:tcBorders>
              <w:top w:val="single" w:color="000000" w:sz="0"/>
              <w:left w:val="single" w:color="000000" w:sz="0"/>
              <w:bottom w:val="single" w:color="000000" w:sz="4"/>
              <w:right w:val="single" w:color="000000" w:sz="4"/>
            </w:tcBorders>
            <w:shd w:color="auto" w:fill="b4c6e7"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UKUPNO PO ENERGENTIMA</w:t>
            </w:r>
          </w:p>
        </w:tc>
      </w:tr>
      <w:tr>
        <w:trPr>
          <w:trHeight w:val="691" w:hRule="auto"/>
          <w:jc w:val="left"/>
        </w:trPr>
        <w:tc>
          <w:tcPr>
            <w:tcW w:w="988" w:type="dxa"/>
            <w:vMerge/>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068" w:type="dxa"/>
            <w:tcBorders>
              <w:top w:val="single" w:color="000000" w:sz="0"/>
              <w:left w:val="single" w:color="000000" w:sz="0"/>
              <w:bottom w:val="single" w:color="000000" w:sz="4"/>
              <w:right w:val="single" w:color="000000" w:sz="4"/>
            </w:tcBorders>
            <w:shd w:color="auto" w:fill="b4c6e7"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Javne zgrade u vlasništvu Grada</w:t>
            </w:r>
          </w:p>
        </w:tc>
        <w:tc>
          <w:tcPr>
            <w:tcW w:w="961" w:type="dxa"/>
            <w:tcBorders>
              <w:top w:val="single" w:color="000000" w:sz="0"/>
              <w:left w:val="single" w:color="000000" w:sz="0"/>
              <w:bottom w:val="single" w:color="000000" w:sz="4"/>
              <w:right w:val="single" w:color="000000" w:sz="4"/>
            </w:tcBorders>
            <w:shd w:color="auto" w:fill="b4c6e7"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Javne zgrade koje nisu u vlasništvu Grada</w:t>
            </w:r>
          </w:p>
        </w:tc>
        <w:tc>
          <w:tcPr>
            <w:tcW w:w="960" w:type="dxa"/>
            <w:tcBorders>
              <w:top w:val="single" w:color="000000" w:sz="0"/>
              <w:left w:val="single" w:color="000000" w:sz="0"/>
              <w:bottom w:val="single" w:color="000000" w:sz="4"/>
              <w:right w:val="single" w:color="000000" w:sz="4"/>
            </w:tcBorders>
            <w:shd w:color="auto" w:fill="b4c6e7"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Stambene zgrade</w:t>
            </w:r>
          </w:p>
        </w:tc>
        <w:tc>
          <w:tcPr>
            <w:tcW w:w="826" w:type="dxa"/>
            <w:tcBorders>
              <w:top w:val="single" w:color="000000" w:sz="0"/>
              <w:left w:val="single" w:color="000000" w:sz="0"/>
              <w:bottom w:val="single" w:color="000000" w:sz="4"/>
              <w:right w:val="single" w:color="000000" w:sz="4"/>
            </w:tcBorders>
            <w:shd w:color="auto" w:fill="b4c6e7"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Javna rasvjeta</w:t>
            </w:r>
          </w:p>
        </w:tc>
        <w:tc>
          <w:tcPr>
            <w:tcW w:w="960" w:type="dxa"/>
            <w:tcBorders>
              <w:top w:val="single" w:color="000000" w:sz="0"/>
              <w:left w:val="single" w:color="000000" w:sz="0"/>
              <w:bottom w:val="single" w:color="000000" w:sz="4"/>
              <w:right w:val="single" w:color="000000" w:sz="4"/>
            </w:tcBorders>
            <w:shd w:color="auto" w:fill="b4c6e7"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Vozila u vlasništvu Op</w:t>
            </w:r>
            <w:r>
              <w:rPr>
                <w:rFonts w:ascii="Calibri" w:hAnsi="Calibri" w:cs="Calibri" w:eastAsia="Calibri"/>
                <w:color w:val="000000"/>
                <w:spacing w:val="0"/>
                <w:position w:val="0"/>
                <w:sz w:val="18"/>
                <w:shd w:fill="auto" w:val="clear"/>
              </w:rPr>
              <w:t xml:space="preserve">ćine</w:t>
            </w:r>
          </w:p>
        </w:tc>
        <w:tc>
          <w:tcPr>
            <w:tcW w:w="835" w:type="dxa"/>
            <w:tcBorders>
              <w:top w:val="single" w:color="000000" w:sz="0"/>
              <w:left w:val="single" w:color="000000" w:sz="0"/>
              <w:bottom w:val="single" w:color="000000" w:sz="4"/>
              <w:right w:val="single" w:color="000000" w:sz="4"/>
            </w:tcBorders>
            <w:shd w:color="auto" w:fill="b4c6e7"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Javni prijevoz</w:t>
            </w:r>
          </w:p>
        </w:tc>
        <w:tc>
          <w:tcPr>
            <w:tcW w:w="1059" w:type="dxa"/>
            <w:tcBorders>
              <w:top w:val="single" w:color="000000" w:sz="0"/>
              <w:left w:val="single" w:color="000000" w:sz="0"/>
              <w:bottom w:val="single" w:color="000000" w:sz="4"/>
              <w:right w:val="single" w:color="000000" w:sz="4"/>
            </w:tcBorders>
            <w:shd w:color="auto" w:fill="b4c6e7"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Osobna i komercijalna vozila</w:t>
            </w:r>
          </w:p>
        </w:tc>
        <w:tc>
          <w:tcPr>
            <w:tcW w:w="1189" w:type="dxa"/>
            <w:tcBorders>
              <w:top w:val="single" w:color="000000" w:sz="0"/>
              <w:left w:val="single" w:color="000000" w:sz="0"/>
              <w:bottom w:val="single" w:color="000000" w:sz="4"/>
              <w:right w:val="single" w:color="000000" w:sz="4"/>
            </w:tcBorders>
            <w:shd w:color="auto" w:fill="b4c6e7"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Vodo-snadbijevanje</w:t>
            </w:r>
          </w:p>
        </w:tc>
        <w:tc>
          <w:tcPr>
            <w:tcW w:w="1174" w:type="dxa"/>
            <w:vMerge/>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r>
      <w:tr>
        <w:trPr>
          <w:trHeight w:val="340" w:hRule="auto"/>
          <w:jc w:val="left"/>
        </w:trPr>
        <w:tc>
          <w:tcPr>
            <w:tcW w:w="988" w:type="dxa"/>
            <w:tcBorders>
              <w:top w:val="single" w:color="000000" w:sz="0"/>
              <w:left w:val="single" w:color="000000" w:sz="4"/>
              <w:bottom w:val="single" w:color="000000" w:sz="4"/>
              <w:right w:val="single" w:color="000000" w:sz="4"/>
            </w:tcBorders>
            <w:shd w:color="auto" w:fill="b4c6e7" w:val="clear"/>
            <w:tcMar>
              <w:left w:w="10" w:type="dxa"/>
              <w:right w:w="10"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Elektri</w:t>
            </w:r>
            <w:r>
              <w:rPr>
                <w:rFonts w:ascii="Calibri" w:hAnsi="Calibri" w:cs="Calibri" w:eastAsia="Calibri"/>
                <w:color w:val="000000"/>
                <w:spacing w:val="0"/>
                <w:position w:val="0"/>
                <w:sz w:val="18"/>
                <w:shd w:fill="auto" w:val="clear"/>
              </w:rPr>
              <w:t xml:space="preserve">čna energija</w:t>
            </w:r>
          </w:p>
        </w:tc>
        <w:tc>
          <w:tcPr>
            <w:tcW w:w="1068"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817,29</w:t>
            </w:r>
          </w:p>
        </w:tc>
        <w:tc>
          <w:tcPr>
            <w:tcW w:w="961" w:type="dxa"/>
            <w:tcBorders>
              <w:top w:val="single" w:color="000000" w:sz="4"/>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10,70</w:t>
            </w:r>
          </w:p>
        </w:tc>
        <w:tc>
          <w:tcPr>
            <w:tcW w:w="960" w:type="dxa"/>
            <w:tcBorders>
              <w:top w:val="single" w:color="000000" w:sz="4"/>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179,75</w:t>
            </w:r>
          </w:p>
        </w:tc>
        <w:tc>
          <w:tcPr>
            <w:tcW w:w="826" w:type="dxa"/>
            <w:tcBorders>
              <w:top w:val="single" w:color="000000" w:sz="4"/>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629,50</w:t>
            </w:r>
          </w:p>
        </w:tc>
        <w:tc>
          <w:tcPr>
            <w:tcW w:w="960" w:type="dxa"/>
            <w:tcBorders>
              <w:top w:val="single" w:color="000000" w:sz="4"/>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835" w:type="dxa"/>
            <w:tcBorders>
              <w:top w:val="single" w:color="000000" w:sz="4"/>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059" w:type="dxa"/>
            <w:tcBorders>
              <w:top w:val="single" w:color="000000" w:sz="4"/>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189" w:type="dxa"/>
            <w:tcBorders>
              <w:top w:val="single" w:color="000000" w:sz="4"/>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499,47</w:t>
            </w:r>
          </w:p>
        </w:tc>
        <w:tc>
          <w:tcPr>
            <w:tcW w:w="1174" w:type="dxa"/>
            <w:tcBorders>
              <w:top w:val="single" w:color="000000" w:sz="4"/>
              <w:left w:val="single" w:color="000000" w:sz="4"/>
              <w:bottom w:val="single" w:color="000000" w:sz="4"/>
              <w:right w:val="single" w:color="000000" w:sz="4"/>
            </w:tcBorders>
            <w:shd w:color="auto" w:fill="d9e1f2"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2.136,72</w:t>
            </w:r>
          </w:p>
        </w:tc>
      </w:tr>
      <w:tr>
        <w:trPr>
          <w:trHeight w:val="340" w:hRule="auto"/>
          <w:jc w:val="left"/>
        </w:trPr>
        <w:tc>
          <w:tcPr>
            <w:tcW w:w="988" w:type="dxa"/>
            <w:tcBorders>
              <w:top w:val="single" w:color="000000" w:sz="0"/>
              <w:left w:val="single" w:color="000000" w:sz="4"/>
              <w:bottom w:val="single" w:color="000000" w:sz="4"/>
              <w:right w:val="single" w:color="000000" w:sz="4"/>
            </w:tcBorders>
            <w:shd w:color="auto" w:fill="b4c6e7" w:val="clear"/>
            <w:tcMar>
              <w:left w:w="10" w:type="dxa"/>
              <w:right w:w="10"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Prirodni plin</w:t>
            </w:r>
          </w:p>
        </w:tc>
        <w:tc>
          <w:tcPr>
            <w:tcW w:w="1068" w:type="dxa"/>
            <w:tcBorders>
              <w:top w:val="single" w:color="000000" w:sz="0"/>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961"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960"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145,82</w:t>
            </w:r>
          </w:p>
        </w:tc>
        <w:tc>
          <w:tcPr>
            <w:tcW w:w="826"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960"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835"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059"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189"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174" w:type="dxa"/>
            <w:tcBorders>
              <w:top w:val="single" w:color="000000" w:sz="0"/>
              <w:left w:val="single" w:color="000000" w:sz="4"/>
              <w:bottom w:val="single" w:color="000000" w:sz="4"/>
              <w:right w:val="single" w:color="000000" w:sz="4"/>
            </w:tcBorders>
            <w:shd w:color="auto" w:fill="d9e1f2"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145,82</w:t>
            </w:r>
          </w:p>
        </w:tc>
      </w:tr>
      <w:tr>
        <w:trPr>
          <w:trHeight w:val="340" w:hRule="auto"/>
          <w:jc w:val="left"/>
        </w:trPr>
        <w:tc>
          <w:tcPr>
            <w:tcW w:w="988" w:type="dxa"/>
            <w:tcBorders>
              <w:top w:val="single" w:color="000000" w:sz="0"/>
              <w:left w:val="single" w:color="000000" w:sz="4"/>
              <w:bottom w:val="single" w:color="000000" w:sz="4"/>
              <w:right w:val="single" w:color="000000" w:sz="4"/>
            </w:tcBorders>
            <w:shd w:color="auto" w:fill="b4c6e7" w:val="clear"/>
            <w:tcMar>
              <w:left w:w="10" w:type="dxa"/>
              <w:right w:w="10"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Lož ulje</w:t>
            </w:r>
          </w:p>
        </w:tc>
        <w:tc>
          <w:tcPr>
            <w:tcW w:w="1068" w:type="dxa"/>
            <w:tcBorders>
              <w:top w:val="single" w:color="000000" w:sz="0"/>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961"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960"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198,74</w:t>
            </w:r>
          </w:p>
        </w:tc>
        <w:tc>
          <w:tcPr>
            <w:tcW w:w="826"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960"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835"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059"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189"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174" w:type="dxa"/>
            <w:tcBorders>
              <w:top w:val="single" w:color="000000" w:sz="0"/>
              <w:left w:val="single" w:color="000000" w:sz="4"/>
              <w:bottom w:val="single" w:color="000000" w:sz="4"/>
              <w:right w:val="single" w:color="000000" w:sz="4"/>
            </w:tcBorders>
            <w:shd w:color="auto" w:fill="d9e1f2"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198,74</w:t>
            </w:r>
          </w:p>
        </w:tc>
      </w:tr>
      <w:tr>
        <w:trPr>
          <w:trHeight w:val="340" w:hRule="auto"/>
          <w:jc w:val="left"/>
        </w:trPr>
        <w:tc>
          <w:tcPr>
            <w:tcW w:w="988" w:type="dxa"/>
            <w:tcBorders>
              <w:top w:val="single" w:color="000000" w:sz="0"/>
              <w:left w:val="single" w:color="000000" w:sz="4"/>
              <w:bottom w:val="single" w:color="000000" w:sz="4"/>
              <w:right w:val="single" w:color="000000" w:sz="4"/>
            </w:tcBorders>
            <w:shd w:color="auto" w:fill="b4c6e7" w:val="clear"/>
            <w:tcMar>
              <w:left w:w="10" w:type="dxa"/>
              <w:right w:w="10"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Dizel</w:t>
            </w:r>
          </w:p>
        </w:tc>
        <w:tc>
          <w:tcPr>
            <w:tcW w:w="1068" w:type="dxa"/>
            <w:tcBorders>
              <w:top w:val="single" w:color="000000" w:sz="0"/>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961"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960"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826"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960"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175,43</w:t>
            </w:r>
          </w:p>
        </w:tc>
        <w:tc>
          <w:tcPr>
            <w:tcW w:w="835"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1.978,01</w:t>
            </w:r>
          </w:p>
        </w:tc>
        <w:tc>
          <w:tcPr>
            <w:tcW w:w="1059"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22.072,12</w:t>
            </w:r>
          </w:p>
        </w:tc>
        <w:tc>
          <w:tcPr>
            <w:tcW w:w="1189"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174" w:type="dxa"/>
            <w:tcBorders>
              <w:top w:val="single" w:color="000000" w:sz="0"/>
              <w:left w:val="single" w:color="000000" w:sz="4"/>
              <w:bottom w:val="single" w:color="000000" w:sz="4"/>
              <w:right w:val="single" w:color="000000" w:sz="4"/>
            </w:tcBorders>
            <w:shd w:color="auto" w:fill="d9e1f2"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24.225,56</w:t>
            </w:r>
          </w:p>
        </w:tc>
      </w:tr>
      <w:tr>
        <w:trPr>
          <w:trHeight w:val="340" w:hRule="auto"/>
          <w:jc w:val="left"/>
        </w:trPr>
        <w:tc>
          <w:tcPr>
            <w:tcW w:w="988" w:type="dxa"/>
            <w:tcBorders>
              <w:top w:val="single" w:color="000000" w:sz="0"/>
              <w:left w:val="single" w:color="000000" w:sz="4"/>
              <w:bottom w:val="single" w:color="000000" w:sz="4"/>
              <w:right w:val="single" w:color="000000" w:sz="4"/>
            </w:tcBorders>
            <w:shd w:color="auto" w:fill="b4c6e7" w:val="clear"/>
            <w:tcMar>
              <w:left w:w="10" w:type="dxa"/>
              <w:right w:w="10"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Motorni benzin</w:t>
            </w:r>
          </w:p>
        </w:tc>
        <w:tc>
          <w:tcPr>
            <w:tcW w:w="1068" w:type="dxa"/>
            <w:tcBorders>
              <w:top w:val="single" w:color="000000" w:sz="0"/>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961"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960"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826"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960"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23,92</w:t>
            </w:r>
          </w:p>
        </w:tc>
        <w:tc>
          <w:tcPr>
            <w:tcW w:w="835"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059"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4.665,13</w:t>
            </w:r>
          </w:p>
        </w:tc>
        <w:tc>
          <w:tcPr>
            <w:tcW w:w="1189"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174" w:type="dxa"/>
            <w:tcBorders>
              <w:top w:val="single" w:color="000000" w:sz="0"/>
              <w:left w:val="single" w:color="000000" w:sz="4"/>
              <w:bottom w:val="single" w:color="000000" w:sz="4"/>
              <w:right w:val="single" w:color="000000" w:sz="4"/>
            </w:tcBorders>
            <w:shd w:color="auto" w:fill="d9e1f2"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4.689,05</w:t>
            </w:r>
          </w:p>
        </w:tc>
      </w:tr>
      <w:tr>
        <w:trPr>
          <w:trHeight w:val="340" w:hRule="auto"/>
          <w:jc w:val="left"/>
        </w:trPr>
        <w:tc>
          <w:tcPr>
            <w:tcW w:w="988" w:type="dxa"/>
            <w:tcBorders>
              <w:top w:val="single" w:color="000000" w:sz="4"/>
              <w:left w:val="single" w:color="000000" w:sz="4"/>
              <w:bottom w:val="single" w:color="000000" w:sz="4"/>
              <w:right w:val="single" w:color="000000" w:sz="4"/>
            </w:tcBorders>
            <w:shd w:color="auto" w:fill="b4c6e7" w:val="clear"/>
            <w:tcMar>
              <w:left w:w="10" w:type="dxa"/>
              <w:right w:w="10"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Lignit</w:t>
            </w:r>
          </w:p>
        </w:tc>
        <w:tc>
          <w:tcPr>
            <w:tcW w:w="1068" w:type="dxa"/>
            <w:tcBorders>
              <w:top w:val="single" w:color="000000" w:sz="0"/>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362,72</w:t>
            </w:r>
          </w:p>
        </w:tc>
        <w:tc>
          <w:tcPr>
            <w:tcW w:w="961"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482,70</w:t>
            </w:r>
          </w:p>
        </w:tc>
        <w:tc>
          <w:tcPr>
            <w:tcW w:w="960"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19.431,28</w:t>
            </w:r>
          </w:p>
        </w:tc>
        <w:tc>
          <w:tcPr>
            <w:tcW w:w="826"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960"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835"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059"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189"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174" w:type="dxa"/>
            <w:tcBorders>
              <w:top w:val="single" w:color="000000" w:sz="0"/>
              <w:left w:val="single" w:color="000000" w:sz="4"/>
              <w:bottom w:val="single" w:color="000000" w:sz="4"/>
              <w:right w:val="single" w:color="000000" w:sz="4"/>
            </w:tcBorders>
            <w:shd w:color="auto" w:fill="d9e1f2"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20,276,70</w:t>
            </w:r>
          </w:p>
        </w:tc>
      </w:tr>
      <w:tr>
        <w:trPr>
          <w:trHeight w:val="340" w:hRule="auto"/>
          <w:jc w:val="left"/>
        </w:trPr>
        <w:tc>
          <w:tcPr>
            <w:tcW w:w="988" w:type="dxa"/>
            <w:tcBorders>
              <w:top w:val="single" w:color="000000" w:sz="4"/>
              <w:left w:val="single" w:color="000000" w:sz="4"/>
              <w:bottom w:val="single" w:color="000000" w:sz="4"/>
              <w:right w:val="single" w:color="000000" w:sz="4"/>
            </w:tcBorders>
            <w:shd w:color="auto" w:fill="b4c6e7" w:val="clear"/>
            <w:tcMar>
              <w:left w:w="10" w:type="dxa"/>
              <w:right w:w="10"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Mrki ugalj</w:t>
            </w:r>
          </w:p>
        </w:tc>
        <w:tc>
          <w:tcPr>
            <w:tcW w:w="1068" w:type="dxa"/>
            <w:tcBorders>
              <w:top w:val="single" w:color="000000" w:sz="0"/>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362,72</w:t>
            </w:r>
          </w:p>
        </w:tc>
        <w:tc>
          <w:tcPr>
            <w:tcW w:w="961"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482,70</w:t>
            </w:r>
          </w:p>
        </w:tc>
        <w:tc>
          <w:tcPr>
            <w:tcW w:w="960"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19.431,28</w:t>
            </w:r>
          </w:p>
        </w:tc>
        <w:tc>
          <w:tcPr>
            <w:tcW w:w="826"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960"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835"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059"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189"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174" w:type="dxa"/>
            <w:tcBorders>
              <w:top w:val="single" w:color="000000" w:sz="0"/>
              <w:left w:val="single" w:color="000000" w:sz="4"/>
              <w:bottom w:val="single" w:color="000000" w:sz="4"/>
              <w:right w:val="single" w:color="000000" w:sz="4"/>
            </w:tcBorders>
            <w:shd w:color="auto" w:fill="d9e1f2"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20.276,70</w:t>
            </w:r>
          </w:p>
        </w:tc>
      </w:tr>
      <w:tr>
        <w:trPr>
          <w:trHeight w:val="340" w:hRule="auto"/>
          <w:jc w:val="left"/>
        </w:trPr>
        <w:tc>
          <w:tcPr>
            <w:tcW w:w="988" w:type="dxa"/>
            <w:tcBorders>
              <w:top w:val="single" w:color="000000" w:sz="4"/>
              <w:left w:val="single" w:color="000000" w:sz="4"/>
              <w:bottom w:val="single" w:color="000000" w:sz="4"/>
              <w:right w:val="single" w:color="000000" w:sz="4"/>
            </w:tcBorders>
            <w:shd w:color="auto" w:fill="b4c6e7" w:val="clear"/>
            <w:tcMar>
              <w:left w:w="10" w:type="dxa"/>
              <w:right w:w="10"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Biomasa</w:t>
            </w:r>
          </w:p>
        </w:tc>
        <w:tc>
          <w:tcPr>
            <w:tcW w:w="1068" w:type="dxa"/>
            <w:tcBorders>
              <w:top w:val="single" w:color="000000" w:sz="0"/>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158,91</w:t>
            </w:r>
          </w:p>
        </w:tc>
        <w:tc>
          <w:tcPr>
            <w:tcW w:w="961"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7,07</w:t>
            </w:r>
          </w:p>
        </w:tc>
        <w:tc>
          <w:tcPr>
            <w:tcW w:w="960"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7.138,61</w:t>
            </w:r>
          </w:p>
        </w:tc>
        <w:tc>
          <w:tcPr>
            <w:tcW w:w="826"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960"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835"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059"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189"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174" w:type="dxa"/>
            <w:tcBorders>
              <w:top w:val="single" w:color="000000" w:sz="0"/>
              <w:left w:val="single" w:color="000000" w:sz="4"/>
              <w:bottom w:val="single" w:color="000000" w:sz="4"/>
              <w:right w:val="single" w:color="000000" w:sz="4"/>
            </w:tcBorders>
            <w:shd w:color="auto" w:fill="d9e1f2"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7.304,59</w:t>
            </w:r>
          </w:p>
        </w:tc>
      </w:tr>
      <w:tr>
        <w:trPr>
          <w:trHeight w:val="340" w:hRule="auto"/>
          <w:jc w:val="left"/>
        </w:trPr>
        <w:tc>
          <w:tcPr>
            <w:tcW w:w="988" w:type="dxa"/>
            <w:tcBorders>
              <w:top w:val="single" w:color="000000" w:sz="4"/>
              <w:left w:val="single" w:color="000000" w:sz="4"/>
              <w:bottom w:val="single" w:color="000000" w:sz="4"/>
              <w:right w:val="single" w:color="000000" w:sz="4"/>
            </w:tcBorders>
            <w:shd w:color="auto" w:fill="b4c6e7" w:val="clear"/>
            <w:tcMar>
              <w:left w:w="10" w:type="dxa"/>
              <w:right w:w="10"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Te</w:t>
            </w:r>
            <w:r>
              <w:rPr>
                <w:rFonts w:ascii="Calibri" w:hAnsi="Calibri" w:cs="Calibri" w:eastAsia="Calibri"/>
                <w:color w:val="000000"/>
                <w:spacing w:val="0"/>
                <w:position w:val="0"/>
                <w:sz w:val="18"/>
                <w:shd w:fill="auto" w:val="clear"/>
              </w:rPr>
              <w:t xml:space="preserve">čni plin</w:t>
            </w:r>
          </w:p>
        </w:tc>
        <w:tc>
          <w:tcPr>
            <w:tcW w:w="1068" w:type="dxa"/>
            <w:tcBorders>
              <w:top w:val="single" w:color="000000" w:sz="0"/>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961"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960"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826"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960"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835"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059"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419,45</w:t>
            </w:r>
          </w:p>
        </w:tc>
        <w:tc>
          <w:tcPr>
            <w:tcW w:w="1189"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174" w:type="dxa"/>
            <w:tcBorders>
              <w:top w:val="single" w:color="000000" w:sz="0"/>
              <w:left w:val="single" w:color="000000" w:sz="4"/>
              <w:bottom w:val="single" w:color="000000" w:sz="4"/>
              <w:right w:val="single" w:color="000000" w:sz="4"/>
            </w:tcBorders>
            <w:shd w:color="auto" w:fill="d9e1f2"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419,45</w:t>
            </w:r>
          </w:p>
        </w:tc>
      </w:tr>
      <w:tr>
        <w:trPr>
          <w:trHeight w:val="340" w:hRule="auto"/>
          <w:jc w:val="left"/>
        </w:trPr>
        <w:tc>
          <w:tcPr>
            <w:tcW w:w="988" w:type="dxa"/>
            <w:tcBorders>
              <w:top w:val="single" w:color="000000" w:sz="4"/>
              <w:left w:val="single" w:color="000000" w:sz="4"/>
              <w:bottom w:val="single" w:color="000000" w:sz="4"/>
              <w:right w:val="single" w:color="000000" w:sz="0"/>
            </w:tcBorders>
            <w:shd w:color="auto" w:fill="b4c6e7" w:val="clear"/>
            <w:tcMar>
              <w:left w:w="10" w:type="dxa"/>
              <w:right w:w="10"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UKUPNO PO SEKTORIMA</w:t>
            </w:r>
          </w:p>
        </w:tc>
        <w:tc>
          <w:tcPr>
            <w:tcW w:w="1068" w:type="dxa"/>
            <w:tcBorders>
              <w:top w:val="single" w:color="000000" w:sz="4"/>
              <w:left w:val="single" w:color="000000" w:sz="4"/>
              <w:bottom w:val="single" w:color="000000" w:sz="4"/>
              <w:right w:val="single" w:color="000000" w:sz="4"/>
            </w:tcBorders>
            <w:shd w:color="auto" w:fill="d9e1f2"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1.701,65</w:t>
            </w:r>
          </w:p>
        </w:tc>
        <w:tc>
          <w:tcPr>
            <w:tcW w:w="961" w:type="dxa"/>
            <w:tcBorders>
              <w:top w:val="single" w:color="000000" w:sz="4"/>
              <w:left w:val="single" w:color="000000" w:sz="0"/>
              <w:bottom w:val="single" w:color="000000" w:sz="4"/>
              <w:right w:val="single" w:color="000000" w:sz="4"/>
            </w:tcBorders>
            <w:shd w:color="auto" w:fill="d9e1f2"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983,16</w:t>
            </w:r>
          </w:p>
        </w:tc>
        <w:tc>
          <w:tcPr>
            <w:tcW w:w="960" w:type="dxa"/>
            <w:tcBorders>
              <w:top w:val="single" w:color="000000" w:sz="4"/>
              <w:left w:val="single" w:color="000000" w:sz="0"/>
              <w:bottom w:val="single" w:color="000000" w:sz="4"/>
              <w:right w:val="single" w:color="000000" w:sz="4"/>
            </w:tcBorders>
            <w:shd w:color="auto" w:fill="d9e1f2"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46.525,49</w:t>
            </w:r>
          </w:p>
        </w:tc>
        <w:tc>
          <w:tcPr>
            <w:tcW w:w="826" w:type="dxa"/>
            <w:tcBorders>
              <w:top w:val="single" w:color="000000" w:sz="4"/>
              <w:left w:val="single" w:color="000000" w:sz="0"/>
              <w:bottom w:val="single" w:color="000000" w:sz="4"/>
              <w:right w:val="single" w:color="000000" w:sz="4"/>
            </w:tcBorders>
            <w:shd w:color="auto" w:fill="d9e1f2"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629,50</w:t>
            </w:r>
          </w:p>
        </w:tc>
        <w:tc>
          <w:tcPr>
            <w:tcW w:w="960" w:type="dxa"/>
            <w:tcBorders>
              <w:top w:val="single" w:color="000000" w:sz="4"/>
              <w:left w:val="single" w:color="000000" w:sz="0"/>
              <w:bottom w:val="single" w:color="000000" w:sz="4"/>
              <w:right w:val="single" w:color="000000" w:sz="4"/>
            </w:tcBorders>
            <w:shd w:color="auto" w:fill="d9e1f2"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199,35</w:t>
            </w:r>
          </w:p>
        </w:tc>
        <w:tc>
          <w:tcPr>
            <w:tcW w:w="835" w:type="dxa"/>
            <w:tcBorders>
              <w:top w:val="single" w:color="000000" w:sz="4"/>
              <w:left w:val="single" w:color="000000" w:sz="0"/>
              <w:bottom w:val="single" w:color="000000" w:sz="4"/>
              <w:right w:val="single" w:color="000000" w:sz="4"/>
            </w:tcBorders>
            <w:shd w:color="auto" w:fill="d9e1f2"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1.978,01</w:t>
            </w:r>
          </w:p>
        </w:tc>
        <w:tc>
          <w:tcPr>
            <w:tcW w:w="1059" w:type="dxa"/>
            <w:tcBorders>
              <w:top w:val="single" w:color="000000" w:sz="4"/>
              <w:left w:val="single" w:color="000000" w:sz="0"/>
              <w:bottom w:val="single" w:color="000000" w:sz="4"/>
              <w:right w:val="single" w:color="000000" w:sz="4"/>
            </w:tcBorders>
            <w:shd w:color="auto" w:fill="d9e1f2"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27.156,69</w:t>
            </w:r>
          </w:p>
        </w:tc>
        <w:tc>
          <w:tcPr>
            <w:tcW w:w="1189" w:type="dxa"/>
            <w:tcBorders>
              <w:top w:val="single" w:color="000000" w:sz="4"/>
              <w:left w:val="single" w:color="000000" w:sz="0"/>
              <w:bottom w:val="single" w:color="000000" w:sz="4"/>
              <w:right w:val="single" w:color="000000" w:sz="4"/>
            </w:tcBorders>
            <w:shd w:color="auto" w:fill="d9e1f2" w:val="clear"/>
            <w:tcMar>
              <w:left w:w="10" w:type="dxa"/>
              <w:right w:w="10" w:type="dxa"/>
            </w:tcMar>
            <w:vAlign w:val="center"/>
          </w:tcPr>
          <w:p>
            <w:pPr>
              <w:keepNext w:val="true"/>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499,47</w:t>
            </w:r>
          </w:p>
        </w:tc>
        <w:tc>
          <w:tcPr>
            <w:tcW w:w="1174" w:type="dxa"/>
            <w:tcBorders>
              <w:top w:val="single" w:color="000000" w:sz="0"/>
              <w:left w:val="single" w:color="000000" w:sz="4"/>
              <w:bottom w:val="single" w:color="000000" w:sz="4"/>
              <w:right w:val="single" w:color="000000" w:sz="4"/>
            </w:tcBorders>
            <w:shd w:color="auto" w:fill="d9e1f2" w:val="clear"/>
            <w:tcMar>
              <w:left w:w="10" w:type="dxa"/>
              <w:right w:w="10" w:type="dxa"/>
            </w:tcMar>
            <w:vAlign w:val="center"/>
          </w:tcPr>
          <w:p>
            <w:pPr>
              <w:keepNext w:val="true"/>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79.673,34</w:t>
            </w:r>
          </w:p>
        </w:tc>
      </w:tr>
    </w:tbl>
    <w:p>
      <w:pPr>
        <w:spacing w:before="60" w:after="160" w:line="240"/>
        <w:ind w:right="0" w:left="0" w:firstLine="0"/>
        <w:jc w:val="center"/>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Tabela 546: Kontrolni inventar finalne energije za sve razmatranem sektore</w:t>
      </w:r>
    </w:p>
    <w:p>
      <w:pPr>
        <w:spacing w:before="120" w:after="12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U</w:t>
      </w:r>
      <w:r>
        <w:rPr>
          <w:rFonts w:ascii="Calibri" w:hAnsi="Calibri" w:cs="Calibri" w:eastAsia="Calibri"/>
          <w:color w:val="auto"/>
          <w:spacing w:val="0"/>
          <w:position w:val="0"/>
          <w:sz w:val="20"/>
          <w:shd w:fill="auto" w:val="clear"/>
        </w:rPr>
        <w:t xml:space="preserve">češće eazmatranih sektora i energenata u ukupnoj finalnoj energiji prikazano je u narednim dijagramima.</w:t>
      </w:r>
    </w:p>
    <w:tbl>
      <w:tblPr/>
      <w:tblGrid>
        <w:gridCol w:w="10698"/>
        <w:gridCol w:w="222"/>
      </w:tblGrid>
      <w:tr>
        <w:trPr>
          <w:trHeight w:val="1" w:hRule="atLeast"/>
          <w:jc w:val="left"/>
        </w:trPr>
        <w:tc>
          <w:tcPr>
            <w:tcW w:w="10698"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tbl>
            <w:tblPr/>
            <w:tblGrid>
              <w:gridCol w:w="5226"/>
              <w:gridCol w:w="5256"/>
            </w:tblGrid>
            <w:tr>
              <w:trPr>
                <w:trHeight w:val="1" w:hRule="atLeast"/>
                <w:jc w:val="left"/>
              </w:trPr>
              <w:tc>
                <w:tcPr>
                  <w:tcW w:w="5226"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p>
                  <w:pPr>
                    <w:spacing w:before="60" w:after="20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Dijagram 531: Udio razmatranih sektora u ukupnoj finalnoj energiji u kontrolnoj godini</w:t>
                  </w:r>
                </w:p>
              </w:tc>
              <w:tc>
                <w:tcPr>
                  <w:tcW w:w="5256"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p>
                  <w:pPr>
                    <w:spacing w:before="60" w:after="16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Dijagram 532: Udio razmatranih energenata u ukupnoj finalnoj energiji u kontrolnoj godini</w:t>
                  </w:r>
                </w:p>
              </w:tc>
            </w:tr>
          </w:tbl>
          <w:p>
            <w:pPr>
              <w:spacing w:before="0" w:after="0" w:line="240"/>
              <w:ind w:right="0" w:left="0" w:firstLine="0"/>
              <w:jc w:val="left"/>
              <w:rPr>
                <w:rFonts w:ascii="Calibri" w:hAnsi="Calibri" w:cs="Calibri" w:eastAsia="Calibri"/>
                <w:color w:val="auto"/>
                <w:spacing w:val="0"/>
                <w:position w:val="0"/>
              </w:rPr>
            </w:pPr>
          </w:p>
        </w:tc>
        <w:tc>
          <w:tcPr>
            <w:tcW w:w="222"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200" w:line="276"/>
              <w:ind w:right="0" w:left="0" w:firstLine="0"/>
              <w:jc w:val="both"/>
              <w:rPr>
                <w:rFonts w:ascii="Calibri" w:hAnsi="Calibri" w:cs="Calibri" w:eastAsia="Calibri"/>
                <w:color w:val="auto"/>
                <w:spacing w:val="0"/>
                <w:position w:val="0"/>
                <w:sz w:val="22"/>
                <w:shd w:fill="auto" w:val="clear"/>
              </w:rPr>
            </w:pPr>
          </w:p>
        </w:tc>
      </w:tr>
    </w:tbl>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Ukupna finalna energija obuhva</w:t>
      </w:r>
      <w:r>
        <w:rPr>
          <w:rFonts w:ascii="Calibri" w:hAnsi="Calibri" w:cs="Calibri" w:eastAsia="Calibri"/>
          <w:color w:val="auto"/>
          <w:spacing w:val="0"/>
          <w:position w:val="0"/>
          <w:sz w:val="20"/>
          <w:shd w:fill="auto" w:val="clear"/>
        </w:rPr>
        <w:t xml:space="preserve">ćena kontrolnim inventarom je 79.673,34 MWh. Iz gornje tabele i dijagrama je evidentno da i u kontrolnoj 2020. godini najveće učešće u ukupnoj finalnoj energiji imaju slijedeći sektori odnosno podsektori:</w:t>
      </w:r>
    </w:p>
    <w:p>
      <w:pPr>
        <w:numPr>
          <w:ilvl w:val="0"/>
          <w:numId w:val="2000"/>
        </w:numPr>
        <w:spacing w:before="60" w:after="0" w:line="240"/>
        <w:ind w:right="0" w:left="720" w:hanging="360"/>
        <w:jc w:val="both"/>
        <w:rPr>
          <w:rFonts w:ascii="Calibri" w:hAnsi="Calibri" w:cs="Calibri" w:eastAsia="Calibri"/>
          <w:color w:val="auto"/>
          <w:spacing w:val="0"/>
          <w:position w:val="0"/>
          <w:sz w:val="20"/>
          <w:shd w:fill="auto" w:val="clear"/>
        </w:rPr>
      </w:pPr>
      <w:r>
        <w:rPr>
          <w:rFonts w:ascii="Calibri" w:hAnsi="Calibri" w:cs="Calibri" w:eastAsia="Calibri"/>
          <w:b/>
          <w:color w:val="auto"/>
          <w:spacing w:val="0"/>
          <w:position w:val="0"/>
          <w:sz w:val="20"/>
          <w:shd w:fill="auto" w:val="clear"/>
        </w:rPr>
        <w:t xml:space="preserve">stambene zgrade</w:t>
      </w:r>
      <w:r>
        <w:rPr>
          <w:rFonts w:ascii="Calibri" w:hAnsi="Calibri" w:cs="Calibri" w:eastAsia="Calibri"/>
          <w:color w:val="auto"/>
          <w:spacing w:val="0"/>
          <w:position w:val="0"/>
          <w:sz w:val="20"/>
          <w:shd w:fill="auto" w:val="clear"/>
        </w:rPr>
        <w:t xml:space="preserve">, sa 46.525,49 MWh što predstavlja 58,40% od ukupne finalne energije u svim sektorima; i </w:t>
      </w:r>
    </w:p>
    <w:p>
      <w:pPr>
        <w:numPr>
          <w:ilvl w:val="0"/>
          <w:numId w:val="2000"/>
        </w:numPr>
        <w:spacing w:before="60" w:after="0" w:line="240"/>
        <w:ind w:right="0" w:left="720" w:hanging="360"/>
        <w:jc w:val="both"/>
        <w:rPr>
          <w:rFonts w:ascii="Calibri" w:hAnsi="Calibri" w:cs="Calibri" w:eastAsia="Calibri"/>
          <w:color w:val="auto"/>
          <w:spacing w:val="0"/>
          <w:position w:val="0"/>
          <w:sz w:val="20"/>
          <w:shd w:fill="auto" w:val="clear"/>
        </w:rPr>
      </w:pPr>
      <w:r>
        <w:rPr>
          <w:rFonts w:ascii="Calibri" w:hAnsi="Calibri" w:cs="Calibri" w:eastAsia="Calibri"/>
          <w:b/>
          <w:color w:val="auto"/>
          <w:spacing w:val="0"/>
          <w:position w:val="0"/>
          <w:sz w:val="20"/>
          <w:shd w:fill="auto" w:val="clear"/>
        </w:rPr>
        <w:t xml:space="preserve">osobna i komercijalna</w:t>
      </w:r>
      <w:r>
        <w:rPr>
          <w:rFonts w:ascii="Calibri" w:hAnsi="Calibri" w:cs="Calibri" w:eastAsia="Calibri"/>
          <w:color w:val="auto"/>
          <w:spacing w:val="0"/>
          <w:position w:val="0"/>
          <w:sz w:val="20"/>
          <w:shd w:fill="auto" w:val="clear"/>
        </w:rPr>
        <w:t xml:space="preserve"> vozila, sa 27.156,69 MWh odnosno 34,09% od ukupne finalne energije u svim sektorima.</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Ostali sektori i podsektori u</w:t>
      </w:r>
      <w:r>
        <w:rPr>
          <w:rFonts w:ascii="Calibri" w:hAnsi="Calibri" w:cs="Calibri" w:eastAsia="Calibri"/>
          <w:color w:val="auto"/>
          <w:spacing w:val="0"/>
          <w:position w:val="0"/>
          <w:sz w:val="20"/>
          <w:shd w:fill="auto" w:val="clear"/>
        </w:rPr>
        <w:t xml:space="preserve">čestvuju u znatno manjem obimu, i to javni prijevoz sa 2,48%, javne grade u vlasništvu Općine sa 2,14%, javne zgrade koje nisu u vlasništvu Općine sa 1,23%, javna rasvjeta sa 0,79%, vodosnabdijevanje sa 0,63%, i vozila u vlasništvu Općine sa 0,25%.</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Energent sa najve</w:t>
      </w:r>
      <w:r>
        <w:rPr>
          <w:rFonts w:ascii="Calibri" w:hAnsi="Calibri" w:cs="Calibri" w:eastAsia="Calibri"/>
          <w:color w:val="auto"/>
          <w:spacing w:val="0"/>
          <w:position w:val="0"/>
          <w:sz w:val="20"/>
          <w:shd w:fill="auto" w:val="clear"/>
        </w:rPr>
        <w:t xml:space="preserve">ćim učešćem u ukupnoj finalnoj energiji je dizel gorivo sa 24.225,56 MWh odnosno 30,41% učešća. Zatim slijede lignit i mrki ugalj sa po 20.276,70 MWh (25,45% učešća). Značajno učeće ima i biomasa sa 9,17% učešća. Potrošnju energije iz biomase prate motorni benzin sa 5,89% i električna energija sa po 2,68% učešća. Potrošnje energije dobivene iz tečnog plina, lož ulja i prirodnog plina su neznatne i učestvuju sa po 0,53%, 0,25% i 0,18%.</w:t>
      </w:r>
    </w:p>
    <w:p>
      <w:pPr>
        <w:keepNext w:val="true"/>
        <w:keepLines w:val="true"/>
        <w:numPr>
          <w:ilvl w:val="0"/>
          <w:numId w:val="2002"/>
        </w:numPr>
        <w:spacing w:before="120" w:after="0" w:line="240"/>
        <w:ind w:right="0" w:left="862" w:hanging="862"/>
        <w:jc w:val="both"/>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Ukupne emisije CO</w:t>
      </w:r>
      <w:r>
        <w:rPr>
          <w:rFonts w:ascii="Calibri" w:hAnsi="Calibri" w:cs="Calibri" w:eastAsia="Calibri"/>
          <w:b/>
          <w:color w:val="auto"/>
          <w:spacing w:val="0"/>
          <w:position w:val="0"/>
          <w:sz w:val="22"/>
          <w:shd w:fill="auto" w:val="clear"/>
          <w:vertAlign w:val="subscript"/>
        </w:rPr>
        <w:t xml:space="preserve">2 </w:t>
      </w:r>
      <w:r>
        <w:rPr>
          <w:rFonts w:ascii="Calibri" w:hAnsi="Calibri" w:cs="Calibri" w:eastAsia="Calibri"/>
          <w:b/>
          <w:color w:val="auto"/>
          <w:spacing w:val="0"/>
          <w:position w:val="0"/>
          <w:sz w:val="22"/>
          <w:shd w:fill="auto" w:val="clear"/>
        </w:rPr>
        <w:t xml:space="preserve">u kontrolnoj godini u svim razmatranim sektorima</w:t>
      </w:r>
    </w:p>
    <w:p>
      <w:pPr>
        <w:spacing w:before="60" w:after="12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U narednoj tabeli prikazane su ukupne emisije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nastale kao rezultat potrošnje ukupne finalne energije u kontrolnoj 2020. godini. </w:t>
      </w:r>
    </w:p>
    <w:tbl>
      <w:tblPr/>
      <w:tblGrid>
        <w:gridCol w:w="1129"/>
        <w:gridCol w:w="927"/>
        <w:gridCol w:w="961"/>
        <w:gridCol w:w="960"/>
        <w:gridCol w:w="826"/>
        <w:gridCol w:w="960"/>
        <w:gridCol w:w="835"/>
        <w:gridCol w:w="1059"/>
        <w:gridCol w:w="1189"/>
        <w:gridCol w:w="1174"/>
      </w:tblGrid>
      <w:tr>
        <w:trPr>
          <w:trHeight w:val="340" w:hRule="auto"/>
          <w:jc w:val="left"/>
        </w:trPr>
        <w:tc>
          <w:tcPr>
            <w:tcW w:w="1129" w:type="dxa"/>
            <w:vMerge w:val="restart"/>
            <w:tcBorders>
              <w:top w:val="single" w:color="000000" w:sz="4"/>
              <w:left w:val="single" w:color="000000" w:sz="4"/>
              <w:bottom w:val="single" w:color="000000" w:sz="4"/>
              <w:right w:val="single" w:color="000000" w:sz="4"/>
            </w:tcBorders>
            <w:shd w:color="auto" w:fill="b4c6e7" w:val="clear"/>
            <w:tcMar>
              <w:left w:w="10" w:type="dxa"/>
              <w:right w:w="10"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ENERGENT</w:t>
            </w:r>
          </w:p>
        </w:tc>
        <w:tc>
          <w:tcPr>
            <w:tcW w:w="8891" w:type="dxa"/>
            <w:gridSpan w:val="9"/>
            <w:tcBorders>
              <w:top w:val="single" w:color="000000" w:sz="4"/>
              <w:left w:val="single" w:color="000000" w:sz="0"/>
              <w:bottom w:val="single" w:color="000000" w:sz="4"/>
              <w:right w:val="single" w:color="000000" w:sz="4"/>
            </w:tcBorders>
            <w:shd w:color="auto" w:fill="b4c6e7"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KONTROLNI INVENTAR EMISIJA CO</w:t>
            </w:r>
            <w:r>
              <w:rPr>
                <w:rFonts w:ascii="Calibri" w:hAnsi="Calibri" w:cs="Calibri" w:eastAsia="Calibri"/>
                <w:color w:val="000000"/>
                <w:spacing w:val="0"/>
                <w:position w:val="0"/>
                <w:sz w:val="18"/>
                <w:shd w:fill="auto" w:val="clear"/>
                <w:vertAlign w:val="subscript"/>
              </w:rPr>
              <w:t xml:space="preserve">2</w:t>
            </w:r>
            <w:r>
              <w:rPr>
                <w:rFonts w:ascii="Calibri" w:hAnsi="Calibri" w:cs="Calibri" w:eastAsia="Calibri"/>
                <w:color w:val="000000"/>
                <w:spacing w:val="0"/>
                <w:position w:val="0"/>
                <w:sz w:val="18"/>
                <w:shd w:fill="auto" w:val="clear"/>
              </w:rPr>
              <w:t xml:space="preserve"> [tCO</w:t>
            </w:r>
            <w:r>
              <w:rPr>
                <w:rFonts w:ascii="Calibri" w:hAnsi="Calibri" w:cs="Calibri" w:eastAsia="Calibri"/>
                <w:color w:val="000000"/>
                <w:spacing w:val="0"/>
                <w:position w:val="0"/>
                <w:sz w:val="18"/>
                <w:shd w:fill="auto" w:val="clear"/>
                <w:vertAlign w:val="subscript"/>
              </w:rPr>
              <w:t xml:space="preserve">2</w:t>
            </w:r>
            <w:r>
              <w:rPr>
                <w:rFonts w:ascii="Calibri" w:hAnsi="Calibri" w:cs="Calibri" w:eastAsia="Calibri"/>
                <w:color w:val="000000"/>
                <w:spacing w:val="0"/>
                <w:position w:val="0"/>
                <w:sz w:val="18"/>
                <w:shd w:fill="auto" w:val="clear"/>
              </w:rPr>
              <w:t xml:space="preserve">]</w:t>
            </w:r>
          </w:p>
        </w:tc>
      </w:tr>
      <w:tr>
        <w:trPr>
          <w:trHeight w:val="465" w:hRule="auto"/>
          <w:jc w:val="left"/>
        </w:trPr>
        <w:tc>
          <w:tcPr>
            <w:tcW w:w="1129" w:type="dxa"/>
            <w:vMerge/>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3674" w:type="dxa"/>
            <w:gridSpan w:val="4"/>
            <w:tcBorders>
              <w:top w:val="single" w:color="000000" w:sz="4"/>
              <w:left w:val="single" w:color="000000" w:sz="0"/>
              <w:bottom w:val="single" w:color="000000" w:sz="4"/>
              <w:right w:val="single" w:color="000000" w:sz="4"/>
            </w:tcBorders>
            <w:shd w:color="auto" w:fill="b4c6e7"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ZGRADARSTVO I JAVNA RASVJETA</w:t>
            </w:r>
          </w:p>
        </w:tc>
        <w:tc>
          <w:tcPr>
            <w:tcW w:w="2854" w:type="dxa"/>
            <w:gridSpan w:val="3"/>
            <w:tcBorders>
              <w:top w:val="single" w:color="000000" w:sz="4"/>
              <w:left w:val="single" w:color="000000" w:sz="0"/>
              <w:bottom w:val="single" w:color="000000" w:sz="4"/>
              <w:right w:val="single" w:color="000000" w:sz="4"/>
            </w:tcBorders>
            <w:shd w:color="auto" w:fill="b4c6e7"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SAOBRA</w:t>
            </w:r>
            <w:r>
              <w:rPr>
                <w:rFonts w:ascii="Calibri" w:hAnsi="Calibri" w:cs="Calibri" w:eastAsia="Calibri"/>
                <w:color w:val="000000"/>
                <w:spacing w:val="0"/>
                <w:position w:val="0"/>
                <w:sz w:val="18"/>
                <w:shd w:fill="auto" w:val="clear"/>
              </w:rPr>
              <w:t xml:space="preserve">ĆAJ</w:t>
            </w:r>
          </w:p>
        </w:tc>
        <w:tc>
          <w:tcPr>
            <w:tcW w:w="1189" w:type="dxa"/>
            <w:tcBorders>
              <w:top w:val="single" w:color="000000" w:sz="0"/>
              <w:left w:val="single" w:color="000000" w:sz="0"/>
              <w:bottom w:val="single" w:color="000000" w:sz="4"/>
              <w:right w:val="single" w:color="000000" w:sz="4"/>
            </w:tcBorders>
            <w:shd w:color="auto" w:fill="b4c6e7"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NEENERGETSKI SEKTOR</w:t>
            </w:r>
          </w:p>
        </w:tc>
        <w:tc>
          <w:tcPr>
            <w:tcW w:w="1174" w:type="dxa"/>
            <w:vMerge w:val="restart"/>
            <w:tcBorders>
              <w:top w:val="single" w:color="000000" w:sz="0"/>
              <w:left w:val="single" w:color="000000" w:sz="0"/>
              <w:bottom w:val="single" w:color="000000" w:sz="4"/>
              <w:right w:val="single" w:color="000000" w:sz="4"/>
            </w:tcBorders>
            <w:shd w:color="auto" w:fill="b4c6e7"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UKUPNO PO ENERGENTIMA</w:t>
            </w:r>
          </w:p>
        </w:tc>
      </w:tr>
      <w:tr>
        <w:trPr>
          <w:trHeight w:val="691" w:hRule="auto"/>
          <w:jc w:val="left"/>
        </w:trPr>
        <w:tc>
          <w:tcPr>
            <w:tcW w:w="1129" w:type="dxa"/>
            <w:vMerge/>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927" w:type="dxa"/>
            <w:tcBorders>
              <w:top w:val="single" w:color="000000" w:sz="0"/>
              <w:left w:val="single" w:color="000000" w:sz="0"/>
              <w:bottom w:val="single" w:color="000000" w:sz="4"/>
              <w:right w:val="single" w:color="000000" w:sz="4"/>
            </w:tcBorders>
            <w:shd w:color="auto" w:fill="b4c6e7"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Javne zgrade u vlasništvu Grada</w:t>
            </w:r>
          </w:p>
        </w:tc>
        <w:tc>
          <w:tcPr>
            <w:tcW w:w="961" w:type="dxa"/>
            <w:tcBorders>
              <w:top w:val="single" w:color="000000" w:sz="0"/>
              <w:left w:val="single" w:color="000000" w:sz="0"/>
              <w:bottom w:val="single" w:color="000000" w:sz="4"/>
              <w:right w:val="single" w:color="000000" w:sz="4"/>
            </w:tcBorders>
            <w:shd w:color="auto" w:fill="b4c6e7"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Javne zgrade koje nisu u vlasništvu Grada</w:t>
            </w:r>
          </w:p>
        </w:tc>
        <w:tc>
          <w:tcPr>
            <w:tcW w:w="960" w:type="dxa"/>
            <w:tcBorders>
              <w:top w:val="single" w:color="000000" w:sz="0"/>
              <w:left w:val="single" w:color="000000" w:sz="0"/>
              <w:bottom w:val="single" w:color="000000" w:sz="4"/>
              <w:right w:val="single" w:color="000000" w:sz="4"/>
            </w:tcBorders>
            <w:shd w:color="auto" w:fill="b4c6e7"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Stambene zgrade</w:t>
            </w:r>
          </w:p>
        </w:tc>
        <w:tc>
          <w:tcPr>
            <w:tcW w:w="826" w:type="dxa"/>
            <w:tcBorders>
              <w:top w:val="single" w:color="000000" w:sz="0"/>
              <w:left w:val="single" w:color="000000" w:sz="0"/>
              <w:bottom w:val="single" w:color="000000" w:sz="4"/>
              <w:right w:val="single" w:color="000000" w:sz="4"/>
            </w:tcBorders>
            <w:shd w:color="auto" w:fill="b4c6e7"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Javna rasvjeta</w:t>
            </w:r>
          </w:p>
        </w:tc>
        <w:tc>
          <w:tcPr>
            <w:tcW w:w="960" w:type="dxa"/>
            <w:tcBorders>
              <w:top w:val="single" w:color="000000" w:sz="0"/>
              <w:left w:val="single" w:color="000000" w:sz="0"/>
              <w:bottom w:val="single" w:color="000000" w:sz="4"/>
              <w:right w:val="single" w:color="000000" w:sz="4"/>
            </w:tcBorders>
            <w:shd w:color="auto" w:fill="b4c6e7"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Vozila u vlasništvu Grada</w:t>
            </w:r>
          </w:p>
        </w:tc>
        <w:tc>
          <w:tcPr>
            <w:tcW w:w="835" w:type="dxa"/>
            <w:tcBorders>
              <w:top w:val="single" w:color="000000" w:sz="0"/>
              <w:left w:val="single" w:color="000000" w:sz="0"/>
              <w:bottom w:val="single" w:color="000000" w:sz="4"/>
              <w:right w:val="single" w:color="000000" w:sz="4"/>
            </w:tcBorders>
            <w:shd w:color="auto" w:fill="b4c6e7"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Javni prijevoz</w:t>
            </w:r>
          </w:p>
        </w:tc>
        <w:tc>
          <w:tcPr>
            <w:tcW w:w="1059" w:type="dxa"/>
            <w:tcBorders>
              <w:top w:val="single" w:color="000000" w:sz="0"/>
              <w:left w:val="single" w:color="000000" w:sz="0"/>
              <w:bottom w:val="single" w:color="000000" w:sz="4"/>
              <w:right w:val="single" w:color="000000" w:sz="4"/>
            </w:tcBorders>
            <w:shd w:color="auto" w:fill="b4c6e7"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Osobna i komercijalna vozila</w:t>
            </w:r>
          </w:p>
        </w:tc>
        <w:tc>
          <w:tcPr>
            <w:tcW w:w="1189" w:type="dxa"/>
            <w:tcBorders>
              <w:top w:val="single" w:color="000000" w:sz="0"/>
              <w:left w:val="single" w:color="000000" w:sz="0"/>
              <w:bottom w:val="single" w:color="000000" w:sz="4"/>
              <w:right w:val="single" w:color="000000" w:sz="4"/>
            </w:tcBorders>
            <w:shd w:color="auto" w:fill="b4c6e7" w:val="clear"/>
            <w:tcMar>
              <w:left w:w="10" w:type="dxa"/>
              <w:right w:w="10" w:type="dxa"/>
            </w:tcMar>
            <w:vAlign w:val="center"/>
          </w:tcPr>
          <w:p>
            <w:pPr>
              <w:spacing w:before="0" w:after="0" w:line="240"/>
              <w:ind w:right="0" w:left="0" w:firstLine="0"/>
              <w:jc w:val="center"/>
              <w:rPr>
                <w:rFonts w:ascii="Calibri" w:hAnsi="Calibri" w:cs="Calibri" w:eastAsia="Calibri"/>
                <w:color w:val="000000"/>
                <w:spacing w:val="0"/>
                <w:position w:val="0"/>
                <w:sz w:val="18"/>
                <w:shd w:fill="auto" w:val="clear"/>
              </w:rPr>
            </w:pPr>
            <w:r>
              <w:rPr>
                <w:rFonts w:ascii="Calibri" w:hAnsi="Calibri" w:cs="Calibri" w:eastAsia="Calibri"/>
                <w:color w:val="000000"/>
                <w:spacing w:val="0"/>
                <w:position w:val="0"/>
                <w:sz w:val="18"/>
                <w:shd w:fill="auto" w:val="clear"/>
              </w:rPr>
              <w:t xml:space="preserve">Vodo-</w:t>
            </w:r>
          </w:p>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-snadbijevanje</w:t>
            </w:r>
          </w:p>
        </w:tc>
        <w:tc>
          <w:tcPr>
            <w:tcW w:w="1174" w:type="dxa"/>
            <w:vMerge/>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r>
      <w:tr>
        <w:trPr>
          <w:trHeight w:val="340" w:hRule="auto"/>
          <w:jc w:val="left"/>
        </w:trPr>
        <w:tc>
          <w:tcPr>
            <w:tcW w:w="1129" w:type="dxa"/>
            <w:tcBorders>
              <w:top w:val="single" w:color="000000" w:sz="0"/>
              <w:left w:val="single" w:color="000000" w:sz="4"/>
              <w:bottom w:val="single" w:color="000000" w:sz="4"/>
              <w:right w:val="single" w:color="000000" w:sz="4"/>
            </w:tcBorders>
            <w:shd w:color="auto" w:fill="b4c6e7" w:val="clear"/>
            <w:tcMar>
              <w:left w:w="10" w:type="dxa"/>
              <w:right w:w="10"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Elektri</w:t>
            </w:r>
            <w:r>
              <w:rPr>
                <w:rFonts w:ascii="Calibri" w:hAnsi="Calibri" w:cs="Calibri" w:eastAsia="Calibri"/>
                <w:color w:val="000000"/>
                <w:spacing w:val="0"/>
                <w:position w:val="0"/>
                <w:sz w:val="18"/>
                <w:shd w:fill="auto" w:val="clear"/>
              </w:rPr>
              <w:t xml:space="preserve">čna energija</w:t>
            </w:r>
          </w:p>
        </w:tc>
        <w:tc>
          <w:tcPr>
            <w:tcW w:w="927"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621,14</w:t>
            </w:r>
          </w:p>
        </w:tc>
        <w:tc>
          <w:tcPr>
            <w:tcW w:w="961" w:type="dxa"/>
            <w:tcBorders>
              <w:top w:val="single" w:color="000000" w:sz="4"/>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8,14</w:t>
            </w:r>
          </w:p>
        </w:tc>
        <w:tc>
          <w:tcPr>
            <w:tcW w:w="960" w:type="dxa"/>
            <w:tcBorders>
              <w:top w:val="single" w:color="000000" w:sz="4"/>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136,61</w:t>
            </w:r>
          </w:p>
        </w:tc>
        <w:tc>
          <w:tcPr>
            <w:tcW w:w="826" w:type="dxa"/>
            <w:tcBorders>
              <w:top w:val="single" w:color="000000" w:sz="4"/>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478,42</w:t>
            </w:r>
          </w:p>
        </w:tc>
        <w:tc>
          <w:tcPr>
            <w:tcW w:w="960" w:type="dxa"/>
            <w:tcBorders>
              <w:top w:val="single" w:color="000000" w:sz="4"/>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835" w:type="dxa"/>
            <w:tcBorders>
              <w:top w:val="single" w:color="000000" w:sz="4"/>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1059" w:type="dxa"/>
            <w:tcBorders>
              <w:top w:val="single" w:color="000000" w:sz="4"/>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1189" w:type="dxa"/>
            <w:tcBorders>
              <w:top w:val="single" w:color="000000" w:sz="4"/>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379,60</w:t>
            </w:r>
          </w:p>
        </w:tc>
        <w:tc>
          <w:tcPr>
            <w:tcW w:w="1174" w:type="dxa"/>
            <w:tcBorders>
              <w:top w:val="single" w:color="000000" w:sz="4"/>
              <w:left w:val="single" w:color="000000" w:sz="4"/>
              <w:bottom w:val="single" w:color="000000" w:sz="4"/>
              <w:right w:val="single" w:color="000000" w:sz="4"/>
            </w:tcBorders>
            <w:shd w:color="auto" w:fill="d9e1f2"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1.623,91</w:t>
            </w:r>
          </w:p>
        </w:tc>
      </w:tr>
      <w:tr>
        <w:trPr>
          <w:trHeight w:val="340" w:hRule="auto"/>
          <w:jc w:val="left"/>
        </w:trPr>
        <w:tc>
          <w:tcPr>
            <w:tcW w:w="1129" w:type="dxa"/>
            <w:tcBorders>
              <w:top w:val="single" w:color="000000" w:sz="0"/>
              <w:left w:val="single" w:color="000000" w:sz="4"/>
              <w:bottom w:val="single" w:color="000000" w:sz="4"/>
              <w:right w:val="single" w:color="000000" w:sz="4"/>
            </w:tcBorders>
            <w:shd w:color="auto" w:fill="b4c6e7" w:val="clear"/>
            <w:tcMar>
              <w:left w:w="10" w:type="dxa"/>
              <w:right w:w="10"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Prirodni plin</w:t>
            </w:r>
          </w:p>
        </w:tc>
        <w:tc>
          <w:tcPr>
            <w:tcW w:w="927" w:type="dxa"/>
            <w:tcBorders>
              <w:top w:val="single" w:color="000000" w:sz="0"/>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961"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960"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33,68</w:t>
            </w:r>
          </w:p>
        </w:tc>
        <w:tc>
          <w:tcPr>
            <w:tcW w:w="826"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960"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835"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1059"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1189"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1174" w:type="dxa"/>
            <w:tcBorders>
              <w:top w:val="single" w:color="000000" w:sz="0"/>
              <w:left w:val="single" w:color="000000" w:sz="4"/>
              <w:bottom w:val="single" w:color="000000" w:sz="4"/>
              <w:right w:val="single" w:color="000000" w:sz="4"/>
            </w:tcBorders>
            <w:shd w:color="auto" w:fill="d9e1f2"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33,68</w:t>
            </w:r>
          </w:p>
        </w:tc>
      </w:tr>
      <w:tr>
        <w:trPr>
          <w:trHeight w:val="340" w:hRule="auto"/>
          <w:jc w:val="left"/>
        </w:trPr>
        <w:tc>
          <w:tcPr>
            <w:tcW w:w="1129" w:type="dxa"/>
            <w:tcBorders>
              <w:top w:val="single" w:color="000000" w:sz="0"/>
              <w:left w:val="single" w:color="000000" w:sz="4"/>
              <w:bottom w:val="single" w:color="000000" w:sz="4"/>
              <w:right w:val="single" w:color="000000" w:sz="4"/>
            </w:tcBorders>
            <w:shd w:color="auto" w:fill="b4c6e7" w:val="clear"/>
            <w:tcMar>
              <w:left w:w="10" w:type="dxa"/>
              <w:right w:w="10"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Lož ulje</w:t>
            </w:r>
          </w:p>
        </w:tc>
        <w:tc>
          <w:tcPr>
            <w:tcW w:w="927" w:type="dxa"/>
            <w:tcBorders>
              <w:top w:val="single" w:color="000000" w:sz="0"/>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961"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960"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53,06</w:t>
            </w:r>
          </w:p>
        </w:tc>
        <w:tc>
          <w:tcPr>
            <w:tcW w:w="826"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960"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835"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1059"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1189"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1174" w:type="dxa"/>
            <w:tcBorders>
              <w:top w:val="single" w:color="000000" w:sz="0"/>
              <w:left w:val="single" w:color="000000" w:sz="4"/>
              <w:bottom w:val="single" w:color="000000" w:sz="4"/>
              <w:right w:val="single" w:color="000000" w:sz="4"/>
            </w:tcBorders>
            <w:shd w:color="auto" w:fill="d9e1f2"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53,06</w:t>
            </w:r>
          </w:p>
        </w:tc>
      </w:tr>
      <w:tr>
        <w:trPr>
          <w:trHeight w:val="340" w:hRule="auto"/>
          <w:jc w:val="left"/>
        </w:trPr>
        <w:tc>
          <w:tcPr>
            <w:tcW w:w="1129" w:type="dxa"/>
            <w:tcBorders>
              <w:top w:val="single" w:color="000000" w:sz="0"/>
              <w:left w:val="single" w:color="000000" w:sz="4"/>
              <w:bottom w:val="single" w:color="000000" w:sz="4"/>
              <w:right w:val="single" w:color="000000" w:sz="4"/>
            </w:tcBorders>
            <w:shd w:color="auto" w:fill="b4c6e7" w:val="clear"/>
            <w:tcMar>
              <w:left w:w="10" w:type="dxa"/>
              <w:right w:w="10"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Dizel</w:t>
            </w:r>
          </w:p>
        </w:tc>
        <w:tc>
          <w:tcPr>
            <w:tcW w:w="927" w:type="dxa"/>
            <w:tcBorders>
              <w:top w:val="single" w:color="000000" w:sz="0"/>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961"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960"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826"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960"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46,84</w:t>
            </w:r>
          </w:p>
        </w:tc>
        <w:tc>
          <w:tcPr>
            <w:tcW w:w="835"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528,13</w:t>
            </w:r>
          </w:p>
        </w:tc>
        <w:tc>
          <w:tcPr>
            <w:tcW w:w="1059"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5.893,26</w:t>
            </w:r>
          </w:p>
        </w:tc>
        <w:tc>
          <w:tcPr>
            <w:tcW w:w="1189"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1174" w:type="dxa"/>
            <w:tcBorders>
              <w:top w:val="single" w:color="000000" w:sz="0"/>
              <w:left w:val="single" w:color="000000" w:sz="4"/>
              <w:bottom w:val="single" w:color="000000" w:sz="4"/>
              <w:right w:val="single" w:color="000000" w:sz="4"/>
            </w:tcBorders>
            <w:shd w:color="auto" w:fill="d9e1f2"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6.468,23</w:t>
            </w:r>
          </w:p>
        </w:tc>
      </w:tr>
      <w:tr>
        <w:trPr>
          <w:trHeight w:val="340" w:hRule="auto"/>
          <w:jc w:val="left"/>
        </w:trPr>
        <w:tc>
          <w:tcPr>
            <w:tcW w:w="1129" w:type="dxa"/>
            <w:tcBorders>
              <w:top w:val="single" w:color="000000" w:sz="0"/>
              <w:left w:val="single" w:color="000000" w:sz="4"/>
              <w:bottom w:val="single" w:color="000000" w:sz="4"/>
              <w:right w:val="single" w:color="000000" w:sz="4"/>
            </w:tcBorders>
            <w:shd w:color="auto" w:fill="b4c6e7" w:val="clear"/>
            <w:tcMar>
              <w:left w:w="10" w:type="dxa"/>
              <w:right w:w="10"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Motorni benzin</w:t>
            </w:r>
          </w:p>
        </w:tc>
        <w:tc>
          <w:tcPr>
            <w:tcW w:w="927" w:type="dxa"/>
            <w:tcBorders>
              <w:top w:val="single" w:color="000000" w:sz="0"/>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961"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960"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826"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960"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5,96</w:t>
            </w:r>
          </w:p>
        </w:tc>
        <w:tc>
          <w:tcPr>
            <w:tcW w:w="835"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1059"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1.161,62</w:t>
            </w:r>
          </w:p>
        </w:tc>
        <w:tc>
          <w:tcPr>
            <w:tcW w:w="1189"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1174" w:type="dxa"/>
            <w:tcBorders>
              <w:top w:val="single" w:color="000000" w:sz="0"/>
              <w:left w:val="single" w:color="000000" w:sz="4"/>
              <w:bottom w:val="single" w:color="000000" w:sz="4"/>
              <w:right w:val="single" w:color="000000" w:sz="4"/>
            </w:tcBorders>
            <w:shd w:color="auto" w:fill="d9e1f2"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1.167,57</w:t>
            </w:r>
          </w:p>
        </w:tc>
      </w:tr>
      <w:tr>
        <w:trPr>
          <w:trHeight w:val="340" w:hRule="auto"/>
          <w:jc w:val="left"/>
        </w:trPr>
        <w:tc>
          <w:tcPr>
            <w:tcW w:w="1129" w:type="dxa"/>
            <w:tcBorders>
              <w:top w:val="single" w:color="000000" w:sz="0"/>
              <w:left w:val="single" w:color="000000" w:sz="4"/>
              <w:bottom w:val="single" w:color="000000" w:sz="4"/>
              <w:right w:val="single" w:color="000000" w:sz="4"/>
            </w:tcBorders>
            <w:shd w:color="auto" w:fill="b4c6e7" w:val="clear"/>
            <w:tcMar>
              <w:left w:w="10" w:type="dxa"/>
              <w:right w:w="10"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Lignit</w:t>
            </w:r>
          </w:p>
        </w:tc>
        <w:tc>
          <w:tcPr>
            <w:tcW w:w="927" w:type="dxa"/>
            <w:tcBorders>
              <w:top w:val="single" w:color="000000" w:sz="0"/>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132,03</w:t>
            </w:r>
          </w:p>
        </w:tc>
        <w:tc>
          <w:tcPr>
            <w:tcW w:w="961"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175,70</w:t>
            </w:r>
          </w:p>
        </w:tc>
        <w:tc>
          <w:tcPr>
            <w:tcW w:w="960"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7.072,99</w:t>
            </w:r>
          </w:p>
        </w:tc>
        <w:tc>
          <w:tcPr>
            <w:tcW w:w="826"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960"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835"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1059"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1189"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1174" w:type="dxa"/>
            <w:tcBorders>
              <w:top w:val="single" w:color="000000" w:sz="0"/>
              <w:left w:val="single" w:color="000000" w:sz="4"/>
              <w:bottom w:val="single" w:color="000000" w:sz="4"/>
              <w:right w:val="single" w:color="000000" w:sz="4"/>
            </w:tcBorders>
            <w:shd w:color="auto" w:fill="d9e1f2"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7.380,72</w:t>
            </w:r>
          </w:p>
        </w:tc>
      </w:tr>
      <w:tr>
        <w:trPr>
          <w:trHeight w:val="340" w:hRule="auto"/>
          <w:jc w:val="left"/>
        </w:trPr>
        <w:tc>
          <w:tcPr>
            <w:tcW w:w="1129" w:type="dxa"/>
            <w:tcBorders>
              <w:top w:val="single" w:color="000000" w:sz="4"/>
              <w:left w:val="single" w:color="000000" w:sz="4"/>
              <w:bottom w:val="single" w:color="000000" w:sz="4"/>
              <w:right w:val="single" w:color="000000" w:sz="4"/>
            </w:tcBorders>
            <w:shd w:color="auto" w:fill="b4c6e7" w:val="clear"/>
            <w:tcMar>
              <w:left w:w="10" w:type="dxa"/>
              <w:right w:w="10"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Mrki ugalj</w:t>
            </w:r>
          </w:p>
        </w:tc>
        <w:tc>
          <w:tcPr>
            <w:tcW w:w="927" w:type="dxa"/>
            <w:tcBorders>
              <w:top w:val="single" w:color="000000" w:sz="0"/>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123,69</w:t>
            </w:r>
          </w:p>
        </w:tc>
        <w:tc>
          <w:tcPr>
            <w:tcW w:w="961"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164,60</w:t>
            </w:r>
          </w:p>
        </w:tc>
        <w:tc>
          <w:tcPr>
            <w:tcW w:w="960"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6.626,07</w:t>
            </w:r>
          </w:p>
        </w:tc>
        <w:tc>
          <w:tcPr>
            <w:tcW w:w="826"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960"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835"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1059"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1189"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1174" w:type="dxa"/>
            <w:tcBorders>
              <w:top w:val="single" w:color="000000" w:sz="0"/>
              <w:left w:val="single" w:color="000000" w:sz="4"/>
              <w:bottom w:val="single" w:color="000000" w:sz="4"/>
              <w:right w:val="single" w:color="000000" w:sz="4"/>
            </w:tcBorders>
            <w:shd w:color="auto" w:fill="d9e1f2"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6.914,36</w:t>
            </w:r>
          </w:p>
        </w:tc>
      </w:tr>
      <w:tr>
        <w:trPr>
          <w:trHeight w:val="340" w:hRule="auto"/>
          <w:jc w:val="left"/>
        </w:trPr>
        <w:tc>
          <w:tcPr>
            <w:tcW w:w="1129" w:type="dxa"/>
            <w:tcBorders>
              <w:top w:val="single" w:color="000000" w:sz="4"/>
              <w:left w:val="single" w:color="000000" w:sz="4"/>
              <w:bottom w:val="single" w:color="000000" w:sz="4"/>
              <w:right w:val="single" w:color="000000" w:sz="4"/>
            </w:tcBorders>
            <w:shd w:color="auto" w:fill="b4c6e7" w:val="clear"/>
            <w:tcMar>
              <w:left w:w="10" w:type="dxa"/>
              <w:right w:w="10"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Biomasa</w:t>
            </w:r>
          </w:p>
        </w:tc>
        <w:tc>
          <w:tcPr>
            <w:tcW w:w="927" w:type="dxa"/>
            <w:tcBorders>
              <w:top w:val="single" w:color="000000" w:sz="0"/>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961"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960"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826"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960"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835"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1059"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1189"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1174" w:type="dxa"/>
            <w:tcBorders>
              <w:top w:val="single" w:color="000000" w:sz="0"/>
              <w:left w:val="single" w:color="000000" w:sz="4"/>
              <w:bottom w:val="single" w:color="000000" w:sz="4"/>
              <w:right w:val="single" w:color="000000" w:sz="4"/>
            </w:tcBorders>
            <w:shd w:color="auto" w:fill="d9e1f2" w:val="clear"/>
            <w:tcMar>
              <w:left w:w="10" w:type="dxa"/>
              <w:right w:w="10"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r>
      <w:tr>
        <w:trPr>
          <w:trHeight w:val="340" w:hRule="auto"/>
          <w:jc w:val="left"/>
        </w:trPr>
        <w:tc>
          <w:tcPr>
            <w:tcW w:w="1129" w:type="dxa"/>
            <w:tcBorders>
              <w:top w:val="single" w:color="000000" w:sz="0"/>
              <w:left w:val="single" w:color="000000" w:sz="4"/>
              <w:bottom w:val="single" w:color="000000" w:sz="4"/>
              <w:right w:val="single" w:color="000000" w:sz="4"/>
            </w:tcBorders>
            <w:shd w:color="auto" w:fill="b4c6e7" w:val="clear"/>
            <w:tcMar>
              <w:left w:w="10" w:type="dxa"/>
              <w:right w:w="10"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Te</w:t>
            </w:r>
            <w:r>
              <w:rPr>
                <w:rFonts w:ascii="Calibri" w:hAnsi="Calibri" w:cs="Calibri" w:eastAsia="Calibri"/>
                <w:color w:val="000000"/>
                <w:spacing w:val="0"/>
                <w:position w:val="0"/>
                <w:sz w:val="18"/>
                <w:shd w:fill="auto" w:val="clear"/>
              </w:rPr>
              <w:t xml:space="preserve">čni plin</w:t>
            </w:r>
          </w:p>
        </w:tc>
        <w:tc>
          <w:tcPr>
            <w:tcW w:w="927" w:type="dxa"/>
            <w:tcBorders>
              <w:top w:val="single" w:color="000000" w:sz="0"/>
              <w:left w:val="single" w:color="000000" w:sz="4"/>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961"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960"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826"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960"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835"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1059"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95,21</w:t>
            </w:r>
          </w:p>
        </w:tc>
        <w:tc>
          <w:tcPr>
            <w:tcW w:w="1189" w:type="dxa"/>
            <w:tcBorders>
              <w:top w:val="single" w:color="000000" w:sz="0"/>
              <w:left w:val="single" w:color="000000" w:sz="0"/>
              <w:bottom w:val="single" w:color="000000" w:sz="4"/>
              <w:right w:val="single" w:color="000000" w:sz="4"/>
            </w:tcBorders>
            <w:shd w:color="000000" w:fill="ffffff"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w:t>
            </w:r>
          </w:p>
        </w:tc>
        <w:tc>
          <w:tcPr>
            <w:tcW w:w="1174" w:type="dxa"/>
            <w:tcBorders>
              <w:top w:val="single" w:color="000000" w:sz="0"/>
              <w:left w:val="single" w:color="000000" w:sz="4"/>
              <w:bottom w:val="single" w:color="000000" w:sz="4"/>
              <w:right w:val="single" w:color="000000" w:sz="4"/>
            </w:tcBorders>
            <w:shd w:color="auto" w:fill="d9e1f2"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95,21</w:t>
            </w:r>
          </w:p>
        </w:tc>
      </w:tr>
      <w:tr>
        <w:trPr>
          <w:trHeight w:val="263" w:hRule="auto"/>
          <w:jc w:val="left"/>
        </w:trPr>
        <w:tc>
          <w:tcPr>
            <w:tcW w:w="1129" w:type="dxa"/>
            <w:tcBorders>
              <w:top w:val="single" w:color="000000" w:sz="4"/>
              <w:left w:val="single" w:color="000000" w:sz="4"/>
              <w:bottom w:val="single" w:color="000000" w:sz="4"/>
              <w:right w:val="single" w:color="000000" w:sz="0"/>
            </w:tcBorders>
            <w:shd w:color="auto" w:fill="b4c6e7" w:val="clear"/>
            <w:tcMar>
              <w:left w:w="10" w:type="dxa"/>
              <w:right w:w="10"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UKUPNO PO SEKTORIMA</w:t>
            </w:r>
          </w:p>
        </w:tc>
        <w:tc>
          <w:tcPr>
            <w:tcW w:w="927" w:type="dxa"/>
            <w:tcBorders>
              <w:top w:val="single" w:color="000000" w:sz="4"/>
              <w:left w:val="single" w:color="000000" w:sz="4"/>
              <w:bottom w:val="single" w:color="000000" w:sz="4"/>
              <w:right w:val="single" w:color="000000" w:sz="4"/>
            </w:tcBorders>
            <w:shd w:color="auto" w:fill="d9e1f2"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876,86</w:t>
            </w:r>
          </w:p>
        </w:tc>
        <w:tc>
          <w:tcPr>
            <w:tcW w:w="961" w:type="dxa"/>
            <w:tcBorders>
              <w:top w:val="single" w:color="000000" w:sz="4"/>
              <w:left w:val="single" w:color="000000" w:sz="0"/>
              <w:bottom w:val="single" w:color="000000" w:sz="4"/>
              <w:right w:val="single" w:color="000000" w:sz="4"/>
            </w:tcBorders>
            <w:shd w:color="auto" w:fill="d9e1f2"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348,44</w:t>
            </w:r>
          </w:p>
        </w:tc>
        <w:tc>
          <w:tcPr>
            <w:tcW w:w="960" w:type="dxa"/>
            <w:tcBorders>
              <w:top w:val="single" w:color="000000" w:sz="4"/>
              <w:left w:val="single" w:color="000000" w:sz="0"/>
              <w:bottom w:val="single" w:color="000000" w:sz="4"/>
              <w:right w:val="single" w:color="000000" w:sz="4"/>
            </w:tcBorders>
            <w:shd w:color="auto" w:fill="d9e1f2"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13.922,42</w:t>
            </w:r>
          </w:p>
        </w:tc>
        <w:tc>
          <w:tcPr>
            <w:tcW w:w="826" w:type="dxa"/>
            <w:tcBorders>
              <w:top w:val="single" w:color="000000" w:sz="4"/>
              <w:left w:val="single" w:color="000000" w:sz="0"/>
              <w:bottom w:val="single" w:color="000000" w:sz="4"/>
              <w:right w:val="single" w:color="000000" w:sz="4"/>
            </w:tcBorders>
            <w:shd w:color="auto" w:fill="d9e1f2"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478,42</w:t>
            </w:r>
          </w:p>
        </w:tc>
        <w:tc>
          <w:tcPr>
            <w:tcW w:w="960" w:type="dxa"/>
            <w:tcBorders>
              <w:top w:val="single" w:color="000000" w:sz="4"/>
              <w:left w:val="single" w:color="000000" w:sz="0"/>
              <w:bottom w:val="single" w:color="000000" w:sz="4"/>
              <w:right w:val="single" w:color="000000" w:sz="4"/>
            </w:tcBorders>
            <w:shd w:color="auto" w:fill="d9e1f2"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52,80</w:t>
            </w:r>
          </w:p>
        </w:tc>
        <w:tc>
          <w:tcPr>
            <w:tcW w:w="835" w:type="dxa"/>
            <w:tcBorders>
              <w:top w:val="single" w:color="000000" w:sz="4"/>
              <w:left w:val="single" w:color="000000" w:sz="0"/>
              <w:bottom w:val="single" w:color="000000" w:sz="4"/>
              <w:right w:val="single" w:color="000000" w:sz="4"/>
            </w:tcBorders>
            <w:shd w:color="auto" w:fill="d9e1f2"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528,13</w:t>
            </w:r>
          </w:p>
        </w:tc>
        <w:tc>
          <w:tcPr>
            <w:tcW w:w="1059" w:type="dxa"/>
            <w:tcBorders>
              <w:top w:val="single" w:color="000000" w:sz="4"/>
              <w:left w:val="single" w:color="000000" w:sz="0"/>
              <w:bottom w:val="single" w:color="000000" w:sz="4"/>
              <w:right w:val="single" w:color="000000" w:sz="4"/>
            </w:tcBorders>
            <w:shd w:color="auto" w:fill="d9e1f2" w:val="clear"/>
            <w:tcMar>
              <w:left w:w="10" w:type="dxa"/>
              <w:right w:w="1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7.150,09</w:t>
            </w:r>
          </w:p>
        </w:tc>
        <w:tc>
          <w:tcPr>
            <w:tcW w:w="1189" w:type="dxa"/>
            <w:tcBorders>
              <w:top w:val="single" w:color="000000" w:sz="4"/>
              <w:left w:val="single" w:color="000000" w:sz="0"/>
              <w:bottom w:val="single" w:color="000000" w:sz="4"/>
              <w:right w:val="single" w:color="000000" w:sz="4"/>
            </w:tcBorders>
            <w:shd w:color="auto" w:fill="d9e1f2" w:val="clear"/>
            <w:tcMar>
              <w:left w:w="10" w:type="dxa"/>
              <w:right w:w="10" w:type="dxa"/>
            </w:tcMar>
            <w:vAlign w:val="center"/>
          </w:tcPr>
          <w:p>
            <w:pPr>
              <w:keepNext w:val="true"/>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379,60</w:t>
            </w:r>
          </w:p>
        </w:tc>
        <w:tc>
          <w:tcPr>
            <w:tcW w:w="1174" w:type="dxa"/>
            <w:tcBorders>
              <w:top w:val="single" w:color="000000" w:sz="0"/>
              <w:left w:val="single" w:color="000000" w:sz="4"/>
              <w:bottom w:val="single" w:color="000000" w:sz="4"/>
              <w:right w:val="single" w:color="000000" w:sz="4"/>
            </w:tcBorders>
            <w:shd w:color="auto" w:fill="d9e1f2" w:val="clear"/>
            <w:tcMar>
              <w:left w:w="10" w:type="dxa"/>
              <w:right w:w="10" w:type="dxa"/>
            </w:tcMar>
            <w:vAlign w:val="center"/>
          </w:tcPr>
          <w:p>
            <w:pPr>
              <w:keepNext w:val="true"/>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23.736,75</w:t>
            </w:r>
          </w:p>
        </w:tc>
      </w:tr>
    </w:tbl>
    <w:p>
      <w:pPr>
        <w:spacing w:before="60" w:after="200" w:line="240"/>
        <w:ind w:right="0" w:left="0" w:firstLine="0"/>
        <w:jc w:val="center"/>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Tabela 547: Kontrolni inventar emisija CO</w:t>
      </w:r>
      <w:r>
        <w:rPr>
          <w:rFonts w:ascii="Calibri" w:hAnsi="Calibri" w:cs="Calibri" w:eastAsia="Calibri"/>
          <w:color w:val="auto"/>
          <w:spacing w:val="0"/>
          <w:position w:val="0"/>
          <w:sz w:val="18"/>
          <w:shd w:fill="auto" w:val="clear"/>
          <w:vertAlign w:val="subscript"/>
        </w:rPr>
        <w:t xml:space="preserve">2</w:t>
      </w:r>
      <w:r>
        <w:rPr>
          <w:rFonts w:ascii="Calibri" w:hAnsi="Calibri" w:cs="Calibri" w:eastAsia="Calibri"/>
          <w:color w:val="auto"/>
          <w:spacing w:val="0"/>
          <w:position w:val="0"/>
          <w:sz w:val="18"/>
          <w:shd w:fill="auto" w:val="clear"/>
        </w:rPr>
        <w:t xml:space="preserve"> iz svih razmatranih sektora finalne potrošnje energije</w:t>
      </w:r>
    </w:p>
    <w:p>
      <w:pPr>
        <w:spacing w:before="120" w:after="12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U</w:t>
      </w:r>
      <w:r>
        <w:rPr>
          <w:rFonts w:ascii="Calibri" w:hAnsi="Calibri" w:cs="Calibri" w:eastAsia="Calibri"/>
          <w:color w:val="auto"/>
          <w:spacing w:val="0"/>
          <w:position w:val="0"/>
          <w:sz w:val="20"/>
          <w:shd w:fill="auto" w:val="clear"/>
        </w:rPr>
        <w:t xml:space="preserve">češće razmatranih sektora i energenata u ukupnim emisijama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prikazano je u narednim dijagramima.</w:t>
      </w:r>
    </w:p>
    <w:tbl>
      <w:tblPr/>
      <w:tblGrid>
        <w:gridCol w:w="5016"/>
        <w:gridCol w:w="5316"/>
      </w:tblGrid>
      <w:tr>
        <w:trPr>
          <w:trHeight w:val="1" w:hRule="atLeast"/>
          <w:jc w:val="left"/>
        </w:trPr>
        <w:tc>
          <w:tcPr>
            <w:tcW w:w="5016"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p>
            <w:pPr>
              <w:spacing w:before="60" w:after="16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Dijagram 533:Udio razmatranih sektora u ukupnim emisijama CO</w:t>
            </w:r>
            <w:r>
              <w:rPr>
                <w:rFonts w:ascii="Calibri" w:hAnsi="Calibri" w:cs="Calibri" w:eastAsia="Calibri"/>
                <w:color w:val="auto"/>
                <w:spacing w:val="0"/>
                <w:position w:val="0"/>
                <w:sz w:val="18"/>
                <w:shd w:fill="auto" w:val="clear"/>
                <w:vertAlign w:val="subscript"/>
              </w:rPr>
              <w:t xml:space="preserve">2 </w:t>
            </w:r>
            <w:r>
              <w:rPr>
                <w:rFonts w:ascii="Calibri" w:hAnsi="Calibri" w:cs="Calibri" w:eastAsia="Calibri"/>
                <w:color w:val="auto"/>
                <w:spacing w:val="0"/>
                <w:position w:val="0"/>
                <w:sz w:val="18"/>
                <w:shd w:fill="auto" w:val="clear"/>
              </w:rPr>
              <w:t xml:space="preserve">u kontrolnoj godini</w:t>
            </w:r>
          </w:p>
        </w:tc>
        <w:tc>
          <w:tcPr>
            <w:tcW w:w="5316"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p>
            <w:pPr>
              <w:spacing w:before="60" w:after="16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Dijagram 534: Udio razmatranih energenata u ukupnim emisijama CO</w:t>
            </w:r>
            <w:r>
              <w:rPr>
                <w:rFonts w:ascii="Calibri" w:hAnsi="Calibri" w:cs="Calibri" w:eastAsia="Calibri"/>
                <w:color w:val="auto"/>
                <w:spacing w:val="0"/>
                <w:position w:val="0"/>
                <w:sz w:val="18"/>
                <w:shd w:fill="auto" w:val="clear"/>
                <w:vertAlign w:val="subscript"/>
              </w:rPr>
              <w:t xml:space="preserve">2 </w:t>
            </w:r>
            <w:r>
              <w:rPr>
                <w:rFonts w:ascii="Calibri" w:hAnsi="Calibri" w:cs="Calibri" w:eastAsia="Calibri"/>
                <w:color w:val="auto"/>
                <w:spacing w:val="0"/>
                <w:position w:val="0"/>
                <w:sz w:val="18"/>
                <w:shd w:fill="auto" w:val="clear"/>
              </w:rPr>
              <w:t xml:space="preserve">u kontrolnoj godini</w:t>
            </w:r>
          </w:p>
        </w:tc>
      </w:tr>
    </w:tbl>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Ukupni kontrolni inventar emisija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iznosi 23.736,75 t. Iz prikazanih dijagrama je evidentno da su i u kontrolnoj 2020. godini najve</w:t>
      </w:r>
      <w:r>
        <w:rPr>
          <w:rFonts w:ascii="Calibri" w:hAnsi="Calibri" w:cs="Calibri" w:eastAsia="Calibri"/>
          <w:color w:val="auto"/>
          <w:spacing w:val="0"/>
          <w:position w:val="0"/>
          <w:sz w:val="20"/>
          <w:shd w:fill="auto" w:val="clear"/>
        </w:rPr>
        <w:t xml:space="preserve">ći izvor emisija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b/>
          <w:color w:val="auto"/>
          <w:spacing w:val="0"/>
          <w:position w:val="0"/>
          <w:sz w:val="20"/>
          <w:shd w:fill="auto" w:val="clear"/>
        </w:rPr>
        <w:t xml:space="preserve"> podsektor stambenih zgrada sa 13.922,42 t odnosno 58,65% od ukupnih emisija iz kontrolnog inventara, i podsektor osobnih i komercijalnih vozila sa 7.150,09 t odnosno 30,12% od ukupnih emisija iz kontrolnog inventara. </w:t>
      </w:r>
      <w:r>
        <w:rPr>
          <w:rFonts w:ascii="Calibri" w:hAnsi="Calibri" w:cs="Calibri" w:eastAsia="Calibri"/>
          <w:color w:val="auto"/>
          <w:spacing w:val="0"/>
          <w:position w:val="0"/>
          <w:sz w:val="20"/>
          <w:shd w:fill="auto" w:val="clear"/>
        </w:rPr>
        <w:t xml:space="preserve">Ostali podsektori učestvuju u znatno manjem obimu, i to javne zgrade u vlasništvu Općine sa 3,69%, javni prijevoz sa 2,22%, javna rasvjeta sa 2,02%, vodosnabdijevanje sa 1,60%, javne zgrade koje nisu u vlasništvu Općine sa 1,47%, te vozila u vlasništvu Općine sa 0,22%.</w:t>
      </w:r>
    </w:p>
    <w:p>
      <w:pPr>
        <w:spacing w:before="6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0"/>
          <w:shd w:fill="auto" w:val="clear"/>
        </w:rPr>
        <w:t xml:space="preserve">Energent sanajve</w:t>
      </w:r>
      <w:r>
        <w:rPr>
          <w:rFonts w:ascii="Calibri" w:hAnsi="Calibri" w:cs="Calibri" w:eastAsia="Calibri"/>
          <w:color w:val="auto"/>
          <w:spacing w:val="0"/>
          <w:position w:val="0"/>
          <w:sz w:val="20"/>
          <w:shd w:fill="auto" w:val="clear"/>
        </w:rPr>
        <w:t xml:space="preserve">ćim učešćem u emisijama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je lignit sa 7.380,72 tCO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odnosno 31,09% učešća u ukupnim emisijama za općinu Doboj Istok u 2020. godini), zatim slijedi mrki ugalj sa 6.914,36 tCO</w:t>
      </w:r>
      <w:r>
        <w:rPr>
          <w:rFonts w:ascii="Calibri" w:hAnsi="Calibri" w:cs="Calibri" w:eastAsia="Calibri"/>
          <w:color w:val="auto"/>
          <w:spacing w:val="0"/>
          <w:position w:val="0"/>
          <w:sz w:val="20"/>
          <w:shd w:fill="auto" w:val="clear"/>
          <w:vertAlign w:val="subscript"/>
        </w:rPr>
        <w:t xml:space="preserve">2 </w:t>
      </w:r>
      <w:r>
        <w:rPr>
          <w:rFonts w:ascii="Calibri" w:hAnsi="Calibri" w:cs="Calibri" w:eastAsia="Calibri"/>
          <w:color w:val="auto"/>
          <w:spacing w:val="0"/>
          <w:position w:val="0"/>
          <w:sz w:val="20"/>
          <w:shd w:fill="auto" w:val="clear"/>
        </w:rPr>
        <w:t xml:space="preserve">(29,13%) i dizel gorivo sa 6.468,23 tCO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(27,25%). Najveće emisije nastale potrošnjom lignita i mrkog uglja nastale su u sektoru zgradarstva, i to u podsektoru stambenih zgrada (7.072,99 tCO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iz lignita i 6.626,07 tCO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iz mrkog uglja. Emisije iz dizel goriva su najzastupljenije u sektoru saobraćaja, i to u podsektoru osobnih i komercijalnih vozila (5.893,26 tCO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Zatim slijede električna energija sa 6,84%, motorni benzin sa 4,92%, ukapljeni naftni plin sa 0,40%, te lož ulje i prirodni plin sa neznatnih 0,22% i 0,14%.</w:t>
      </w:r>
    </w:p>
    <w:p>
      <w:pPr>
        <w:keepNext w:val="true"/>
        <w:keepLines w:val="true"/>
        <w:numPr>
          <w:ilvl w:val="0"/>
          <w:numId w:val="2062"/>
        </w:numPr>
        <w:spacing w:before="240" w:after="0" w:line="240"/>
        <w:ind w:right="0" w:left="578" w:hanging="578"/>
        <w:jc w:val="both"/>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Smanjenje emisija CO</w:t>
      </w:r>
      <w:r>
        <w:rPr>
          <w:rFonts w:ascii="Calibri" w:hAnsi="Calibri" w:cs="Calibri" w:eastAsia="Calibri"/>
          <w:b/>
          <w:color w:val="auto"/>
          <w:spacing w:val="0"/>
          <w:position w:val="0"/>
          <w:sz w:val="28"/>
          <w:shd w:fill="auto" w:val="clear"/>
          <w:vertAlign w:val="subscript"/>
        </w:rPr>
        <w:t xml:space="preserve">2</w:t>
      </w:r>
      <w:r>
        <w:rPr>
          <w:rFonts w:ascii="Calibri" w:hAnsi="Calibri" w:cs="Calibri" w:eastAsia="Calibri"/>
          <w:b/>
          <w:color w:val="auto"/>
          <w:spacing w:val="0"/>
          <w:position w:val="0"/>
          <w:sz w:val="28"/>
          <w:shd w:fill="auto" w:val="clear"/>
        </w:rPr>
        <w:t xml:space="preserve"> ostvareno u periodu od bazne 2010. do kontrolne 2020. godine </w:t>
      </w:r>
    </w:p>
    <w:p>
      <w:pPr>
        <w:keepNext w:val="true"/>
        <w:keepLines w:val="true"/>
        <w:numPr>
          <w:ilvl w:val="0"/>
          <w:numId w:val="2062"/>
        </w:numPr>
        <w:spacing w:before="240" w:after="0" w:line="240"/>
        <w:ind w:right="0" w:left="720" w:hanging="72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Promjene u</w:t>
      </w:r>
      <w:r>
        <w:rPr>
          <w:rFonts w:ascii="Calibri" w:hAnsi="Calibri" w:cs="Calibri" w:eastAsia="Calibri"/>
          <w:b/>
          <w:color w:val="auto"/>
          <w:spacing w:val="0"/>
          <w:position w:val="0"/>
          <w:sz w:val="24"/>
          <w:shd w:fill="auto" w:val="clear"/>
        </w:rPr>
        <w:t xml:space="preserve">češća razmatranih sektora u ukupnoj potrošnji finalne energije u periodu 2010.–2020. </w:t>
      </w:r>
    </w:p>
    <w:p>
      <w:pPr>
        <w:spacing w:before="60" w:after="12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Pore</w:t>
      </w:r>
      <w:r>
        <w:rPr>
          <w:rFonts w:ascii="Calibri" w:hAnsi="Calibri" w:cs="Calibri" w:eastAsia="Calibri"/>
          <w:color w:val="auto"/>
          <w:spacing w:val="0"/>
          <w:position w:val="0"/>
          <w:sz w:val="20"/>
          <w:shd w:fill="auto" w:val="clear"/>
        </w:rPr>
        <w:t xml:space="preserve">đenje potrošnje finalne energije u baznom i kontrolnom inventaru pokazuje da je potrošnja finalne energije na području općine Doboj Istok u kontrolnoj 2020. godini za 14,32% manja u odnosu na potrošnju u baznoj 2010. godini. Prikaz promjena ukupne potrošnje energije i potrošnje u razmatranim sektorima te udjela pojedinih sektora u ukupnoj finalnoj energiji, u periodu od bazne do kontrolne godine, dat je u narednoj tabeli.</w:t>
      </w:r>
    </w:p>
    <w:tbl>
      <w:tblPr/>
      <w:tblGrid>
        <w:gridCol w:w="2786"/>
        <w:gridCol w:w="1168"/>
        <w:gridCol w:w="1106"/>
        <w:gridCol w:w="1183"/>
        <w:gridCol w:w="954"/>
        <w:gridCol w:w="1172"/>
        <w:gridCol w:w="1251"/>
      </w:tblGrid>
      <w:tr>
        <w:trPr>
          <w:trHeight w:val="1" w:hRule="atLeast"/>
          <w:jc w:val="left"/>
        </w:trPr>
        <w:tc>
          <w:tcPr>
            <w:tcW w:w="2786" w:type="dxa"/>
            <w:vMerge w:val="restart"/>
            <w:tcBorders>
              <w:top w:val="single" w:color="000000" w:sz="4"/>
              <w:left w:val="single" w:color="000000" w:sz="4"/>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SEKTORI</w:t>
            </w:r>
          </w:p>
        </w:tc>
        <w:tc>
          <w:tcPr>
            <w:tcW w:w="2274" w:type="dxa"/>
            <w:gridSpan w:val="2"/>
            <w:tcBorders>
              <w:top w:val="single" w:color="000000" w:sz="4"/>
              <w:left w:val="single" w:color="000000" w:sz="0"/>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center"/>
              <w:rPr>
                <w:rFonts w:ascii="Calibri" w:hAnsi="Calibri" w:cs="Calibri" w:eastAsia="Calibri"/>
                <w:color w:val="000000"/>
                <w:spacing w:val="0"/>
                <w:position w:val="0"/>
                <w:sz w:val="18"/>
                <w:shd w:fill="auto" w:val="clear"/>
              </w:rPr>
            </w:pPr>
            <w:r>
              <w:rPr>
                <w:rFonts w:ascii="Calibri" w:hAnsi="Calibri" w:cs="Calibri" w:eastAsia="Calibri"/>
                <w:color w:val="000000"/>
                <w:spacing w:val="0"/>
                <w:position w:val="0"/>
                <w:sz w:val="18"/>
                <w:shd w:fill="auto" w:val="clear"/>
              </w:rPr>
              <w:t xml:space="preserve">REFERENTNI INVENTAR</w:t>
            </w:r>
          </w:p>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u 2010. godini</w:t>
            </w:r>
          </w:p>
        </w:tc>
        <w:tc>
          <w:tcPr>
            <w:tcW w:w="2137" w:type="dxa"/>
            <w:gridSpan w:val="2"/>
            <w:tcBorders>
              <w:top w:val="single" w:color="000000" w:sz="4"/>
              <w:left w:val="single" w:color="000000" w:sz="0"/>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center"/>
              <w:rPr>
                <w:rFonts w:ascii="Calibri" w:hAnsi="Calibri" w:cs="Calibri" w:eastAsia="Calibri"/>
                <w:color w:val="000000"/>
                <w:spacing w:val="0"/>
                <w:position w:val="0"/>
                <w:sz w:val="18"/>
                <w:shd w:fill="auto" w:val="clear"/>
              </w:rPr>
            </w:pPr>
            <w:r>
              <w:rPr>
                <w:rFonts w:ascii="Calibri" w:hAnsi="Calibri" w:cs="Calibri" w:eastAsia="Calibri"/>
                <w:color w:val="000000"/>
                <w:spacing w:val="0"/>
                <w:position w:val="0"/>
                <w:sz w:val="18"/>
                <w:shd w:fill="auto" w:val="clear"/>
              </w:rPr>
              <w:t xml:space="preserve">KONTROLNI INVENTAR </w:t>
            </w:r>
          </w:p>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u 2020. godini</w:t>
            </w:r>
          </w:p>
        </w:tc>
        <w:tc>
          <w:tcPr>
            <w:tcW w:w="2423" w:type="dxa"/>
            <w:gridSpan w:val="2"/>
            <w:tcBorders>
              <w:top w:val="single" w:color="000000" w:sz="4"/>
              <w:left w:val="single" w:color="000000" w:sz="0"/>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OSTVARENA PROMJENA U POTROŠNJI ENERGIJE</w:t>
            </w:r>
          </w:p>
        </w:tc>
      </w:tr>
      <w:tr>
        <w:trPr>
          <w:trHeight w:val="1" w:hRule="atLeast"/>
          <w:jc w:val="left"/>
        </w:trPr>
        <w:tc>
          <w:tcPr>
            <w:tcW w:w="2786"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168"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Finalna energija [MWh]</w:t>
            </w:r>
          </w:p>
        </w:tc>
        <w:tc>
          <w:tcPr>
            <w:tcW w:w="1106"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Udio pojedinih sektora [%]</w:t>
            </w:r>
          </w:p>
        </w:tc>
        <w:tc>
          <w:tcPr>
            <w:tcW w:w="1183"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Finalna energija [MWh]</w:t>
            </w:r>
          </w:p>
        </w:tc>
        <w:tc>
          <w:tcPr>
            <w:tcW w:w="954"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Udio pojedinih sektora [%]</w:t>
            </w:r>
          </w:p>
        </w:tc>
        <w:tc>
          <w:tcPr>
            <w:tcW w:w="1172"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Finalna energija [MWh]</w:t>
            </w:r>
          </w:p>
        </w:tc>
        <w:tc>
          <w:tcPr>
            <w:tcW w:w="1251"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Promjene potrošnje energije po sektorima [%]</w:t>
            </w:r>
          </w:p>
        </w:tc>
      </w:tr>
      <w:tr>
        <w:trPr>
          <w:trHeight w:val="1" w:hRule="atLeast"/>
          <w:jc w:val="left"/>
        </w:trPr>
        <w:tc>
          <w:tcPr>
            <w:tcW w:w="2786" w:type="dxa"/>
            <w:tcBorders>
              <w:top w:val="single" w:color="000000" w:sz="0"/>
              <w:left w:val="single" w:color="000000" w:sz="4"/>
              <w:bottom w:val="single" w:color="000000" w:sz="4"/>
              <w:right w:val="single" w:color="000000" w:sz="4"/>
            </w:tcBorders>
            <w:shd w:color="000000" w:fill="b4c6e7" w:val="clear"/>
            <w:tcMar>
              <w:left w:w="108" w:type="dxa"/>
              <w:right w:w="108"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ZGRADARSTVO I JAVNA RASVJETA</w:t>
            </w:r>
          </w:p>
        </w:tc>
        <w:tc>
          <w:tcPr>
            <w:tcW w:w="1168"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1106"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1183"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954"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1172"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1251"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r>
      <w:tr>
        <w:trPr>
          <w:trHeight w:val="1" w:hRule="atLeast"/>
          <w:jc w:val="left"/>
        </w:trPr>
        <w:tc>
          <w:tcPr>
            <w:tcW w:w="2786" w:type="dxa"/>
            <w:tcBorders>
              <w:top w:val="single" w:color="000000" w:sz="0"/>
              <w:left w:val="single" w:color="000000" w:sz="4"/>
              <w:bottom w:val="single" w:color="000000" w:sz="4"/>
              <w:right w:val="single" w:color="000000" w:sz="4"/>
            </w:tcBorders>
            <w:shd w:color="000000" w:fill="d9e1f2" w:val="clear"/>
            <w:tcMar>
              <w:left w:w="108" w:type="dxa"/>
              <w:right w:w="108"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Javne zgrade u vlasništvu Op</w:t>
            </w:r>
            <w:r>
              <w:rPr>
                <w:rFonts w:ascii="Calibri" w:hAnsi="Calibri" w:cs="Calibri" w:eastAsia="Calibri"/>
                <w:color w:val="000000"/>
                <w:spacing w:val="0"/>
                <w:position w:val="0"/>
                <w:sz w:val="18"/>
                <w:shd w:fill="auto" w:val="clear"/>
              </w:rPr>
              <w:t xml:space="preserve">ćine</w:t>
            </w:r>
          </w:p>
        </w:tc>
        <w:tc>
          <w:tcPr>
            <w:tcW w:w="11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2.074,02</w:t>
            </w:r>
          </w:p>
        </w:tc>
        <w:tc>
          <w:tcPr>
            <w:tcW w:w="110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2,23</w:t>
            </w:r>
          </w:p>
        </w:tc>
        <w:tc>
          <w:tcPr>
            <w:tcW w:w="118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1.701,65</w:t>
            </w:r>
          </w:p>
        </w:tc>
        <w:tc>
          <w:tcPr>
            <w:tcW w:w="95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2,14</w:t>
            </w:r>
          </w:p>
        </w:tc>
        <w:tc>
          <w:tcPr>
            <w:tcW w:w="117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372,36</w:t>
            </w:r>
          </w:p>
        </w:tc>
        <w:tc>
          <w:tcPr>
            <w:tcW w:w="12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17,95</w:t>
            </w:r>
          </w:p>
        </w:tc>
      </w:tr>
      <w:tr>
        <w:trPr>
          <w:trHeight w:val="1" w:hRule="atLeast"/>
          <w:jc w:val="left"/>
        </w:trPr>
        <w:tc>
          <w:tcPr>
            <w:tcW w:w="2786" w:type="dxa"/>
            <w:tcBorders>
              <w:top w:val="single" w:color="000000" w:sz="0"/>
              <w:left w:val="single" w:color="000000" w:sz="4"/>
              <w:bottom w:val="single" w:color="000000" w:sz="4"/>
              <w:right w:val="single" w:color="000000" w:sz="4"/>
            </w:tcBorders>
            <w:shd w:color="000000" w:fill="d9e1f2" w:val="clear"/>
            <w:tcMar>
              <w:left w:w="108" w:type="dxa"/>
              <w:right w:w="108"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Javne zgrade koje nisu u vlasništvu Op</w:t>
            </w:r>
            <w:r>
              <w:rPr>
                <w:rFonts w:ascii="Calibri" w:hAnsi="Calibri" w:cs="Calibri" w:eastAsia="Calibri"/>
                <w:color w:val="000000"/>
                <w:spacing w:val="0"/>
                <w:position w:val="0"/>
                <w:sz w:val="18"/>
                <w:shd w:fill="auto" w:val="clear"/>
              </w:rPr>
              <w:t xml:space="preserve">ćine</w:t>
            </w:r>
          </w:p>
        </w:tc>
        <w:tc>
          <w:tcPr>
            <w:tcW w:w="11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1.528,42</w:t>
            </w:r>
          </w:p>
        </w:tc>
        <w:tc>
          <w:tcPr>
            <w:tcW w:w="110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1,64</w:t>
            </w:r>
          </w:p>
        </w:tc>
        <w:tc>
          <w:tcPr>
            <w:tcW w:w="118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983,16</w:t>
            </w:r>
          </w:p>
        </w:tc>
        <w:tc>
          <w:tcPr>
            <w:tcW w:w="95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1,23</w:t>
            </w:r>
          </w:p>
        </w:tc>
        <w:tc>
          <w:tcPr>
            <w:tcW w:w="117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545,26</w:t>
            </w:r>
          </w:p>
        </w:tc>
        <w:tc>
          <w:tcPr>
            <w:tcW w:w="12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35,67</w:t>
            </w:r>
          </w:p>
        </w:tc>
      </w:tr>
      <w:tr>
        <w:trPr>
          <w:trHeight w:val="1" w:hRule="atLeast"/>
          <w:jc w:val="left"/>
        </w:trPr>
        <w:tc>
          <w:tcPr>
            <w:tcW w:w="2786" w:type="dxa"/>
            <w:tcBorders>
              <w:top w:val="single" w:color="000000" w:sz="0"/>
              <w:left w:val="single" w:color="000000" w:sz="4"/>
              <w:bottom w:val="single" w:color="000000" w:sz="4"/>
              <w:right w:val="single" w:color="000000" w:sz="4"/>
            </w:tcBorders>
            <w:shd w:color="000000" w:fill="d9e1f2" w:val="clear"/>
            <w:tcMar>
              <w:left w:w="108" w:type="dxa"/>
              <w:right w:w="108"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Stambene zgrade</w:t>
            </w:r>
          </w:p>
        </w:tc>
        <w:tc>
          <w:tcPr>
            <w:tcW w:w="11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54.352,61</w:t>
            </w:r>
          </w:p>
        </w:tc>
        <w:tc>
          <w:tcPr>
            <w:tcW w:w="110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58,45</w:t>
            </w:r>
          </w:p>
        </w:tc>
        <w:tc>
          <w:tcPr>
            <w:tcW w:w="118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46.525,49</w:t>
            </w:r>
          </w:p>
        </w:tc>
        <w:tc>
          <w:tcPr>
            <w:tcW w:w="95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58,40</w:t>
            </w:r>
          </w:p>
        </w:tc>
        <w:tc>
          <w:tcPr>
            <w:tcW w:w="117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7.827,12</w:t>
            </w:r>
          </w:p>
        </w:tc>
        <w:tc>
          <w:tcPr>
            <w:tcW w:w="12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14,40</w:t>
            </w:r>
          </w:p>
        </w:tc>
      </w:tr>
      <w:tr>
        <w:trPr>
          <w:trHeight w:val="1" w:hRule="atLeast"/>
          <w:jc w:val="left"/>
        </w:trPr>
        <w:tc>
          <w:tcPr>
            <w:tcW w:w="2786" w:type="dxa"/>
            <w:tcBorders>
              <w:top w:val="single" w:color="000000" w:sz="0"/>
              <w:left w:val="single" w:color="000000" w:sz="4"/>
              <w:bottom w:val="single" w:color="000000" w:sz="4"/>
              <w:right w:val="single" w:color="000000" w:sz="4"/>
            </w:tcBorders>
            <w:shd w:color="000000" w:fill="d9e1f2" w:val="clear"/>
            <w:tcMar>
              <w:left w:w="108" w:type="dxa"/>
              <w:right w:w="108"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Javna rasvjeta</w:t>
            </w:r>
          </w:p>
        </w:tc>
        <w:tc>
          <w:tcPr>
            <w:tcW w:w="11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549,70</w:t>
            </w:r>
          </w:p>
        </w:tc>
        <w:tc>
          <w:tcPr>
            <w:tcW w:w="110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0,59</w:t>
            </w:r>
          </w:p>
        </w:tc>
        <w:tc>
          <w:tcPr>
            <w:tcW w:w="118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629,50</w:t>
            </w:r>
          </w:p>
        </w:tc>
        <w:tc>
          <w:tcPr>
            <w:tcW w:w="95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0,79</w:t>
            </w:r>
          </w:p>
        </w:tc>
        <w:tc>
          <w:tcPr>
            <w:tcW w:w="117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-79,80</w:t>
            </w:r>
          </w:p>
        </w:tc>
        <w:tc>
          <w:tcPr>
            <w:tcW w:w="12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-14,52</w:t>
            </w:r>
          </w:p>
        </w:tc>
      </w:tr>
      <w:tr>
        <w:trPr>
          <w:trHeight w:val="1" w:hRule="atLeast"/>
          <w:jc w:val="left"/>
        </w:trPr>
        <w:tc>
          <w:tcPr>
            <w:tcW w:w="2786" w:type="dxa"/>
            <w:tcBorders>
              <w:top w:val="single" w:color="000000" w:sz="0"/>
              <w:left w:val="single" w:color="000000" w:sz="4"/>
              <w:bottom w:val="single" w:color="000000" w:sz="4"/>
              <w:right w:val="single" w:color="000000" w:sz="4"/>
            </w:tcBorders>
            <w:shd w:color="000000" w:fill="b4c6e7" w:val="clear"/>
            <w:tcMar>
              <w:left w:w="108" w:type="dxa"/>
              <w:right w:w="108"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SAOBRA</w:t>
            </w:r>
            <w:r>
              <w:rPr>
                <w:rFonts w:ascii="Calibri" w:hAnsi="Calibri" w:cs="Calibri" w:eastAsia="Calibri"/>
                <w:color w:val="000000"/>
                <w:spacing w:val="0"/>
                <w:position w:val="0"/>
                <w:sz w:val="18"/>
                <w:shd w:fill="auto" w:val="clear"/>
              </w:rPr>
              <w:t xml:space="preserve">ĆAJ</w:t>
            </w:r>
          </w:p>
        </w:tc>
        <w:tc>
          <w:tcPr>
            <w:tcW w:w="1168"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06"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83"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954"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72"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51"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2786" w:type="dxa"/>
            <w:tcBorders>
              <w:top w:val="single" w:color="000000" w:sz="0"/>
              <w:left w:val="single" w:color="000000" w:sz="4"/>
              <w:bottom w:val="single" w:color="000000" w:sz="4"/>
              <w:right w:val="single" w:color="000000" w:sz="4"/>
            </w:tcBorders>
            <w:shd w:color="000000" w:fill="d9e1f2" w:val="clear"/>
            <w:tcMar>
              <w:left w:w="108" w:type="dxa"/>
              <w:right w:w="108"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Vozila u nadležnosti Op</w:t>
            </w:r>
            <w:r>
              <w:rPr>
                <w:rFonts w:ascii="Calibri" w:hAnsi="Calibri" w:cs="Calibri" w:eastAsia="Calibri"/>
                <w:color w:val="000000"/>
                <w:spacing w:val="0"/>
                <w:position w:val="0"/>
                <w:sz w:val="18"/>
                <w:shd w:fill="auto" w:val="clear"/>
              </w:rPr>
              <w:t xml:space="preserve">ćine</w:t>
            </w:r>
          </w:p>
        </w:tc>
        <w:tc>
          <w:tcPr>
            <w:tcW w:w="11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248,20</w:t>
            </w:r>
          </w:p>
        </w:tc>
        <w:tc>
          <w:tcPr>
            <w:tcW w:w="110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0,27</w:t>
            </w:r>
          </w:p>
        </w:tc>
        <w:tc>
          <w:tcPr>
            <w:tcW w:w="118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199,35</w:t>
            </w:r>
          </w:p>
        </w:tc>
        <w:tc>
          <w:tcPr>
            <w:tcW w:w="95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0,25</w:t>
            </w:r>
          </w:p>
        </w:tc>
        <w:tc>
          <w:tcPr>
            <w:tcW w:w="117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48,84</w:t>
            </w:r>
          </w:p>
        </w:tc>
        <w:tc>
          <w:tcPr>
            <w:tcW w:w="12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19,68</w:t>
            </w:r>
          </w:p>
        </w:tc>
      </w:tr>
      <w:tr>
        <w:trPr>
          <w:trHeight w:val="1" w:hRule="atLeast"/>
          <w:jc w:val="left"/>
        </w:trPr>
        <w:tc>
          <w:tcPr>
            <w:tcW w:w="2786" w:type="dxa"/>
            <w:tcBorders>
              <w:top w:val="single" w:color="000000" w:sz="0"/>
              <w:left w:val="single" w:color="000000" w:sz="4"/>
              <w:bottom w:val="single" w:color="000000" w:sz="4"/>
              <w:right w:val="single" w:color="000000" w:sz="4"/>
            </w:tcBorders>
            <w:shd w:color="000000" w:fill="d9e1f2" w:val="clear"/>
            <w:tcMar>
              <w:left w:w="108" w:type="dxa"/>
              <w:right w:w="108"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Javni prijevoz</w:t>
            </w:r>
          </w:p>
        </w:tc>
        <w:tc>
          <w:tcPr>
            <w:tcW w:w="11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1.938,54</w:t>
            </w:r>
          </w:p>
        </w:tc>
        <w:tc>
          <w:tcPr>
            <w:tcW w:w="110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2,08</w:t>
            </w:r>
          </w:p>
        </w:tc>
        <w:tc>
          <w:tcPr>
            <w:tcW w:w="118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1.978,01</w:t>
            </w:r>
          </w:p>
        </w:tc>
        <w:tc>
          <w:tcPr>
            <w:tcW w:w="95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2,48</w:t>
            </w:r>
          </w:p>
        </w:tc>
        <w:tc>
          <w:tcPr>
            <w:tcW w:w="117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-39,47</w:t>
            </w:r>
          </w:p>
        </w:tc>
        <w:tc>
          <w:tcPr>
            <w:tcW w:w="12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-2,04</w:t>
            </w:r>
          </w:p>
        </w:tc>
      </w:tr>
      <w:tr>
        <w:trPr>
          <w:trHeight w:val="1" w:hRule="atLeast"/>
          <w:jc w:val="left"/>
        </w:trPr>
        <w:tc>
          <w:tcPr>
            <w:tcW w:w="2786" w:type="dxa"/>
            <w:tcBorders>
              <w:top w:val="single" w:color="000000" w:sz="0"/>
              <w:left w:val="single" w:color="000000" w:sz="4"/>
              <w:bottom w:val="single" w:color="000000" w:sz="4"/>
              <w:right w:val="single" w:color="000000" w:sz="4"/>
            </w:tcBorders>
            <w:shd w:color="000000" w:fill="d9e1f2" w:val="clear"/>
            <w:tcMar>
              <w:left w:w="108" w:type="dxa"/>
              <w:right w:w="108"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Privatna i komercijalna vozila</w:t>
            </w:r>
          </w:p>
        </w:tc>
        <w:tc>
          <w:tcPr>
            <w:tcW w:w="11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31.991,21</w:t>
            </w:r>
          </w:p>
        </w:tc>
        <w:tc>
          <w:tcPr>
            <w:tcW w:w="110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34,40</w:t>
            </w:r>
          </w:p>
        </w:tc>
        <w:tc>
          <w:tcPr>
            <w:tcW w:w="118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27.156,69</w:t>
            </w:r>
          </w:p>
        </w:tc>
        <w:tc>
          <w:tcPr>
            <w:tcW w:w="95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34,09</w:t>
            </w:r>
          </w:p>
        </w:tc>
        <w:tc>
          <w:tcPr>
            <w:tcW w:w="117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4.834,51</w:t>
            </w:r>
          </w:p>
        </w:tc>
        <w:tc>
          <w:tcPr>
            <w:tcW w:w="12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15,11</w:t>
            </w:r>
          </w:p>
        </w:tc>
      </w:tr>
      <w:tr>
        <w:trPr>
          <w:trHeight w:val="1" w:hRule="atLeast"/>
          <w:jc w:val="left"/>
        </w:trPr>
        <w:tc>
          <w:tcPr>
            <w:tcW w:w="2786" w:type="dxa"/>
            <w:tcBorders>
              <w:top w:val="single" w:color="000000" w:sz="0"/>
              <w:left w:val="single" w:color="000000" w:sz="4"/>
              <w:bottom w:val="single" w:color="000000" w:sz="4"/>
              <w:right w:val="single" w:color="000000" w:sz="4"/>
            </w:tcBorders>
            <w:shd w:color="000000" w:fill="b4c6e7" w:val="clear"/>
            <w:tcMar>
              <w:left w:w="108" w:type="dxa"/>
              <w:right w:w="108"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NE-ENERGETSKI SEKTORI</w:t>
            </w:r>
          </w:p>
        </w:tc>
        <w:tc>
          <w:tcPr>
            <w:tcW w:w="1168"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06"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83"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954"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72"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51"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2786" w:type="dxa"/>
            <w:tcBorders>
              <w:top w:val="single" w:color="000000" w:sz="0"/>
              <w:left w:val="single" w:color="000000" w:sz="4"/>
              <w:bottom w:val="single" w:color="000000" w:sz="4"/>
              <w:right w:val="single" w:color="000000" w:sz="4"/>
            </w:tcBorders>
            <w:shd w:color="000000" w:fill="d9e1f2" w:val="clear"/>
            <w:tcMar>
              <w:left w:w="108" w:type="dxa"/>
              <w:right w:w="108"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Vodosnabdijevanje</w:t>
            </w:r>
          </w:p>
        </w:tc>
        <w:tc>
          <w:tcPr>
            <w:tcW w:w="11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305,53</w:t>
            </w:r>
          </w:p>
        </w:tc>
        <w:tc>
          <w:tcPr>
            <w:tcW w:w="1106" w:type="dxa"/>
            <w:tcBorders>
              <w:top w:val="single" w:color="000000" w:sz="0"/>
              <w:left w:val="single" w:color="000000" w:sz="0"/>
              <w:bottom w:val="single" w:color="000000" w:sz="0"/>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0,33</w:t>
            </w:r>
          </w:p>
        </w:tc>
        <w:tc>
          <w:tcPr>
            <w:tcW w:w="118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499,47</w:t>
            </w:r>
          </w:p>
        </w:tc>
        <w:tc>
          <w:tcPr>
            <w:tcW w:w="954" w:type="dxa"/>
            <w:tcBorders>
              <w:top w:val="single" w:color="000000" w:sz="0"/>
              <w:left w:val="single" w:color="000000" w:sz="0"/>
              <w:bottom w:val="single" w:color="000000" w:sz="0"/>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0,63</w:t>
            </w:r>
          </w:p>
        </w:tc>
        <w:tc>
          <w:tcPr>
            <w:tcW w:w="117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-193,95</w:t>
            </w:r>
          </w:p>
        </w:tc>
        <w:tc>
          <w:tcPr>
            <w:tcW w:w="1251" w:type="dxa"/>
            <w:tcBorders>
              <w:top w:val="single" w:color="000000" w:sz="0"/>
              <w:left w:val="single" w:color="000000" w:sz="0"/>
              <w:bottom w:val="single" w:color="000000" w:sz="0"/>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-63,48</w:t>
            </w:r>
          </w:p>
        </w:tc>
      </w:tr>
      <w:tr>
        <w:trPr>
          <w:trHeight w:val="1" w:hRule="atLeast"/>
          <w:jc w:val="left"/>
        </w:trPr>
        <w:tc>
          <w:tcPr>
            <w:tcW w:w="2786" w:type="dxa"/>
            <w:tcBorders>
              <w:top w:val="single" w:color="000000" w:sz="0"/>
              <w:left w:val="single" w:color="000000" w:sz="4"/>
              <w:bottom w:val="single" w:color="000000" w:sz="4"/>
              <w:right w:val="single" w:color="000000" w:sz="4"/>
            </w:tcBorders>
            <w:shd w:color="000000" w:fill="b4c6e7" w:val="clear"/>
            <w:tcMar>
              <w:left w:w="108" w:type="dxa"/>
              <w:right w:w="108"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UKUPNO</w:t>
            </w:r>
          </w:p>
        </w:tc>
        <w:tc>
          <w:tcPr>
            <w:tcW w:w="1168" w:type="dxa"/>
            <w:tcBorders>
              <w:top w:val="single" w:color="000000" w:sz="0"/>
              <w:left w:val="single" w:color="000000" w:sz="0"/>
              <w:bottom w:val="single" w:color="000000" w:sz="4"/>
              <w:right w:val="single" w:color="000000" w:sz="4"/>
            </w:tcBorders>
            <w:shd w:color="000000" w:fill="d9e1f2"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92.988,22</w:t>
            </w:r>
          </w:p>
        </w:tc>
        <w:tc>
          <w:tcPr>
            <w:tcW w:w="1106" w:type="dxa"/>
            <w:tcBorders>
              <w:top w:val="single" w:color="000000" w:sz="4"/>
              <w:left w:val="single" w:color="000000" w:sz="0"/>
              <w:bottom w:val="single" w:color="000000" w:sz="4"/>
              <w:right w:val="single" w:color="000000" w:sz="4"/>
            </w:tcBorders>
            <w:shd w:color="000000" w:fill="d9e1f2"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100,00</w:t>
            </w:r>
          </w:p>
        </w:tc>
        <w:tc>
          <w:tcPr>
            <w:tcW w:w="1183" w:type="dxa"/>
            <w:tcBorders>
              <w:top w:val="single" w:color="000000" w:sz="0"/>
              <w:left w:val="single" w:color="000000" w:sz="0"/>
              <w:bottom w:val="single" w:color="000000" w:sz="4"/>
              <w:right w:val="single" w:color="000000" w:sz="4"/>
            </w:tcBorders>
            <w:shd w:color="000000" w:fill="d9e1f2"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79.673,34</w:t>
            </w:r>
          </w:p>
        </w:tc>
        <w:tc>
          <w:tcPr>
            <w:tcW w:w="954" w:type="dxa"/>
            <w:tcBorders>
              <w:top w:val="single" w:color="000000" w:sz="4"/>
              <w:left w:val="single" w:color="000000" w:sz="0"/>
              <w:bottom w:val="single" w:color="000000" w:sz="4"/>
              <w:right w:val="single" w:color="000000" w:sz="4"/>
            </w:tcBorders>
            <w:shd w:color="000000" w:fill="d9e1f2"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100,00</w:t>
            </w:r>
          </w:p>
        </w:tc>
        <w:tc>
          <w:tcPr>
            <w:tcW w:w="1172" w:type="dxa"/>
            <w:tcBorders>
              <w:top w:val="single" w:color="000000" w:sz="0"/>
              <w:left w:val="single" w:color="000000" w:sz="0"/>
              <w:bottom w:val="single" w:color="000000" w:sz="4"/>
              <w:right w:val="single" w:color="000000" w:sz="4"/>
            </w:tcBorders>
            <w:shd w:color="000000" w:fill="d9e1f2"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13.314,88</w:t>
            </w:r>
          </w:p>
        </w:tc>
        <w:tc>
          <w:tcPr>
            <w:tcW w:w="1251" w:type="dxa"/>
            <w:tcBorders>
              <w:top w:val="single" w:color="000000" w:sz="8"/>
              <w:left w:val="single" w:color="000000" w:sz="8"/>
              <w:bottom w:val="single" w:color="000000" w:sz="8"/>
              <w:right w:val="single" w:color="000000" w:sz="8"/>
            </w:tcBorders>
            <w:shd w:color="000000" w:fill="d9e1f2"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20"/>
                <w:shd w:fill="auto" w:val="clear"/>
              </w:rPr>
              <w:t xml:space="preserve">14,32%</w:t>
            </w:r>
          </w:p>
        </w:tc>
      </w:tr>
    </w:tbl>
    <w:p>
      <w:pPr>
        <w:spacing w:before="60" w:after="160" w:line="240"/>
        <w:ind w:right="0" w:left="0" w:firstLine="0"/>
        <w:jc w:val="center"/>
        <w:rPr>
          <w:rFonts w:ascii="Calibri" w:hAnsi="Calibri" w:cs="Calibri" w:eastAsia="Calibri"/>
          <w:color w:val="000000"/>
          <w:spacing w:val="0"/>
          <w:position w:val="0"/>
          <w:sz w:val="18"/>
          <w:shd w:fill="auto" w:val="clear"/>
        </w:rPr>
      </w:pPr>
      <w:r>
        <w:rPr>
          <w:rFonts w:ascii="Calibri" w:hAnsi="Calibri" w:cs="Calibri" w:eastAsia="Calibri"/>
          <w:color w:val="auto"/>
          <w:spacing w:val="0"/>
          <w:position w:val="0"/>
          <w:sz w:val="18"/>
          <w:shd w:fill="auto" w:val="clear"/>
        </w:rPr>
        <w:t xml:space="preserve">Tabela 548: Pore</w:t>
      </w:r>
      <w:r>
        <w:rPr>
          <w:rFonts w:ascii="Calibri" w:hAnsi="Calibri" w:cs="Calibri" w:eastAsia="Calibri"/>
          <w:color w:val="auto"/>
          <w:spacing w:val="0"/>
          <w:position w:val="0"/>
          <w:sz w:val="18"/>
          <w:shd w:fill="auto" w:val="clear"/>
        </w:rPr>
        <w:t xml:space="preserve">đenje ukupne potrošnje finalne energije i potrošnje po sektorima u baznoj i kontrolnoj godini</w:t>
      </w:r>
    </w:p>
    <w:p>
      <w:pPr>
        <w:spacing w:before="60" w:after="0" w:line="240"/>
        <w:ind w:right="0" w:left="0" w:firstLine="0"/>
        <w:jc w:val="both"/>
        <w:rPr>
          <w:rFonts w:ascii="Calibri" w:hAnsi="Calibri" w:cs="Calibri" w:eastAsia="Calibri"/>
          <w:color w:val="auto"/>
          <w:spacing w:val="0"/>
          <w:position w:val="0"/>
          <w:sz w:val="20"/>
          <w:shd w:fill="FFFF00" w:val="clear"/>
        </w:rPr>
      </w:pPr>
      <w:r>
        <w:rPr>
          <w:rFonts w:ascii="Calibri" w:hAnsi="Calibri" w:cs="Calibri" w:eastAsia="Calibri"/>
          <w:color w:val="auto"/>
          <w:spacing w:val="0"/>
          <w:position w:val="0"/>
          <w:sz w:val="20"/>
          <w:shd w:fill="auto" w:val="clear"/>
        </w:rPr>
        <w:t xml:space="preserve">Tabela pokazuje da je najve</w:t>
      </w:r>
      <w:r>
        <w:rPr>
          <w:rFonts w:ascii="Calibri" w:hAnsi="Calibri" w:cs="Calibri" w:eastAsia="Calibri"/>
          <w:color w:val="auto"/>
          <w:spacing w:val="0"/>
          <w:position w:val="0"/>
          <w:sz w:val="20"/>
          <w:shd w:fill="auto" w:val="clear"/>
        </w:rPr>
        <w:t xml:space="preserve">će smanjenje apsolutnih vrijednosti potrošnje energije ostvareno u sektoru zgradarstva, naročito u podsektoru stambenih zgrada u kojem se potrošnja energije do kontrolne 2020. godine smanjila za 7,827,12 MWh, odnosno za 14,40% u odnosu na baznu 2010. godinu. Glavni razlog ovog napretka je spremnost građana za provođenje mjera energetske efikasnosti i korištenje efikasnijih sistema grijanja, koja je evidentirana anketom provedenom u fazi prikupljanja ulaznih podataka. Rezultati ankete su pokazali da je u periodu od 2010. do 2020. godine 74,63% ispitanika realiziralo najmanje jednu mjeru energetske efikasnosti na ovojnici svoje stambene jedinice (zamjena vrata i prozora, termoizolacija zida i/ili stropa). 9,40% ispitanika je individualne peći na ugalj i drvo zamijenilo centralnim sistemom grijanja sa istim energentima.</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Potrošnja energije u javnim zgradama koje nisu u vlasništvu Op</w:t>
      </w:r>
      <w:r>
        <w:rPr>
          <w:rFonts w:ascii="Calibri" w:hAnsi="Calibri" w:cs="Calibri" w:eastAsia="Calibri"/>
          <w:color w:val="auto"/>
          <w:spacing w:val="0"/>
          <w:position w:val="0"/>
          <w:sz w:val="20"/>
          <w:shd w:fill="auto" w:val="clear"/>
        </w:rPr>
        <w:t xml:space="preserve">ćine smanjila se za 545,26 MWh odnosno za 35,67%, najviše zahvaljujući provođenju mjera energetske efikasnosti (energetska obnova ovojnice zgrada i prelazak na efikasnije sistema za grijanje). U Javnim zgradama u vlasništvu Općine potrošnja energije je smanjena za 372,36 MWh ili za 17,95% u odnosu na 2010. godinu, što je takođe rezultat provođenja mjera energetske efikasnosti.  </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U sektoru saobra</w:t>
      </w:r>
      <w:r>
        <w:rPr>
          <w:rFonts w:ascii="Calibri" w:hAnsi="Calibri" w:cs="Calibri" w:eastAsia="Calibri"/>
          <w:color w:val="auto"/>
          <w:spacing w:val="0"/>
          <w:position w:val="0"/>
          <w:sz w:val="20"/>
          <w:shd w:fill="auto" w:val="clear"/>
        </w:rPr>
        <w:t xml:space="preserve">ćaja došlo je do smanjenja potrošnje energije osobnih i komercijalnih vozila za 4.834,51 MWh ili 15,11% zbog povećanja broja novijih i okolišno prihvatljivijih vozila. Zbog povećanja broja polazaka autobusa neznatno je povećana i potrošnja energije u javnom gradskom prevozu, za 39,47 MWh ili 2,04%, dok je potrošnja  vozila u nadležnosti Općine smanjena za 48,84 MWh ili 19,68% zbog zamjene starih sa novim i efikasnijim vozilima. </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Zbog širenja mreže javne rasvjete, a time i pove</w:t>
      </w:r>
      <w:r>
        <w:rPr>
          <w:rFonts w:ascii="Calibri" w:hAnsi="Calibri" w:cs="Calibri" w:eastAsia="Calibri"/>
          <w:color w:val="auto"/>
          <w:spacing w:val="0"/>
          <w:position w:val="0"/>
          <w:sz w:val="20"/>
          <w:shd w:fill="auto" w:val="clear"/>
        </w:rPr>
        <w:t xml:space="preserve">ćanja broja rasvjetnih tijela, potrošnja energije u sektoru javne rasvjete u 2020. godini veća je za 79,80 MWh ili 14,52% u odnosu na 2010. godinu. U sektoru vodosnabdijevanja potrošnja energije u 2020. godini veća je za 193,95 MWh ili 63,48% u odnosu na 2010. godinu. </w:t>
      </w:r>
    </w:p>
    <w:p>
      <w:pPr>
        <w:spacing w:before="60" w:after="12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Pore</w:t>
      </w:r>
      <w:r>
        <w:rPr>
          <w:rFonts w:ascii="Calibri" w:hAnsi="Calibri" w:cs="Calibri" w:eastAsia="Calibri"/>
          <w:color w:val="auto"/>
          <w:spacing w:val="0"/>
          <w:position w:val="0"/>
          <w:sz w:val="20"/>
          <w:shd w:fill="auto" w:val="clear"/>
        </w:rPr>
        <w:t xml:space="preserve">đenje apsolutnih vrijednosti potrošnje energije u razmatranim sektorima u ukupnom baznom i kontolnom inventaru prikazano je na narednom dijagramu.</w:t>
      </w:r>
    </w:p>
    <w:p>
      <w:pPr>
        <w:spacing w:before="60" w:after="120" w:line="240"/>
        <w:ind w:right="0" w:left="0" w:firstLine="0"/>
        <w:jc w:val="both"/>
        <w:rPr>
          <w:rFonts w:ascii="Calibri" w:hAnsi="Calibri" w:cs="Calibri" w:eastAsia="Calibri"/>
          <w:color w:val="auto"/>
          <w:spacing w:val="0"/>
          <w:position w:val="0"/>
          <w:sz w:val="18"/>
          <w:shd w:fill="FFFF00" w:val="clear"/>
        </w:rPr>
      </w:pPr>
    </w:p>
    <w:p>
      <w:pPr>
        <w:spacing w:before="60" w:after="200" w:line="240"/>
        <w:ind w:right="0" w:left="0" w:firstLine="0"/>
        <w:jc w:val="center"/>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Dijagram 535: Grafi</w:t>
      </w:r>
      <w:r>
        <w:rPr>
          <w:rFonts w:ascii="Calibri" w:hAnsi="Calibri" w:cs="Calibri" w:eastAsia="Calibri"/>
          <w:color w:val="auto"/>
          <w:spacing w:val="0"/>
          <w:position w:val="0"/>
          <w:sz w:val="18"/>
          <w:shd w:fill="auto" w:val="clear"/>
        </w:rPr>
        <w:t xml:space="preserve">čki prikaz promjena potrošnje finalne energije po razmatranim sektorima u baznoj i kontrolnoj godini</w:t>
      </w:r>
    </w:p>
    <w:p>
      <w:pPr>
        <w:keepNext w:val="true"/>
        <w:keepLines w:val="true"/>
        <w:numPr>
          <w:ilvl w:val="0"/>
          <w:numId w:val="2118"/>
        </w:numPr>
        <w:spacing w:before="240" w:after="0" w:line="240"/>
        <w:ind w:right="0" w:left="720" w:hanging="72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Promjene u</w:t>
      </w:r>
      <w:r>
        <w:rPr>
          <w:rFonts w:ascii="Calibri" w:hAnsi="Calibri" w:cs="Calibri" w:eastAsia="Calibri"/>
          <w:b/>
          <w:color w:val="auto"/>
          <w:spacing w:val="0"/>
          <w:position w:val="0"/>
          <w:sz w:val="24"/>
          <w:shd w:fill="auto" w:val="clear"/>
        </w:rPr>
        <w:t xml:space="preserve">češća sektora u ukupnim emisijama CO</w:t>
      </w:r>
      <w:r>
        <w:rPr>
          <w:rFonts w:ascii="Calibri" w:hAnsi="Calibri" w:cs="Calibri" w:eastAsia="Calibri"/>
          <w:b/>
          <w:color w:val="auto"/>
          <w:spacing w:val="0"/>
          <w:position w:val="0"/>
          <w:sz w:val="24"/>
          <w:shd w:fill="auto" w:val="clear"/>
          <w:vertAlign w:val="subscript"/>
        </w:rPr>
        <w:t xml:space="preserve">2</w:t>
      </w:r>
      <w:r>
        <w:rPr>
          <w:rFonts w:ascii="Calibri" w:hAnsi="Calibri" w:cs="Calibri" w:eastAsia="Calibri"/>
          <w:b/>
          <w:color w:val="auto"/>
          <w:spacing w:val="0"/>
          <w:position w:val="0"/>
          <w:sz w:val="24"/>
          <w:shd w:fill="auto" w:val="clear"/>
        </w:rPr>
        <w:t xml:space="preserve"> u periodu 2010.–2020. </w:t>
      </w:r>
    </w:p>
    <w:p>
      <w:pPr>
        <w:spacing w:before="60" w:after="12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Pore</w:t>
      </w:r>
      <w:r>
        <w:rPr>
          <w:rFonts w:ascii="Calibri" w:hAnsi="Calibri" w:cs="Calibri" w:eastAsia="Calibri"/>
          <w:color w:val="auto"/>
          <w:spacing w:val="0"/>
          <w:position w:val="0"/>
          <w:sz w:val="20"/>
          <w:shd w:fill="auto" w:val="clear"/>
        </w:rPr>
        <w:t xml:space="preserve">đenje emisija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u baznom i kontrolnom inventaru pokazuje da su emisije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na području općine Doboj Istok u kontrolnoj 2020. godini za 21,76% manje u odnosu na baznu 2010. godinu. Prikaz promjena ukupnih emisija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te udječa pojedinih sektora u ukupnim emisijama, u periodu od bazne do kontrolne godine, dat je u narednoj tabeli.</w:t>
      </w:r>
    </w:p>
    <w:tbl>
      <w:tblPr/>
      <w:tblGrid>
        <w:gridCol w:w="2709"/>
        <w:gridCol w:w="1102"/>
        <w:gridCol w:w="1179"/>
        <w:gridCol w:w="1101"/>
        <w:gridCol w:w="1045"/>
        <w:gridCol w:w="1095"/>
        <w:gridCol w:w="1389"/>
      </w:tblGrid>
      <w:tr>
        <w:trPr>
          <w:trHeight w:val="1" w:hRule="atLeast"/>
          <w:jc w:val="left"/>
        </w:trPr>
        <w:tc>
          <w:tcPr>
            <w:tcW w:w="2709" w:type="dxa"/>
            <w:vMerge w:val="restart"/>
            <w:tcBorders>
              <w:top w:val="single" w:color="000000" w:sz="4"/>
              <w:left w:val="single" w:color="000000" w:sz="4"/>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SEKTORI</w:t>
            </w:r>
          </w:p>
        </w:tc>
        <w:tc>
          <w:tcPr>
            <w:tcW w:w="2281" w:type="dxa"/>
            <w:gridSpan w:val="2"/>
            <w:tcBorders>
              <w:top w:val="single" w:color="000000" w:sz="4"/>
              <w:left w:val="single" w:color="000000" w:sz="0"/>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REFERENTNI INVENTAR u 2010. godini</w:t>
            </w:r>
          </w:p>
        </w:tc>
        <w:tc>
          <w:tcPr>
            <w:tcW w:w="2146" w:type="dxa"/>
            <w:gridSpan w:val="2"/>
            <w:tcBorders>
              <w:top w:val="single" w:color="000000" w:sz="4"/>
              <w:left w:val="single" w:color="000000" w:sz="0"/>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KONTROLNI INVENTAR u 2020. godini</w:t>
            </w:r>
          </w:p>
        </w:tc>
        <w:tc>
          <w:tcPr>
            <w:tcW w:w="2484" w:type="dxa"/>
            <w:gridSpan w:val="2"/>
            <w:tcBorders>
              <w:top w:val="single" w:color="000000" w:sz="4"/>
              <w:left w:val="single" w:color="000000" w:sz="0"/>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OSTVARENO SMANJENJE EMISIJA CO₂</w:t>
            </w:r>
          </w:p>
        </w:tc>
      </w:tr>
      <w:tr>
        <w:trPr>
          <w:trHeight w:val="1" w:hRule="atLeast"/>
          <w:jc w:val="left"/>
        </w:trPr>
        <w:tc>
          <w:tcPr>
            <w:tcW w:w="2709"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102"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Emisije CO₂ [tCO₂]</w:t>
            </w:r>
          </w:p>
        </w:tc>
        <w:tc>
          <w:tcPr>
            <w:tcW w:w="1179"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Udio pojedinih sektora [%]</w:t>
            </w:r>
          </w:p>
        </w:tc>
        <w:tc>
          <w:tcPr>
            <w:tcW w:w="1101"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Emisije CO₂ [tCO₂]</w:t>
            </w:r>
          </w:p>
        </w:tc>
        <w:tc>
          <w:tcPr>
            <w:tcW w:w="1045"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Udio pojedinog sektora [%]</w:t>
            </w:r>
          </w:p>
        </w:tc>
        <w:tc>
          <w:tcPr>
            <w:tcW w:w="1095"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Emisije CO₂ [tCO₂]</w:t>
            </w:r>
          </w:p>
        </w:tc>
        <w:tc>
          <w:tcPr>
            <w:tcW w:w="1389"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Smanjenje CO₂ po sektorima [%]</w:t>
            </w:r>
          </w:p>
        </w:tc>
      </w:tr>
      <w:tr>
        <w:trPr>
          <w:trHeight w:val="1" w:hRule="atLeast"/>
          <w:jc w:val="left"/>
        </w:trPr>
        <w:tc>
          <w:tcPr>
            <w:tcW w:w="2709" w:type="dxa"/>
            <w:tcBorders>
              <w:top w:val="single" w:color="000000" w:sz="0"/>
              <w:left w:val="single" w:color="000000" w:sz="4"/>
              <w:bottom w:val="single" w:color="000000" w:sz="4"/>
              <w:right w:val="single" w:color="000000" w:sz="4"/>
            </w:tcBorders>
            <w:shd w:color="000000" w:fill="b4c6e7" w:val="clear"/>
            <w:tcMar>
              <w:left w:w="108" w:type="dxa"/>
              <w:right w:w="108"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ZGRADARSTVO I JAVNA RASVJETA</w:t>
            </w:r>
          </w:p>
        </w:tc>
        <w:tc>
          <w:tcPr>
            <w:tcW w:w="1102"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1179"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1101"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1045"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1095"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1389"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r>
      <w:tr>
        <w:trPr>
          <w:trHeight w:val="1" w:hRule="atLeast"/>
          <w:jc w:val="left"/>
        </w:trPr>
        <w:tc>
          <w:tcPr>
            <w:tcW w:w="2709" w:type="dxa"/>
            <w:tcBorders>
              <w:top w:val="single" w:color="000000" w:sz="0"/>
              <w:left w:val="single" w:color="000000" w:sz="4"/>
              <w:bottom w:val="single" w:color="000000" w:sz="4"/>
              <w:right w:val="single" w:color="000000" w:sz="4"/>
            </w:tcBorders>
            <w:shd w:color="000000" w:fill="d9e1f2" w:val="clear"/>
            <w:tcMar>
              <w:left w:w="108" w:type="dxa"/>
              <w:right w:w="108" w:type="dxa"/>
            </w:tcMar>
            <w:vAlign w:val="top"/>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Javne zgrade u vlasništvu Op</w:t>
            </w:r>
            <w:r>
              <w:rPr>
                <w:rFonts w:ascii="Calibri" w:hAnsi="Calibri" w:cs="Calibri" w:eastAsia="Calibri"/>
                <w:color w:val="000000"/>
                <w:spacing w:val="0"/>
                <w:position w:val="0"/>
                <w:sz w:val="18"/>
                <w:shd w:fill="auto" w:val="clear"/>
              </w:rPr>
              <w:t xml:space="preserve">ćine</w:t>
            </w:r>
          </w:p>
        </w:tc>
        <w:tc>
          <w:tcPr>
            <w:tcW w:w="110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826,39</w:t>
            </w:r>
          </w:p>
        </w:tc>
        <w:tc>
          <w:tcPr>
            <w:tcW w:w="117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2,72</w:t>
            </w:r>
          </w:p>
        </w:tc>
        <w:tc>
          <w:tcPr>
            <w:tcW w:w="110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876,86</w:t>
            </w:r>
          </w:p>
        </w:tc>
        <w:tc>
          <w:tcPr>
            <w:tcW w:w="104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3,69</w:t>
            </w:r>
          </w:p>
        </w:tc>
        <w:tc>
          <w:tcPr>
            <w:tcW w:w="109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-50,47</w:t>
            </w:r>
          </w:p>
        </w:tc>
        <w:tc>
          <w:tcPr>
            <w:tcW w:w="138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-6,11</w:t>
            </w:r>
          </w:p>
        </w:tc>
      </w:tr>
      <w:tr>
        <w:trPr>
          <w:trHeight w:val="1" w:hRule="atLeast"/>
          <w:jc w:val="left"/>
        </w:trPr>
        <w:tc>
          <w:tcPr>
            <w:tcW w:w="2709" w:type="dxa"/>
            <w:tcBorders>
              <w:top w:val="single" w:color="000000" w:sz="0"/>
              <w:left w:val="single" w:color="000000" w:sz="4"/>
              <w:bottom w:val="single" w:color="000000" w:sz="4"/>
              <w:right w:val="single" w:color="000000" w:sz="4"/>
            </w:tcBorders>
            <w:shd w:color="000000" w:fill="d9e1f2" w:val="clear"/>
            <w:tcMar>
              <w:left w:w="108" w:type="dxa"/>
              <w:right w:w="108" w:type="dxa"/>
            </w:tcMar>
            <w:vAlign w:val="top"/>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Javne zgrade koje nisu u vlasništvu Op</w:t>
            </w:r>
            <w:r>
              <w:rPr>
                <w:rFonts w:ascii="Calibri" w:hAnsi="Calibri" w:cs="Calibri" w:eastAsia="Calibri"/>
                <w:color w:val="000000"/>
                <w:spacing w:val="0"/>
                <w:position w:val="0"/>
                <w:sz w:val="18"/>
                <w:shd w:fill="auto" w:val="clear"/>
              </w:rPr>
              <w:t xml:space="preserve">ćine</w:t>
            </w:r>
          </w:p>
        </w:tc>
        <w:tc>
          <w:tcPr>
            <w:tcW w:w="110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544,67</w:t>
            </w:r>
          </w:p>
        </w:tc>
        <w:tc>
          <w:tcPr>
            <w:tcW w:w="117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1,80</w:t>
            </w:r>
          </w:p>
        </w:tc>
        <w:tc>
          <w:tcPr>
            <w:tcW w:w="110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348,44</w:t>
            </w:r>
          </w:p>
        </w:tc>
        <w:tc>
          <w:tcPr>
            <w:tcW w:w="104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1,47</w:t>
            </w:r>
          </w:p>
        </w:tc>
        <w:tc>
          <w:tcPr>
            <w:tcW w:w="109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196,23</w:t>
            </w:r>
          </w:p>
        </w:tc>
        <w:tc>
          <w:tcPr>
            <w:tcW w:w="138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36,03</w:t>
            </w:r>
          </w:p>
        </w:tc>
      </w:tr>
      <w:tr>
        <w:trPr>
          <w:trHeight w:val="1" w:hRule="atLeast"/>
          <w:jc w:val="left"/>
        </w:trPr>
        <w:tc>
          <w:tcPr>
            <w:tcW w:w="2709" w:type="dxa"/>
            <w:tcBorders>
              <w:top w:val="single" w:color="000000" w:sz="0"/>
              <w:left w:val="single" w:color="000000" w:sz="4"/>
              <w:bottom w:val="single" w:color="000000" w:sz="4"/>
              <w:right w:val="single" w:color="000000" w:sz="4"/>
            </w:tcBorders>
            <w:shd w:color="000000" w:fill="d9e1f2" w:val="clear"/>
            <w:tcMar>
              <w:left w:w="108" w:type="dxa"/>
              <w:right w:w="108" w:type="dxa"/>
            </w:tcMar>
            <w:vAlign w:val="top"/>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Stambene zgrade</w:t>
            </w:r>
          </w:p>
        </w:tc>
        <w:tc>
          <w:tcPr>
            <w:tcW w:w="110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19.390,47</w:t>
            </w:r>
          </w:p>
        </w:tc>
        <w:tc>
          <w:tcPr>
            <w:tcW w:w="117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63,92</w:t>
            </w:r>
          </w:p>
        </w:tc>
        <w:tc>
          <w:tcPr>
            <w:tcW w:w="110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13.922,42</w:t>
            </w:r>
          </w:p>
        </w:tc>
        <w:tc>
          <w:tcPr>
            <w:tcW w:w="104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58,65</w:t>
            </w:r>
          </w:p>
        </w:tc>
        <w:tc>
          <w:tcPr>
            <w:tcW w:w="109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5.468,05</w:t>
            </w:r>
          </w:p>
        </w:tc>
        <w:tc>
          <w:tcPr>
            <w:tcW w:w="138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28,20</w:t>
            </w:r>
          </w:p>
        </w:tc>
      </w:tr>
      <w:tr>
        <w:trPr>
          <w:trHeight w:val="1" w:hRule="atLeast"/>
          <w:jc w:val="left"/>
        </w:trPr>
        <w:tc>
          <w:tcPr>
            <w:tcW w:w="2709" w:type="dxa"/>
            <w:tcBorders>
              <w:top w:val="single" w:color="000000" w:sz="0"/>
              <w:left w:val="single" w:color="000000" w:sz="4"/>
              <w:bottom w:val="single" w:color="000000" w:sz="4"/>
              <w:right w:val="single" w:color="000000" w:sz="4"/>
            </w:tcBorders>
            <w:shd w:color="000000" w:fill="d9e1f2" w:val="clear"/>
            <w:tcMar>
              <w:left w:w="108" w:type="dxa"/>
              <w:right w:w="108" w:type="dxa"/>
            </w:tcMar>
            <w:vAlign w:val="top"/>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Javna rasvjeta</w:t>
            </w:r>
          </w:p>
        </w:tc>
        <w:tc>
          <w:tcPr>
            <w:tcW w:w="110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417,77</w:t>
            </w:r>
          </w:p>
        </w:tc>
        <w:tc>
          <w:tcPr>
            <w:tcW w:w="117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1,38</w:t>
            </w:r>
          </w:p>
        </w:tc>
        <w:tc>
          <w:tcPr>
            <w:tcW w:w="110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478,42</w:t>
            </w:r>
          </w:p>
        </w:tc>
        <w:tc>
          <w:tcPr>
            <w:tcW w:w="104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2,02</w:t>
            </w:r>
          </w:p>
        </w:tc>
        <w:tc>
          <w:tcPr>
            <w:tcW w:w="109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-60,65</w:t>
            </w:r>
          </w:p>
        </w:tc>
        <w:tc>
          <w:tcPr>
            <w:tcW w:w="138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-14,52</w:t>
            </w:r>
          </w:p>
        </w:tc>
      </w:tr>
      <w:tr>
        <w:trPr>
          <w:trHeight w:val="1" w:hRule="atLeast"/>
          <w:jc w:val="left"/>
        </w:trPr>
        <w:tc>
          <w:tcPr>
            <w:tcW w:w="2709" w:type="dxa"/>
            <w:tcBorders>
              <w:top w:val="single" w:color="000000" w:sz="0"/>
              <w:left w:val="single" w:color="000000" w:sz="4"/>
              <w:bottom w:val="single" w:color="000000" w:sz="4"/>
              <w:right w:val="single" w:color="000000" w:sz="4"/>
            </w:tcBorders>
            <w:shd w:color="000000" w:fill="b4c6e7" w:val="clear"/>
            <w:tcMar>
              <w:left w:w="108" w:type="dxa"/>
              <w:right w:w="108" w:type="dxa"/>
            </w:tcMar>
            <w:vAlign w:val="top"/>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SAOBRA</w:t>
            </w:r>
            <w:r>
              <w:rPr>
                <w:rFonts w:ascii="Calibri" w:hAnsi="Calibri" w:cs="Calibri" w:eastAsia="Calibri"/>
                <w:color w:val="000000"/>
                <w:spacing w:val="0"/>
                <w:position w:val="0"/>
                <w:sz w:val="18"/>
                <w:shd w:fill="auto" w:val="clear"/>
              </w:rPr>
              <w:t xml:space="preserve">ĆAJ</w:t>
            </w:r>
          </w:p>
        </w:tc>
        <w:tc>
          <w:tcPr>
            <w:tcW w:w="1102"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79"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01"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045"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095"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89"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2709" w:type="dxa"/>
            <w:tcBorders>
              <w:top w:val="single" w:color="000000" w:sz="0"/>
              <w:left w:val="single" w:color="000000" w:sz="4"/>
              <w:bottom w:val="single" w:color="000000" w:sz="4"/>
              <w:right w:val="single" w:color="000000" w:sz="4"/>
            </w:tcBorders>
            <w:shd w:color="000000" w:fill="d9e1f2" w:val="clear"/>
            <w:tcMar>
              <w:left w:w="108" w:type="dxa"/>
              <w:right w:w="108" w:type="dxa"/>
            </w:tcMar>
            <w:vAlign w:val="top"/>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Vozila u vlasništvu Op</w:t>
            </w:r>
            <w:r>
              <w:rPr>
                <w:rFonts w:ascii="Calibri" w:hAnsi="Calibri" w:cs="Calibri" w:eastAsia="Calibri"/>
                <w:color w:val="000000"/>
                <w:spacing w:val="0"/>
                <w:position w:val="0"/>
                <w:sz w:val="18"/>
                <w:shd w:fill="auto" w:val="clear"/>
              </w:rPr>
              <w:t xml:space="preserve">ćine</w:t>
            </w:r>
          </w:p>
        </w:tc>
        <w:tc>
          <w:tcPr>
            <w:tcW w:w="110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66,03</w:t>
            </w:r>
          </w:p>
        </w:tc>
        <w:tc>
          <w:tcPr>
            <w:tcW w:w="117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0,22</w:t>
            </w:r>
          </w:p>
        </w:tc>
        <w:tc>
          <w:tcPr>
            <w:tcW w:w="110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52,80</w:t>
            </w:r>
          </w:p>
        </w:tc>
        <w:tc>
          <w:tcPr>
            <w:tcW w:w="104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0,22</w:t>
            </w:r>
          </w:p>
        </w:tc>
        <w:tc>
          <w:tcPr>
            <w:tcW w:w="109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13,24</w:t>
            </w:r>
          </w:p>
        </w:tc>
        <w:tc>
          <w:tcPr>
            <w:tcW w:w="138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20,05</w:t>
            </w:r>
          </w:p>
        </w:tc>
      </w:tr>
      <w:tr>
        <w:trPr>
          <w:trHeight w:val="1" w:hRule="atLeast"/>
          <w:jc w:val="left"/>
        </w:trPr>
        <w:tc>
          <w:tcPr>
            <w:tcW w:w="2709" w:type="dxa"/>
            <w:tcBorders>
              <w:top w:val="single" w:color="000000" w:sz="0"/>
              <w:left w:val="single" w:color="000000" w:sz="4"/>
              <w:bottom w:val="single" w:color="000000" w:sz="4"/>
              <w:right w:val="single" w:color="000000" w:sz="4"/>
            </w:tcBorders>
            <w:shd w:color="000000" w:fill="d9e1f2" w:val="clear"/>
            <w:tcMar>
              <w:left w:w="108" w:type="dxa"/>
              <w:right w:w="108" w:type="dxa"/>
            </w:tcMar>
            <w:vAlign w:val="top"/>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Javni prijevoz</w:t>
            </w:r>
          </w:p>
        </w:tc>
        <w:tc>
          <w:tcPr>
            <w:tcW w:w="110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517,59</w:t>
            </w:r>
          </w:p>
        </w:tc>
        <w:tc>
          <w:tcPr>
            <w:tcW w:w="117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1,71</w:t>
            </w:r>
          </w:p>
        </w:tc>
        <w:tc>
          <w:tcPr>
            <w:tcW w:w="110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528,13</w:t>
            </w:r>
          </w:p>
        </w:tc>
        <w:tc>
          <w:tcPr>
            <w:tcW w:w="104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2,22</w:t>
            </w:r>
          </w:p>
        </w:tc>
        <w:tc>
          <w:tcPr>
            <w:tcW w:w="109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-10,54</w:t>
            </w:r>
          </w:p>
        </w:tc>
        <w:tc>
          <w:tcPr>
            <w:tcW w:w="138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-2,04</w:t>
            </w:r>
          </w:p>
        </w:tc>
      </w:tr>
      <w:tr>
        <w:trPr>
          <w:trHeight w:val="1" w:hRule="atLeast"/>
          <w:jc w:val="left"/>
        </w:trPr>
        <w:tc>
          <w:tcPr>
            <w:tcW w:w="2709" w:type="dxa"/>
            <w:tcBorders>
              <w:top w:val="single" w:color="000000" w:sz="0"/>
              <w:left w:val="single" w:color="000000" w:sz="4"/>
              <w:bottom w:val="single" w:color="000000" w:sz="4"/>
              <w:right w:val="single" w:color="000000" w:sz="4"/>
            </w:tcBorders>
            <w:shd w:color="000000" w:fill="d9e1f2" w:val="clear"/>
            <w:tcMar>
              <w:left w:w="108" w:type="dxa"/>
              <w:right w:w="108" w:type="dxa"/>
            </w:tcMar>
            <w:vAlign w:val="top"/>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Osobna i komercijalna vozila</w:t>
            </w:r>
          </w:p>
        </w:tc>
        <w:tc>
          <w:tcPr>
            <w:tcW w:w="110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8.341,76</w:t>
            </w:r>
          </w:p>
        </w:tc>
        <w:tc>
          <w:tcPr>
            <w:tcW w:w="117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27,50</w:t>
            </w:r>
          </w:p>
        </w:tc>
        <w:tc>
          <w:tcPr>
            <w:tcW w:w="110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7.150,09</w:t>
            </w:r>
          </w:p>
        </w:tc>
        <w:tc>
          <w:tcPr>
            <w:tcW w:w="104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30,12</w:t>
            </w:r>
          </w:p>
        </w:tc>
        <w:tc>
          <w:tcPr>
            <w:tcW w:w="109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1.191,68</w:t>
            </w:r>
          </w:p>
        </w:tc>
        <w:tc>
          <w:tcPr>
            <w:tcW w:w="138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14,29</w:t>
            </w:r>
          </w:p>
        </w:tc>
      </w:tr>
      <w:tr>
        <w:trPr>
          <w:trHeight w:val="1" w:hRule="atLeast"/>
          <w:jc w:val="left"/>
        </w:trPr>
        <w:tc>
          <w:tcPr>
            <w:tcW w:w="2709" w:type="dxa"/>
            <w:tcBorders>
              <w:top w:val="single" w:color="000000" w:sz="0"/>
              <w:left w:val="single" w:color="000000" w:sz="4"/>
              <w:bottom w:val="single" w:color="000000" w:sz="4"/>
              <w:right w:val="single" w:color="000000" w:sz="4"/>
            </w:tcBorders>
            <w:shd w:color="000000" w:fill="b4c6e7" w:val="clear"/>
            <w:tcMar>
              <w:left w:w="108" w:type="dxa"/>
              <w:right w:w="108" w:type="dxa"/>
            </w:tcMar>
            <w:vAlign w:val="top"/>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NE-ENERGETSKI SEKTORI</w:t>
            </w:r>
          </w:p>
        </w:tc>
        <w:tc>
          <w:tcPr>
            <w:tcW w:w="1102"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79"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01"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045"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095"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89"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2709" w:type="dxa"/>
            <w:tcBorders>
              <w:top w:val="single" w:color="000000" w:sz="0"/>
              <w:left w:val="single" w:color="000000" w:sz="4"/>
              <w:bottom w:val="single" w:color="000000" w:sz="4"/>
              <w:right w:val="single" w:color="000000" w:sz="4"/>
            </w:tcBorders>
            <w:shd w:color="000000" w:fill="d9e1f2" w:val="clear"/>
            <w:tcMar>
              <w:left w:w="108" w:type="dxa"/>
              <w:right w:w="108" w:type="dxa"/>
            </w:tcMar>
            <w:vAlign w:val="top"/>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Vodosnabdijevanje</w:t>
            </w:r>
          </w:p>
        </w:tc>
        <w:tc>
          <w:tcPr>
            <w:tcW w:w="110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232,20</w:t>
            </w:r>
          </w:p>
        </w:tc>
        <w:tc>
          <w:tcPr>
            <w:tcW w:w="1179" w:type="dxa"/>
            <w:tcBorders>
              <w:top w:val="single" w:color="000000" w:sz="0"/>
              <w:left w:val="single" w:color="000000" w:sz="0"/>
              <w:bottom w:val="single" w:color="000000" w:sz="0"/>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0,77</w:t>
            </w:r>
          </w:p>
        </w:tc>
        <w:tc>
          <w:tcPr>
            <w:tcW w:w="110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379,60</w:t>
            </w:r>
          </w:p>
        </w:tc>
        <w:tc>
          <w:tcPr>
            <w:tcW w:w="1045" w:type="dxa"/>
            <w:tcBorders>
              <w:top w:val="single" w:color="000000" w:sz="0"/>
              <w:left w:val="single" w:color="000000" w:sz="0"/>
              <w:bottom w:val="single" w:color="000000" w:sz="0"/>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1,60</w:t>
            </w:r>
          </w:p>
        </w:tc>
        <w:tc>
          <w:tcPr>
            <w:tcW w:w="109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-147,40</w:t>
            </w:r>
          </w:p>
        </w:tc>
        <w:tc>
          <w:tcPr>
            <w:tcW w:w="1389" w:type="dxa"/>
            <w:tcBorders>
              <w:top w:val="single" w:color="000000" w:sz="0"/>
              <w:left w:val="single" w:color="000000" w:sz="0"/>
              <w:bottom w:val="single" w:color="000000" w:sz="0"/>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-63,48</w:t>
            </w:r>
          </w:p>
        </w:tc>
      </w:tr>
      <w:tr>
        <w:trPr>
          <w:trHeight w:val="1" w:hRule="atLeast"/>
          <w:jc w:val="left"/>
        </w:trPr>
        <w:tc>
          <w:tcPr>
            <w:tcW w:w="2709" w:type="dxa"/>
            <w:tcBorders>
              <w:top w:val="single" w:color="000000" w:sz="0"/>
              <w:left w:val="single" w:color="000000" w:sz="4"/>
              <w:bottom w:val="single" w:color="000000" w:sz="4"/>
              <w:right w:val="single" w:color="000000" w:sz="4"/>
            </w:tcBorders>
            <w:shd w:color="000000" w:fill="b4c6e7" w:val="clear"/>
            <w:tcMar>
              <w:left w:w="108" w:type="dxa"/>
              <w:right w:w="108" w:type="dxa"/>
            </w:tcMar>
            <w:vAlign w:val="top"/>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UKUPNO</w:t>
            </w:r>
          </w:p>
        </w:tc>
        <w:tc>
          <w:tcPr>
            <w:tcW w:w="1102" w:type="dxa"/>
            <w:tcBorders>
              <w:top w:val="single" w:color="000000" w:sz="0"/>
              <w:left w:val="single" w:color="000000" w:sz="0"/>
              <w:bottom w:val="single" w:color="000000" w:sz="4"/>
              <w:right w:val="single" w:color="000000" w:sz="4"/>
            </w:tcBorders>
            <w:shd w:color="000000" w:fill="d9e1f2"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30.336,89</w:t>
            </w:r>
          </w:p>
        </w:tc>
        <w:tc>
          <w:tcPr>
            <w:tcW w:w="1179" w:type="dxa"/>
            <w:tcBorders>
              <w:top w:val="single" w:color="000000" w:sz="4"/>
              <w:left w:val="single" w:color="000000" w:sz="0"/>
              <w:bottom w:val="single" w:color="000000" w:sz="4"/>
              <w:right w:val="single" w:color="000000" w:sz="4"/>
            </w:tcBorders>
            <w:shd w:color="000000" w:fill="d9e1f2"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100,00</w:t>
            </w:r>
          </w:p>
        </w:tc>
        <w:tc>
          <w:tcPr>
            <w:tcW w:w="1101" w:type="dxa"/>
            <w:tcBorders>
              <w:top w:val="single" w:color="000000" w:sz="0"/>
              <w:left w:val="single" w:color="000000" w:sz="0"/>
              <w:bottom w:val="single" w:color="000000" w:sz="4"/>
              <w:right w:val="single" w:color="000000" w:sz="4"/>
            </w:tcBorders>
            <w:shd w:color="000000" w:fill="d9e1f2"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23.736,75</w:t>
            </w:r>
          </w:p>
        </w:tc>
        <w:tc>
          <w:tcPr>
            <w:tcW w:w="1045" w:type="dxa"/>
            <w:tcBorders>
              <w:top w:val="single" w:color="000000" w:sz="4"/>
              <w:left w:val="single" w:color="000000" w:sz="0"/>
              <w:bottom w:val="single" w:color="000000" w:sz="4"/>
              <w:right w:val="single" w:color="000000" w:sz="4"/>
            </w:tcBorders>
            <w:shd w:color="000000" w:fill="d9e1f2"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100,00</w:t>
            </w:r>
          </w:p>
        </w:tc>
        <w:tc>
          <w:tcPr>
            <w:tcW w:w="1095" w:type="dxa"/>
            <w:tcBorders>
              <w:top w:val="single" w:color="000000" w:sz="0"/>
              <w:left w:val="single" w:color="000000" w:sz="0"/>
              <w:bottom w:val="single" w:color="000000" w:sz="4"/>
              <w:right w:val="single" w:color="000000" w:sz="4"/>
            </w:tcBorders>
            <w:shd w:color="000000" w:fill="d9e1f2"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6.600,14</w:t>
            </w:r>
          </w:p>
        </w:tc>
        <w:tc>
          <w:tcPr>
            <w:tcW w:w="1389" w:type="dxa"/>
            <w:tcBorders>
              <w:top w:val="single" w:color="000000" w:sz="8"/>
              <w:left w:val="single" w:color="000000" w:sz="8"/>
              <w:bottom w:val="single" w:color="000000" w:sz="8"/>
              <w:right w:val="single" w:color="000000" w:sz="8"/>
            </w:tcBorders>
            <w:shd w:color="000000" w:fill="d9e1f2"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21,76%</w:t>
            </w:r>
          </w:p>
        </w:tc>
      </w:tr>
    </w:tbl>
    <w:p>
      <w:pPr>
        <w:spacing w:before="60" w:after="160" w:line="240"/>
        <w:ind w:right="0" w:left="0" w:firstLine="0"/>
        <w:jc w:val="center"/>
        <w:rPr>
          <w:rFonts w:ascii="Calibri" w:hAnsi="Calibri" w:cs="Calibri" w:eastAsia="Calibri"/>
          <w:color w:val="000000"/>
          <w:spacing w:val="0"/>
          <w:position w:val="0"/>
          <w:sz w:val="18"/>
          <w:shd w:fill="auto" w:val="clear"/>
        </w:rPr>
      </w:pPr>
      <w:r>
        <w:rPr>
          <w:rFonts w:ascii="Calibri" w:hAnsi="Calibri" w:cs="Calibri" w:eastAsia="Calibri"/>
          <w:color w:val="auto"/>
          <w:spacing w:val="0"/>
          <w:position w:val="0"/>
          <w:sz w:val="18"/>
          <w:shd w:fill="auto" w:val="clear"/>
        </w:rPr>
        <w:t xml:space="preserve">Tabela 549: Pore</w:t>
      </w:r>
      <w:r>
        <w:rPr>
          <w:rFonts w:ascii="Calibri" w:hAnsi="Calibri" w:cs="Calibri" w:eastAsia="Calibri"/>
          <w:color w:val="auto"/>
          <w:spacing w:val="0"/>
          <w:position w:val="0"/>
          <w:sz w:val="18"/>
          <w:shd w:fill="auto" w:val="clear"/>
        </w:rPr>
        <w:t xml:space="preserve">đenje ukupnih emisija CO</w:t>
      </w:r>
      <w:r>
        <w:rPr>
          <w:rFonts w:ascii="Calibri" w:hAnsi="Calibri" w:cs="Calibri" w:eastAsia="Calibri"/>
          <w:color w:val="auto"/>
          <w:spacing w:val="0"/>
          <w:position w:val="0"/>
          <w:sz w:val="18"/>
          <w:shd w:fill="auto" w:val="clear"/>
          <w:vertAlign w:val="subscript"/>
        </w:rPr>
        <w:t xml:space="preserve">2</w:t>
      </w:r>
      <w:r>
        <w:rPr>
          <w:rFonts w:ascii="Calibri" w:hAnsi="Calibri" w:cs="Calibri" w:eastAsia="Calibri"/>
          <w:color w:val="auto"/>
          <w:spacing w:val="0"/>
          <w:position w:val="0"/>
          <w:sz w:val="18"/>
          <w:shd w:fill="auto" w:val="clear"/>
        </w:rPr>
        <w:t xml:space="preserve"> i emisija iz razmatranih sektora u baznoj i kontrolnoj godini</w:t>
      </w:r>
    </w:p>
    <w:p>
      <w:pPr>
        <w:spacing w:before="120" w:after="0" w:line="240"/>
        <w:ind w:right="0" w:left="0" w:firstLine="0"/>
        <w:jc w:val="both"/>
        <w:rPr>
          <w:rFonts w:ascii="Calibri" w:hAnsi="Calibri" w:cs="Calibri" w:eastAsia="Calibri"/>
          <w:color w:val="auto"/>
          <w:spacing w:val="0"/>
          <w:position w:val="0"/>
          <w:sz w:val="20"/>
          <w:shd w:fill="FFFF00" w:val="clear"/>
        </w:rPr>
      </w:pPr>
      <w:r>
        <w:rPr>
          <w:rFonts w:ascii="Calibri" w:hAnsi="Calibri" w:cs="Calibri" w:eastAsia="Calibri"/>
          <w:color w:val="auto"/>
          <w:spacing w:val="0"/>
          <w:position w:val="0"/>
          <w:sz w:val="20"/>
          <w:shd w:fill="auto" w:val="clear"/>
        </w:rPr>
        <w:t xml:space="preserve">Iz tabele je evidentno da je najve</w:t>
      </w:r>
      <w:r>
        <w:rPr>
          <w:rFonts w:ascii="Calibri" w:hAnsi="Calibri" w:cs="Calibri" w:eastAsia="Calibri"/>
          <w:color w:val="auto"/>
          <w:spacing w:val="0"/>
          <w:position w:val="0"/>
          <w:sz w:val="20"/>
          <w:shd w:fill="auto" w:val="clear"/>
        </w:rPr>
        <w:t xml:space="preserve">će smanjenje apsolutnih vrijednosti emisija ostvareno u sektoru zgradarstva, naročito u podsektoru stambenih zgrada gdje su se emisije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smanjile za </w:t>
      </w:r>
      <w:r>
        <w:rPr>
          <w:rFonts w:ascii="Calibri" w:hAnsi="Calibri" w:cs="Calibri" w:eastAsia="Calibri"/>
          <w:color w:val="000000"/>
          <w:spacing w:val="0"/>
          <w:position w:val="0"/>
          <w:sz w:val="20"/>
          <w:shd w:fill="auto" w:val="clear"/>
        </w:rPr>
        <w:t xml:space="preserve">5.468,05 </w:t>
      </w:r>
      <w:r>
        <w:rPr>
          <w:rFonts w:ascii="Calibri" w:hAnsi="Calibri" w:cs="Calibri" w:eastAsia="Calibri"/>
          <w:color w:val="auto"/>
          <w:spacing w:val="0"/>
          <w:position w:val="0"/>
          <w:sz w:val="20"/>
          <w:shd w:fill="auto" w:val="clear"/>
        </w:rPr>
        <w:t xml:space="preserve">t</w:t>
      </w:r>
      <w:r>
        <w:rPr>
          <w:rFonts w:ascii="Calibri" w:hAnsi="Calibri" w:cs="Calibri" w:eastAsia="Calibri"/>
          <w:color w:val="auto"/>
          <w:spacing w:val="0"/>
          <w:position w:val="0"/>
          <w:sz w:val="20"/>
          <w:shd w:fill="auto" w:val="clear"/>
          <w:vertAlign w:val="subscript"/>
        </w:rPr>
        <w:t xml:space="preserve"> </w:t>
      </w:r>
      <w:r>
        <w:rPr>
          <w:rFonts w:ascii="Calibri" w:hAnsi="Calibri" w:cs="Calibri" w:eastAsia="Calibri"/>
          <w:color w:val="auto"/>
          <w:spacing w:val="0"/>
          <w:position w:val="0"/>
          <w:sz w:val="20"/>
          <w:shd w:fill="auto" w:val="clear"/>
        </w:rPr>
        <w:t xml:space="preserve">odnosno za 28,20% u odnosu na stanje u baznoj godini. Prelazak na korištenje okolišno prihvatljivijih energenata za grijanje i provođenje mjera energetske efikasnosti na ovojnicama stambenih zgrada, najveći su razlog ovog smanjenja emisija. Anketa provedena za potrebe utvrđivanja ušteda u stambenim zgradama, pokazala je spremnost građana za korištenje okolišno prihvatljivijih energenata i sistema grijanja. U ovom periodu je 13,25% ispitanika promijenilo energente, te sada umjesto uglja koriste biomasu (ogrijevno drvo ili pelet), dok je 74,36% ispitanika realiziralo najmanje jednu mjeru na ovojnici stambene jedinice (zamjena stolarije, izolacija fasade).  </w:t>
      </w:r>
    </w:p>
    <w:p>
      <w:pPr>
        <w:spacing w:before="60" w:after="0" w:line="240"/>
        <w:ind w:right="0" w:left="0" w:firstLine="0"/>
        <w:jc w:val="both"/>
        <w:rPr>
          <w:rFonts w:ascii="Calibri" w:hAnsi="Calibri" w:cs="Calibri" w:eastAsia="Calibri"/>
          <w:color w:val="auto"/>
          <w:spacing w:val="0"/>
          <w:position w:val="0"/>
          <w:sz w:val="20"/>
          <w:shd w:fill="FFFF00" w:val="clear"/>
        </w:rPr>
      </w:pPr>
      <w:r>
        <w:rPr>
          <w:rFonts w:ascii="Calibri" w:hAnsi="Calibri" w:cs="Calibri" w:eastAsia="Calibri"/>
          <w:color w:val="auto"/>
          <w:spacing w:val="0"/>
          <w:position w:val="0"/>
          <w:sz w:val="20"/>
          <w:shd w:fill="auto" w:val="clear"/>
        </w:rPr>
        <w:t xml:space="preserve">Emisije CO</w:t>
      </w:r>
      <w:r>
        <w:rPr>
          <w:rFonts w:ascii="Calibri" w:hAnsi="Calibri" w:cs="Calibri" w:eastAsia="Calibri"/>
          <w:color w:val="auto"/>
          <w:spacing w:val="0"/>
          <w:position w:val="0"/>
          <w:sz w:val="20"/>
          <w:shd w:fill="auto" w:val="clear"/>
          <w:vertAlign w:val="subscript"/>
        </w:rPr>
        <w:t xml:space="preserve">2 </w:t>
      </w:r>
      <w:r>
        <w:rPr>
          <w:rFonts w:ascii="Calibri" w:hAnsi="Calibri" w:cs="Calibri" w:eastAsia="Calibri"/>
          <w:color w:val="auto"/>
          <w:spacing w:val="0"/>
          <w:position w:val="0"/>
          <w:sz w:val="20"/>
          <w:shd w:fill="auto" w:val="clear"/>
        </w:rPr>
        <w:t xml:space="preserve">iz podsektora javnih zgrada u vlasništvu Op</w:t>
      </w:r>
      <w:r>
        <w:rPr>
          <w:rFonts w:ascii="Calibri" w:hAnsi="Calibri" w:cs="Calibri" w:eastAsia="Calibri"/>
          <w:color w:val="auto"/>
          <w:spacing w:val="0"/>
          <w:position w:val="0"/>
          <w:sz w:val="20"/>
          <w:shd w:fill="auto" w:val="clear"/>
        </w:rPr>
        <w:t xml:space="preserve">ćine u 2020. godini veće su za 50,47 t, odnosno za 6,11% u odnosu na 2010. godinu, zbog prelaska na korištenje okolišno prihvatljivijih energenata  za grijanje i provođenja mjera energetske efikasnosti na ovojnici zgrada. U periodu od 2010. do 2020. godine, na 9 javnih zgrada vlasništvu Općine su provedene mjere energetske efikasnosti, u okviru kojih je zamijenjeno 288,0 m</w:t>
      </w:r>
      <w:r>
        <w:rPr>
          <w:rFonts w:ascii="Calibri" w:hAnsi="Calibri" w:cs="Calibri" w:eastAsia="Calibri"/>
          <w:color w:val="auto"/>
          <w:spacing w:val="0"/>
          <w:position w:val="0"/>
          <w:sz w:val="20"/>
          <w:shd w:fill="auto" w:val="clear"/>
          <w:vertAlign w:val="superscript"/>
        </w:rPr>
        <w:t xml:space="preserve">2</w:t>
      </w:r>
      <w:r>
        <w:rPr>
          <w:rFonts w:ascii="Calibri" w:hAnsi="Calibri" w:cs="Calibri" w:eastAsia="Calibri"/>
          <w:color w:val="auto"/>
          <w:spacing w:val="0"/>
          <w:position w:val="0"/>
          <w:sz w:val="20"/>
          <w:shd w:fill="auto" w:val="clear"/>
        </w:rPr>
        <w:t xml:space="preserve"> vanjske stolarije, te toplinski izolovano 420,0 m</w:t>
      </w:r>
      <w:r>
        <w:rPr>
          <w:rFonts w:ascii="Calibri" w:hAnsi="Calibri" w:cs="Calibri" w:eastAsia="Calibri"/>
          <w:color w:val="auto"/>
          <w:spacing w:val="0"/>
          <w:position w:val="0"/>
          <w:sz w:val="20"/>
          <w:shd w:fill="auto" w:val="clear"/>
          <w:vertAlign w:val="superscript"/>
        </w:rPr>
        <w:t xml:space="preserve">2</w:t>
      </w:r>
      <w:r>
        <w:rPr>
          <w:rFonts w:ascii="Calibri" w:hAnsi="Calibri" w:cs="Calibri" w:eastAsia="Calibri"/>
          <w:color w:val="auto"/>
          <w:spacing w:val="0"/>
          <w:position w:val="0"/>
          <w:sz w:val="20"/>
          <w:shd w:fill="auto" w:val="clear"/>
        </w:rPr>
        <w:t xml:space="preserve"> vanjskih zidova i 288,0 m</w:t>
      </w:r>
      <w:r>
        <w:rPr>
          <w:rFonts w:ascii="Calibri" w:hAnsi="Calibri" w:cs="Calibri" w:eastAsia="Calibri"/>
          <w:color w:val="auto"/>
          <w:spacing w:val="0"/>
          <w:position w:val="0"/>
          <w:sz w:val="20"/>
          <w:shd w:fill="auto" w:val="clear"/>
          <w:vertAlign w:val="superscript"/>
        </w:rPr>
        <w:t xml:space="preserve">2</w:t>
      </w:r>
      <w:r>
        <w:rPr>
          <w:rFonts w:ascii="Calibri" w:hAnsi="Calibri" w:cs="Calibri" w:eastAsia="Calibri"/>
          <w:color w:val="auto"/>
          <w:spacing w:val="0"/>
          <w:position w:val="0"/>
          <w:sz w:val="20"/>
          <w:shd w:fill="auto" w:val="clear"/>
        </w:rPr>
        <w:t xml:space="preserve"> stropa, dok je u 5 zgrada u vlasništvu Općine, ukupne grijane površine 1707,69 m</w:t>
      </w:r>
      <w:r>
        <w:rPr>
          <w:rFonts w:ascii="Calibri" w:hAnsi="Calibri" w:cs="Calibri" w:eastAsia="Calibri"/>
          <w:color w:val="auto"/>
          <w:spacing w:val="0"/>
          <w:position w:val="0"/>
          <w:sz w:val="20"/>
          <w:shd w:fill="auto" w:val="clear"/>
          <w:vertAlign w:val="superscript"/>
        </w:rPr>
        <w:t xml:space="preserve">2</w:t>
      </w:r>
      <w:r>
        <w:rPr>
          <w:rFonts w:ascii="Calibri" w:hAnsi="Calibri" w:cs="Calibri" w:eastAsia="Calibri"/>
          <w:color w:val="auto"/>
          <w:spacing w:val="0"/>
          <w:position w:val="0"/>
          <w:sz w:val="20"/>
          <w:shd w:fill="auto" w:val="clear"/>
        </w:rPr>
        <w:t xml:space="preserve">, korištenje fosilnih goriva zamijenjeno okolišno prihvatljivijim energentima. U javnim zgradama koje nisu u vlasništvu Općine emisije CO</w:t>
      </w:r>
      <w:r>
        <w:rPr>
          <w:rFonts w:ascii="Calibri" w:hAnsi="Calibri" w:cs="Calibri" w:eastAsia="Calibri"/>
          <w:color w:val="auto"/>
          <w:spacing w:val="0"/>
          <w:position w:val="0"/>
          <w:sz w:val="20"/>
          <w:shd w:fill="auto" w:val="clear"/>
          <w:vertAlign w:val="subscript"/>
        </w:rPr>
        <w:t xml:space="preserve">2 </w:t>
      </w:r>
      <w:r>
        <w:rPr>
          <w:rFonts w:ascii="Calibri" w:hAnsi="Calibri" w:cs="Calibri" w:eastAsia="Calibri"/>
          <w:color w:val="auto"/>
          <w:spacing w:val="0"/>
          <w:position w:val="0"/>
          <w:sz w:val="20"/>
          <w:shd w:fill="auto" w:val="clear"/>
        </w:rPr>
        <w:t xml:space="preserve">su smanjene za 196,23 t</w:t>
      </w:r>
      <w:r>
        <w:rPr>
          <w:rFonts w:ascii="Calibri" w:hAnsi="Calibri" w:cs="Calibri" w:eastAsia="Calibri"/>
          <w:color w:val="auto"/>
          <w:spacing w:val="0"/>
          <w:position w:val="0"/>
          <w:sz w:val="20"/>
          <w:shd w:fill="auto" w:val="clear"/>
          <w:vertAlign w:val="subscript"/>
        </w:rPr>
        <w:t xml:space="preserve"> </w:t>
      </w:r>
      <w:r>
        <w:rPr>
          <w:rFonts w:ascii="Calibri" w:hAnsi="Calibri" w:cs="Calibri" w:eastAsia="Calibri"/>
          <w:color w:val="auto"/>
          <w:spacing w:val="0"/>
          <w:position w:val="0"/>
          <w:sz w:val="20"/>
          <w:shd w:fill="auto" w:val="clear"/>
        </w:rPr>
        <w:t xml:space="preserve">odnosno za 36,03 % u odnosu na 2010. godinu. U posmatranom periodu, na 3 javne zgrada ukupne grijane površine 897,0 m</w:t>
      </w:r>
      <w:r>
        <w:rPr>
          <w:rFonts w:ascii="Calibri" w:hAnsi="Calibri" w:cs="Calibri" w:eastAsia="Calibri"/>
          <w:color w:val="auto"/>
          <w:spacing w:val="0"/>
          <w:position w:val="0"/>
          <w:sz w:val="20"/>
          <w:shd w:fill="auto" w:val="clear"/>
          <w:vertAlign w:val="superscript"/>
        </w:rPr>
        <w:t xml:space="preserve">2</w:t>
      </w:r>
      <w:r>
        <w:rPr>
          <w:rFonts w:ascii="Calibri" w:hAnsi="Calibri" w:cs="Calibri" w:eastAsia="Calibri"/>
          <w:color w:val="auto"/>
          <w:spacing w:val="0"/>
          <w:position w:val="0"/>
          <w:sz w:val="20"/>
          <w:shd w:fill="auto" w:val="clear"/>
        </w:rPr>
        <w:t xml:space="preserve"> centralni sistemi grijanja na  ugalj i drvo zamijenjeni su centralnim sistemima grijanja na pelet, dok su na 7 javnih zgrada provedene mjere energetske efikasnosti na ovojnicama zgrada, u okviru kojih je zamijenjeno 1035,0 m</w:t>
      </w:r>
      <w:r>
        <w:rPr>
          <w:rFonts w:ascii="Calibri" w:hAnsi="Calibri" w:cs="Calibri" w:eastAsia="Calibri"/>
          <w:color w:val="auto"/>
          <w:spacing w:val="0"/>
          <w:position w:val="0"/>
          <w:sz w:val="20"/>
          <w:shd w:fill="auto" w:val="clear"/>
          <w:vertAlign w:val="superscript"/>
        </w:rPr>
        <w:t xml:space="preserve">2</w:t>
      </w:r>
      <w:r>
        <w:rPr>
          <w:rFonts w:ascii="Calibri" w:hAnsi="Calibri" w:cs="Calibri" w:eastAsia="Calibri"/>
          <w:color w:val="auto"/>
          <w:spacing w:val="0"/>
          <w:position w:val="0"/>
          <w:sz w:val="20"/>
          <w:shd w:fill="auto" w:val="clear"/>
        </w:rPr>
        <w:t xml:space="preserve"> vanjske stolarije te toplinski izolovano 5860,0 m</w:t>
      </w:r>
      <w:r>
        <w:rPr>
          <w:rFonts w:ascii="Calibri" w:hAnsi="Calibri" w:cs="Calibri" w:eastAsia="Calibri"/>
          <w:color w:val="auto"/>
          <w:spacing w:val="0"/>
          <w:position w:val="0"/>
          <w:sz w:val="20"/>
          <w:shd w:fill="auto" w:val="clear"/>
          <w:vertAlign w:val="superscript"/>
        </w:rPr>
        <w:t xml:space="preserve">2</w:t>
      </w:r>
      <w:r>
        <w:rPr>
          <w:rFonts w:ascii="Calibri" w:hAnsi="Calibri" w:cs="Calibri" w:eastAsia="Calibri"/>
          <w:color w:val="auto"/>
          <w:spacing w:val="0"/>
          <w:position w:val="0"/>
          <w:sz w:val="20"/>
          <w:shd w:fill="auto" w:val="clear"/>
        </w:rPr>
        <w:t xml:space="preserve"> vanjskih zidova i 250,0 m</w:t>
      </w:r>
      <w:r>
        <w:rPr>
          <w:rFonts w:ascii="Calibri" w:hAnsi="Calibri" w:cs="Calibri" w:eastAsia="Calibri"/>
          <w:color w:val="auto"/>
          <w:spacing w:val="0"/>
          <w:position w:val="0"/>
          <w:sz w:val="20"/>
          <w:shd w:fill="auto" w:val="clear"/>
          <w:vertAlign w:val="superscript"/>
        </w:rPr>
        <w:t xml:space="preserve">2</w:t>
      </w:r>
      <w:r>
        <w:rPr>
          <w:rFonts w:ascii="Calibri" w:hAnsi="Calibri" w:cs="Calibri" w:eastAsia="Calibri"/>
          <w:color w:val="auto"/>
          <w:spacing w:val="0"/>
          <w:position w:val="0"/>
          <w:sz w:val="20"/>
          <w:shd w:fill="auto" w:val="clear"/>
        </w:rPr>
        <w:t xml:space="preserve"> stropova.</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U sektoru saobra</w:t>
      </w:r>
      <w:r>
        <w:rPr>
          <w:rFonts w:ascii="Calibri" w:hAnsi="Calibri" w:cs="Calibri" w:eastAsia="Calibri"/>
          <w:color w:val="auto"/>
          <w:spacing w:val="0"/>
          <w:position w:val="0"/>
          <w:sz w:val="20"/>
          <w:shd w:fill="auto" w:val="clear"/>
        </w:rPr>
        <w:t xml:space="preserve">ćaja, emisije CO</w:t>
      </w:r>
      <w:r>
        <w:rPr>
          <w:rFonts w:ascii="Calibri" w:hAnsi="Calibri" w:cs="Calibri" w:eastAsia="Calibri"/>
          <w:color w:val="auto"/>
          <w:spacing w:val="0"/>
          <w:position w:val="0"/>
          <w:sz w:val="20"/>
          <w:shd w:fill="auto" w:val="clear"/>
          <w:vertAlign w:val="subscript"/>
        </w:rPr>
        <w:t xml:space="preserve">2 </w:t>
      </w:r>
      <w:r>
        <w:rPr>
          <w:rFonts w:ascii="Calibri" w:hAnsi="Calibri" w:cs="Calibri" w:eastAsia="Calibri"/>
          <w:color w:val="auto"/>
          <w:spacing w:val="0"/>
          <w:position w:val="0"/>
          <w:sz w:val="20"/>
          <w:shd w:fill="auto" w:val="clear"/>
        </w:rPr>
        <w:t xml:space="preserve">iz podsektora osobnih i komercijalnih vozila smanjene su za 1.191,68 t</w:t>
      </w:r>
      <w:r>
        <w:rPr>
          <w:rFonts w:ascii="Calibri" w:hAnsi="Calibri" w:cs="Calibri" w:eastAsia="Calibri"/>
          <w:color w:val="auto"/>
          <w:spacing w:val="0"/>
          <w:position w:val="0"/>
          <w:sz w:val="20"/>
          <w:shd w:fill="auto" w:val="clear"/>
          <w:vertAlign w:val="subscript"/>
        </w:rPr>
        <w:t xml:space="preserve"> </w:t>
      </w:r>
      <w:r>
        <w:rPr>
          <w:rFonts w:ascii="Calibri" w:hAnsi="Calibri" w:cs="Calibri" w:eastAsia="Calibri"/>
          <w:color w:val="auto"/>
          <w:spacing w:val="0"/>
          <w:position w:val="0"/>
          <w:sz w:val="20"/>
          <w:shd w:fill="auto" w:val="clear"/>
        </w:rPr>
        <w:t xml:space="preserve">odnosno 14,29%, što je rezultat upotrebe većeg broja novih i okolišno prihvatlljivih automobila. Zbog nabavke efikasnijih i okolišno prihvatljivih vozila, smanjile su se i emisije CO</w:t>
      </w:r>
      <w:r>
        <w:rPr>
          <w:rFonts w:ascii="Calibri" w:hAnsi="Calibri" w:cs="Calibri" w:eastAsia="Calibri"/>
          <w:color w:val="auto"/>
          <w:spacing w:val="0"/>
          <w:position w:val="0"/>
          <w:sz w:val="20"/>
          <w:shd w:fill="auto" w:val="clear"/>
          <w:vertAlign w:val="subscript"/>
        </w:rPr>
        <w:t xml:space="preserve">2 </w:t>
      </w:r>
      <w:r>
        <w:rPr>
          <w:rFonts w:ascii="Calibri" w:hAnsi="Calibri" w:cs="Calibri" w:eastAsia="Calibri"/>
          <w:color w:val="auto"/>
          <w:spacing w:val="0"/>
          <w:position w:val="0"/>
          <w:sz w:val="20"/>
          <w:shd w:fill="auto" w:val="clear"/>
        </w:rPr>
        <w:t xml:space="preserve">iz podsektora vozila u nadležnosti Općine, i to za 13,24 t ili za 20,05%. U javnom gradskom prijevozu, emisije CO</w:t>
      </w:r>
      <w:r>
        <w:rPr>
          <w:rFonts w:ascii="Calibri" w:hAnsi="Calibri" w:cs="Calibri" w:eastAsia="Calibri"/>
          <w:color w:val="auto"/>
          <w:spacing w:val="0"/>
          <w:position w:val="0"/>
          <w:sz w:val="20"/>
          <w:shd w:fill="auto" w:val="clear"/>
          <w:vertAlign w:val="subscript"/>
        </w:rPr>
        <w:t xml:space="preserve">2 </w:t>
      </w:r>
      <w:r>
        <w:rPr>
          <w:rFonts w:ascii="Calibri" w:hAnsi="Calibri" w:cs="Calibri" w:eastAsia="Calibri"/>
          <w:color w:val="auto"/>
          <w:spacing w:val="0"/>
          <w:position w:val="0"/>
          <w:sz w:val="20"/>
          <w:shd w:fill="auto" w:val="clear"/>
        </w:rPr>
        <w:t xml:space="preserve">su se povećale za 2,04%, odnosno 10,54 t. </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Zbog širenja mreže javne rasvjete, emisije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iz ovog sektora su ve</w:t>
      </w:r>
      <w:r>
        <w:rPr>
          <w:rFonts w:ascii="Calibri" w:hAnsi="Calibri" w:cs="Calibri" w:eastAsia="Calibri"/>
          <w:color w:val="auto"/>
          <w:spacing w:val="0"/>
          <w:position w:val="0"/>
          <w:sz w:val="20"/>
          <w:shd w:fill="auto" w:val="clear"/>
        </w:rPr>
        <w:t xml:space="preserve">če za 60,65 t ili 14,52% u odnosu na 2010. godinu. U sektoru vodosnabdijevanje emisije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u 2020. godini veće su za </w:t>
      </w:r>
      <w:r>
        <w:rPr>
          <w:rFonts w:ascii="Calibri" w:hAnsi="Calibri" w:cs="Calibri" w:eastAsia="Calibri"/>
          <w:color w:val="000000"/>
          <w:spacing w:val="0"/>
          <w:position w:val="0"/>
          <w:sz w:val="20"/>
          <w:shd w:fill="auto" w:val="clear"/>
        </w:rPr>
        <w:t xml:space="preserve">147,40 t </w:t>
      </w:r>
      <w:r>
        <w:rPr>
          <w:rFonts w:ascii="Calibri" w:hAnsi="Calibri" w:cs="Calibri" w:eastAsia="Calibri"/>
          <w:color w:val="auto"/>
          <w:spacing w:val="0"/>
          <w:position w:val="0"/>
          <w:sz w:val="20"/>
          <w:shd w:fill="auto" w:val="clear"/>
        </w:rPr>
        <w:t xml:space="preserve">ili 63,48% u odnosu na 2010. godinu.</w:t>
      </w:r>
    </w:p>
    <w:p>
      <w:pPr>
        <w:spacing w:before="60" w:after="12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Pore</w:t>
      </w:r>
      <w:r>
        <w:rPr>
          <w:rFonts w:ascii="Calibri" w:hAnsi="Calibri" w:cs="Calibri" w:eastAsia="Calibri"/>
          <w:color w:val="auto"/>
          <w:spacing w:val="0"/>
          <w:position w:val="0"/>
          <w:sz w:val="20"/>
          <w:shd w:fill="auto" w:val="clear"/>
        </w:rPr>
        <w:t xml:space="preserve">đenje apsolutnih vrijednosti emisija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u razmatranim sektorima u ukupnom baznom i kontrolnom inventaru prikazano je na narednom dijagramu.</w:t>
      </w:r>
    </w:p>
    <w:p>
      <w:pPr>
        <w:spacing w:before="60" w:after="120" w:line="240"/>
        <w:ind w:right="0" w:left="0" w:firstLine="0"/>
        <w:jc w:val="both"/>
        <w:rPr>
          <w:rFonts w:ascii="Calibri" w:hAnsi="Calibri" w:cs="Calibri" w:eastAsia="Calibri"/>
          <w:color w:val="auto"/>
          <w:spacing w:val="0"/>
          <w:position w:val="0"/>
          <w:sz w:val="20"/>
          <w:shd w:fill="auto" w:val="clear"/>
        </w:rPr>
      </w:pPr>
    </w:p>
    <w:p>
      <w:pPr>
        <w:spacing w:before="60" w:after="120" w:line="240"/>
        <w:ind w:right="0" w:left="0" w:firstLine="0"/>
        <w:jc w:val="center"/>
        <w:rPr>
          <w:rFonts w:ascii="Calibri" w:hAnsi="Calibri" w:cs="Calibri" w:eastAsia="Calibri"/>
          <w:i/>
          <w:color w:val="auto"/>
          <w:spacing w:val="0"/>
          <w:position w:val="0"/>
          <w:sz w:val="18"/>
          <w:shd w:fill="auto" w:val="clear"/>
        </w:rPr>
      </w:pPr>
      <w:r>
        <w:rPr>
          <w:rFonts w:ascii="Calibri" w:hAnsi="Calibri" w:cs="Calibri" w:eastAsia="Calibri"/>
          <w:i/>
          <w:color w:val="auto"/>
          <w:spacing w:val="0"/>
          <w:position w:val="0"/>
          <w:sz w:val="18"/>
          <w:shd w:fill="auto" w:val="clear"/>
        </w:rPr>
        <w:t xml:space="preserve">Dijagram 536: Grafi</w:t>
      </w:r>
      <w:r>
        <w:rPr>
          <w:rFonts w:ascii="Calibri" w:hAnsi="Calibri" w:cs="Calibri" w:eastAsia="Calibri"/>
          <w:i/>
          <w:color w:val="auto"/>
          <w:spacing w:val="0"/>
          <w:position w:val="0"/>
          <w:sz w:val="18"/>
          <w:shd w:fill="auto" w:val="clear"/>
        </w:rPr>
        <w:t xml:space="preserve">čki prikaz promjena emisija CO</w:t>
      </w:r>
      <w:r>
        <w:rPr>
          <w:rFonts w:ascii="Calibri" w:hAnsi="Calibri" w:cs="Calibri" w:eastAsia="Calibri"/>
          <w:i/>
          <w:color w:val="auto"/>
          <w:spacing w:val="0"/>
          <w:position w:val="0"/>
          <w:sz w:val="18"/>
          <w:shd w:fill="auto" w:val="clear"/>
          <w:vertAlign w:val="subscript"/>
        </w:rPr>
        <w:t xml:space="preserve">2</w:t>
      </w:r>
      <w:r>
        <w:rPr>
          <w:rFonts w:ascii="Calibri" w:hAnsi="Calibri" w:cs="Calibri" w:eastAsia="Calibri"/>
          <w:i/>
          <w:color w:val="auto"/>
          <w:spacing w:val="0"/>
          <w:position w:val="0"/>
          <w:sz w:val="18"/>
          <w:shd w:fill="auto" w:val="clear"/>
        </w:rPr>
        <w:t xml:space="preserve"> iz razmatranih sektora u baznoj i kontrolnoj godini</w:t>
      </w:r>
    </w:p>
    <w:p>
      <w:pPr>
        <w:spacing w:before="60" w:after="160" w:line="240"/>
        <w:ind w:right="0" w:left="0" w:firstLine="0"/>
        <w:jc w:val="center"/>
        <w:rPr>
          <w:rFonts w:ascii="Calibri" w:hAnsi="Calibri" w:cs="Calibri" w:eastAsia="Calibri"/>
          <w:color w:val="auto"/>
          <w:spacing w:val="0"/>
          <w:position w:val="0"/>
          <w:sz w:val="18"/>
          <w:shd w:fill="FFFF00" w:val="clear"/>
        </w:rPr>
      </w:pPr>
    </w:p>
    <w:p>
      <w:pPr>
        <w:keepNext w:val="true"/>
        <w:keepLines w:val="true"/>
        <w:numPr>
          <w:ilvl w:val="0"/>
          <w:numId w:val="2175"/>
        </w:numPr>
        <w:spacing w:before="240" w:after="0" w:line="240"/>
        <w:ind w:right="0" w:left="720" w:hanging="72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Promjene u</w:t>
      </w:r>
      <w:r>
        <w:rPr>
          <w:rFonts w:ascii="Calibri" w:hAnsi="Calibri" w:cs="Calibri" w:eastAsia="Calibri"/>
          <w:b/>
          <w:color w:val="auto"/>
          <w:spacing w:val="0"/>
          <w:position w:val="0"/>
          <w:sz w:val="24"/>
          <w:shd w:fill="auto" w:val="clear"/>
        </w:rPr>
        <w:t xml:space="preserve">češća energenata u ukupnoj potrošnji finalne energije u periodu 2010.–2020. </w:t>
      </w:r>
    </w:p>
    <w:p>
      <w:pPr>
        <w:spacing w:before="60" w:after="12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U periodu od 2010. do 2020. godine došlo je do zna</w:t>
      </w:r>
      <w:r>
        <w:rPr>
          <w:rFonts w:ascii="Calibri" w:hAnsi="Calibri" w:cs="Calibri" w:eastAsia="Calibri"/>
          <w:color w:val="auto"/>
          <w:spacing w:val="0"/>
          <w:position w:val="0"/>
          <w:sz w:val="20"/>
          <w:shd w:fill="auto" w:val="clear"/>
        </w:rPr>
        <w:t xml:space="preserve">čajnijih promjena učešća pojedinih energenata u ukupnoj potrošnji finalne energije na području općine Doboj Istok. Prikaz promjena u potrošnji razmatranih energenata u periodu od bazne do kontrolne godine dat je u narednoj tabeli. </w:t>
      </w:r>
    </w:p>
    <w:tbl>
      <w:tblPr/>
      <w:tblGrid>
        <w:gridCol w:w="2332"/>
        <w:gridCol w:w="1193"/>
        <w:gridCol w:w="1141"/>
        <w:gridCol w:w="997"/>
        <w:gridCol w:w="1197"/>
        <w:gridCol w:w="950"/>
        <w:gridCol w:w="1810"/>
      </w:tblGrid>
      <w:tr>
        <w:trPr>
          <w:trHeight w:val="675" w:hRule="auto"/>
          <w:jc w:val="left"/>
        </w:trPr>
        <w:tc>
          <w:tcPr>
            <w:tcW w:w="2332" w:type="dxa"/>
            <w:vMerge w:val="restart"/>
            <w:tcBorders>
              <w:top w:val="single" w:color="000000" w:sz="4"/>
              <w:left w:val="single" w:color="000000" w:sz="4"/>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ENERGENTI</w:t>
            </w:r>
          </w:p>
        </w:tc>
        <w:tc>
          <w:tcPr>
            <w:tcW w:w="2334" w:type="dxa"/>
            <w:gridSpan w:val="2"/>
            <w:tcBorders>
              <w:top w:val="single" w:color="000000" w:sz="4"/>
              <w:left w:val="single" w:color="000000" w:sz="0"/>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center"/>
              <w:rPr>
                <w:rFonts w:ascii="Calibri" w:hAnsi="Calibri" w:cs="Calibri" w:eastAsia="Calibri"/>
                <w:color w:val="000000"/>
                <w:spacing w:val="0"/>
                <w:position w:val="0"/>
                <w:sz w:val="18"/>
                <w:shd w:fill="auto" w:val="clear"/>
              </w:rPr>
            </w:pPr>
            <w:r>
              <w:rPr>
                <w:rFonts w:ascii="Calibri" w:hAnsi="Calibri" w:cs="Calibri" w:eastAsia="Calibri"/>
                <w:color w:val="000000"/>
                <w:spacing w:val="0"/>
                <w:position w:val="0"/>
                <w:sz w:val="18"/>
                <w:shd w:fill="auto" w:val="clear"/>
              </w:rPr>
              <w:t xml:space="preserve">REFERENTNI INVENTAR</w:t>
            </w:r>
          </w:p>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u 2010. godini</w:t>
            </w:r>
          </w:p>
        </w:tc>
        <w:tc>
          <w:tcPr>
            <w:tcW w:w="2194" w:type="dxa"/>
            <w:gridSpan w:val="2"/>
            <w:tcBorders>
              <w:top w:val="single" w:color="000000" w:sz="4"/>
              <w:left w:val="single" w:color="000000" w:sz="0"/>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center"/>
              <w:rPr>
                <w:rFonts w:ascii="Calibri" w:hAnsi="Calibri" w:cs="Calibri" w:eastAsia="Calibri"/>
                <w:color w:val="000000"/>
                <w:spacing w:val="0"/>
                <w:position w:val="0"/>
                <w:sz w:val="18"/>
                <w:shd w:fill="auto" w:val="clear"/>
              </w:rPr>
            </w:pPr>
            <w:r>
              <w:rPr>
                <w:rFonts w:ascii="Calibri" w:hAnsi="Calibri" w:cs="Calibri" w:eastAsia="Calibri"/>
                <w:color w:val="000000"/>
                <w:spacing w:val="0"/>
                <w:position w:val="0"/>
                <w:sz w:val="18"/>
                <w:shd w:fill="auto" w:val="clear"/>
              </w:rPr>
              <w:t xml:space="preserve">KONTROLNI INVENTAR </w:t>
            </w:r>
          </w:p>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u 2020. godini</w:t>
            </w:r>
          </w:p>
        </w:tc>
        <w:tc>
          <w:tcPr>
            <w:tcW w:w="2760" w:type="dxa"/>
            <w:gridSpan w:val="2"/>
            <w:tcBorders>
              <w:top w:val="single" w:color="000000" w:sz="4"/>
              <w:left w:val="single" w:color="000000" w:sz="0"/>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OSTVARENO SMANJENJE/POVE</w:t>
            </w:r>
            <w:r>
              <w:rPr>
                <w:rFonts w:ascii="Calibri" w:hAnsi="Calibri" w:cs="Calibri" w:eastAsia="Calibri"/>
                <w:color w:val="000000"/>
                <w:spacing w:val="0"/>
                <w:position w:val="0"/>
                <w:sz w:val="18"/>
                <w:shd w:fill="auto" w:val="clear"/>
              </w:rPr>
              <w:t xml:space="preserve">ĆANJE ENERGIJE</w:t>
            </w:r>
          </w:p>
        </w:tc>
      </w:tr>
      <w:tr>
        <w:trPr>
          <w:trHeight w:val="480" w:hRule="auto"/>
          <w:jc w:val="left"/>
        </w:trPr>
        <w:tc>
          <w:tcPr>
            <w:tcW w:w="2332"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193"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Finalna energija [MWh]</w:t>
            </w:r>
          </w:p>
        </w:tc>
        <w:tc>
          <w:tcPr>
            <w:tcW w:w="1141"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Udio pojedinih sektora [%]</w:t>
            </w:r>
          </w:p>
        </w:tc>
        <w:tc>
          <w:tcPr>
            <w:tcW w:w="997"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Finalna energija [MWh]</w:t>
            </w:r>
          </w:p>
        </w:tc>
        <w:tc>
          <w:tcPr>
            <w:tcW w:w="1197"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Udio pojedinih sektora [%]</w:t>
            </w:r>
          </w:p>
        </w:tc>
        <w:tc>
          <w:tcPr>
            <w:tcW w:w="950"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Finalna energija [MWh]</w:t>
            </w:r>
          </w:p>
        </w:tc>
        <w:tc>
          <w:tcPr>
            <w:tcW w:w="1810"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Udio razmatranih energenata [%]</w:t>
            </w:r>
          </w:p>
        </w:tc>
      </w:tr>
      <w:tr>
        <w:trPr>
          <w:trHeight w:val="300" w:hRule="auto"/>
          <w:jc w:val="left"/>
        </w:trPr>
        <w:tc>
          <w:tcPr>
            <w:tcW w:w="2332" w:type="dxa"/>
            <w:tcBorders>
              <w:top w:val="single" w:color="000000" w:sz="0"/>
              <w:left w:val="single" w:color="000000" w:sz="4"/>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Elektri</w:t>
            </w:r>
            <w:r>
              <w:rPr>
                <w:rFonts w:ascii="Calibri" w:hAnsi="Calibri" w:cs="Calibri" w:eastAsia="Calibri"/>
                <w:color w:val="000000"/>
                <w:spacing w:val="0"/>
                <w:position w:val="0"/>
                <w:sz w:val="18"/>
                <w:shd w:fill="auto" w:val="clear"/>
              </w:rPr>
              <w:t xml:space="preserve">čna energija</w:t>
            </w:r>
          </w:p>
        </w:tc>
        <w:tc>
          <w:tcPr>
            <w:tcW w:w="119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1.268,45</w:t>
            </w:r>
          </w:p>
        </w:tc>
        <w:tc>
          <w:tcPr>
            <w:tcW w:w="114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1,36</w:t>
            </w:r>
          </w:p>
        </w:tc>
        <w:tc>
          <w:tcPr>
            <w:tcW w:w="99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2.136,72</w:t>
            </w:r>
          </w:p>
        </w:tc>
        <w:tc>
          <w:tcPr>
            <w:tcW w:w="119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2,68</w:t>
            </w:r>
          </w:p>
        </w:tc>
        <w:tc>
          <w:tcPr>
            <w:tcW w:w="95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-868,27</w:t>
            </w:r>
          </w:p>
        </w:tc>
        <w:tc>
          <w:tcPr>
            <w:tcW w:w="181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68,45</w:t>
            </w:r>
          </w:p>
        </w:tc>
      </w:tr>
      <w:tr>
        <w:trPr>
          <w:trHeight w:val="300" w:hRule="auto"/>
          <w:jc w:val="left"/>
        </w:trPr>
        <w:tc>
          <w:tcPr>
            <w:tcW w:w="2332" w:type="dxa"/>
            <w:tcBorders>
              <w:top w:val="single" w:color="000000" w:sz="0"/>
              <w:left w:val="single" w:color="000000" w:sz="4"/>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Prirodni plin</w:t>
            </w:r>
          </w:p>
        </w:tc>
        <w:tc>
          <w:tcPr>
            <w:tcW w:w="119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145,82</w:t>
            </w:r>
          </w:p>
        </w:tc>
        <w:tc>
          <w:tcPr>
            <w:tcW w:w="114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0,16</w:t>
            </w:r>
          </w:p>
        </w:tc>
        <w:tc>
          <w:tcPr>
            <w:tcW w:w="99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145,82</w:t>
            </w:r>
          </w:p>
        </w:tc>
        <w:tc>
          <w:tcPr>
            <w:tcW w:w="119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0,18</w:t>
            </w:r>
          </w:p>
        </w:tc>
        <w:tc>
          <w:tcPr>
            <w:tcW w:w="95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81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r>
      <w:tr>
        <w:trPr>
          <w:trHeight w:val="300" w:hRule="auto"/>
          <w:jc w:val="left"/>
        </w:trPr>
        <w:tc>
          <w:tcPr>
            <w:tcW w:w="2332" w:type="dxa"/>
            <w:tcBorders>
              <w:top w:val="single" w:color="000000" w:sz="0"/>
              <w:left w:val="single" w:color="000000" w:sz="4"/>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Lož ulje</w:t>
            </w:r>
          </w:p>
        </w:tc>
        <w:tc>
          <w:tcPr>
            <w:tcW w:w="119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198,74</w:t>
            </w:r>
          </w:p>
        </w:tc>
        <w:tc>
          <w:tcPr>
            <w:tcW w:w="114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0,21</w:t>
            </w:r>
          </w:p>
        </w:tc>
        <w:tc>
          <w:tcPr>
            <w:tcW w:w="99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198,74</w:t>
            </w:r>
          </w:p>
        </w:tc>
        <w:tc>
          <w:tcPr>
            <w:tcW w:w="119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0,25</w:t>
            </w:r>
          </w:p>
        </w:tc>
        <w:tc>
          <w:tcPr>
            <w:tcW w:w="95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81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r>
      <w:tr>
        <w:trPr>
          <w:trHeight w:val="300" w:hRule="auto"/>
          <w:jc w:val="left"/>
        </w:trPr>
        <w:tc>
          <w:tcPr>
            <w:tcW w:w="2332" w:type="dxa"/>
            <w:tcBorders>
              <w:top w:val="single" w:color="000000" w:sz="0"/>
              <w:left w:val="single" w:color="000000" w:sz="4"/>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Dizel</w:t>
            </w:r>
          </w:p>
        </w:tc>
        <w:tc>
          <w:tcPr>
            <w:tcW w:w="119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23.059,91</w:t>
            </w:r>
          </w:p>
        </w:tc>
        <w:tc>
          <w:tcPr>
            <w:tcW w:w="114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24,80</w:t>
            </w:r>
          </w:p>
        </w:tc>
        <w:tc>
          <w:tcPr>
            <w:tcW w:w="99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24.225,56</w:t>
            </w:r>
          </w:p>
        </w:tc>
        <w:tc>
          <w:tcPr>
            <w:tcW w:w="119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30,41</w:t>
            </w:r>
          </w:p>
        </w:tc>
        <w:tc>
          <w:tcPr>
            <w:tcW w:w="95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-1.165,65</w:t>
            </w:r>
          </w:p>
        </w:tc>
        <w:tc>
          <w:tcPr>
            <w:tcW w:w="181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5,05</w:t>
            </w:r>
          </w:p>
        </w:tc>
      </w:tr>
      <w:tr>
        <w:trPr>
          <w:trHeight w:val="300" w:hRule="auto"/>
          <w:jc w:val="left"/>
        </w:trPr>
        <w:tc>
          <w:tcPr>
            <w:tcW w:w="2332" w:type="dxa"/>
            <w:tcBorders>
              <w:top w:val="single" w:color="000000" w:sz="0"/>
              <w:left w:val="single" w:color="000000" w:sz="4"/>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Motorni benzin</w:t>
            </w:r>
          </w:p>
        </w:tc>
        <w:tc>
          <w:tcPr>
            <w:tcW w:w="119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11.118,04</w:t>
            </w:r>
          </w:p>
        </w:tc>
        <w:tc>
          <w:tcPr>
            <w:tcW w:w="114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11,96</w:t>
            </w:r>
          </w:p>
        </w:tc>
        <w:tc>
          <w:tcPr>
            <w:tcW w:w="99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4.689,05</w:t>
            </w:r>
          </w:p>
        </w:tc>
        <w:tc>
          <w:tcPr>
            <w:tcW w:w="119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5,89</w:t>
            </w:r>
          </w:p>
        </w:tc>
        <w:tc>
          <w:tcPr>
            <w:tcW w:w="95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6.428,99</w:t>
            </w:r>
          </w:p>
        </w:tc>
        <w:tc>
          <w:tcPr>
            <w:tcW w:w="181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57,82</w:t>
            </w:r>
          </w:p>
        </w:tc>
      </w:tr>
      <w:tr>
        <w:trPr>
          <w:trHeight w:val="300" w:hRule="auto"/>
          <w:jc w:val="left"/>
        </w:trPr>
        <w:tc>
          <w:tcPr>
            <w:tcW w:w="2332" w:type="dxa"/>
            <w:tcBorders>
              <w:top w:val="single" w:color="000000" w:sz="0"/>
              <w:left w:val="single" w:color="000000" w:sz="4"/>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Lignit</w:t>
            </w:r>
          </w:p>
        </w:tc>
        <w:tc>
          <w:tcPr>
            <w:tcW w:w="119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26.631,32</w:t>
            </w:r>
          </w:p>
        </w:tc>
        <w:tc>
          <w:tcPr>
            <w:tcW w:w="114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28,64</w:t>
            </w:r>
          </w:p>
        </w:tc>
        <w:tc>
          <w:tcPr>
            <w:tcW w:w="99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20.276,70</w:t>
            </w:r>
          </w:p>
        </w:tc>
        <w:tc>
          <w:tcPr>
            <w:tcW w:w="119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25,45</w:t>
            </w:r>
          </w:p>
        </w:tc>
        <w:tc>
          <w:tcPr>
            <w:tcW w:w="95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6.354,62</w:t>
            </w:r>
          </w:p>
        </w:tc>
        <w:tc>
          <w:tcPr>
            <w:tcW w:w="181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23,86</w:t>
            </w:r>
          </w:p>
        </w:tc>
      </w:tr>
      <w:tr>
        <w:trPr>
          <w:trHeight w:val="300" w:hRule="auto"/>
          <w:jc w:val="left"/>
        </w:trPr>
        <w:tc>
          <w:tcPr>
            <w:tcW w:w="2332" w:type="dxa"/>
            <w:tcBorders>
              <w:top w:val="single" w:color="000000" w:sz="0"/>
              <w:left w:val="single" w:color="000000" w:sz="4"/>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Mrki ugalj</w:t>
            </w:r>
          </w:p>
        </w:tc>
        <w:tc>
          <w:tcPr>
            <w:tcW w:w="119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26.631,32</w:t>
            </w:r>
          </w:p>
        </w:tc>
        <w:tc>
          <w:tcPr>
            <w:tcW w:w="114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28,64</w:t>
            </w:r>
          </w:p>
        </w:tc>
        <w:tc>
          <w:tcPr>
            <w:tcW w:w="99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20.276,70</w:t>
            </w:r>
          </w:p>
        </w:tc>
        <w:tc>
          <w:tcPr>
            <w:tcW w:w="119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25,45</w:t>
            </w:r>
          </w:p>
        </w:tc>
        <w:tc>
          <w:tcPr>
            <w:tcW w:w="95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6.354,62</w:t>
            </w:r>
          </w:p>
        </w:tc>
        <w:tc>
          <w:tcPr>
            <w:tcW w:w="181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23,86</w:t>
            </w:r>
          </w:p>
        </w:tc>
      </w:tr>
      <w:tr>
        <w:trPr>
          <w:trHeight w:val="300" w:hRule="auto"/>
          <w:jc w:val="left"/>
        </w:trPr>
        <w:tc>
          <w:tcPr>
            <w:tcW w:w="2332" w:type="dxa"/>
            <w:tcBorders>
              <w:top w:val="single" w:color="000000" w:sz="0"/>
              <w:left w:val="single" w:color="000000" w:sz="4"/>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Biomasa</w:t>
            </w:r>
          </w:p>
        </w:tc>
        <w:tc>
          <w:tcPr>
            <w:tcW w:w="119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3.934,61</w:t>
            </w:r>
          </w:p>
        </w:tc>
        <w:tc>
          <w:tcPr>
            <w:tcW w:w="114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4,23</w:t>
            </w:r>
          </w:p>
        </w:tc>
        <w:tc>
          <w:tcPr>
            <w:tcW w:w="99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7.304,59</w:t>
            </w:r>
          </w:p>
        </w:tc>
        <w:tc>
          <w:tcPr>
            <w:tcW w:w="119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9,17</w:t>
            </w:r>
          </w:p>
        </w:tc>
        <w:tc>
          <w:tcPr>
            <w:tcW w:w="95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-3.369,98</w:t>
            </w:r>
          </w:p>
        </w:tc>
        <w:tc>
          <w:tcPr>
            <w:tcW w:w="181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85,65</w:t>
            </w:r>
          </w:p>
        </w:tc>
      </w:tr>
      <w:tr>
        <w:trPr>
          <w:trHeight w:val="300" w:hRule="auto"/>
          <w:jc w:val="left"/>
        </w:trPr>
        <w:tc>
          <w:tcPr>
            <w:tcW w:w="2332" w:type="dxa"/>
            <w:tcBorders>
              <w:top w:val="single" w:color="000000" w:sz="0"/>
              <w:left w:val="single" w:color="000000" w:sz="4"/>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Ukapljeni naftni plin</w:t>
            </w:r>
          </w:p>
        </w:tc>
        <w:tc>
          <w:tcPr>
            <w:tcW w:w="119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4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0,00</w:t>
            </w:r>
          </w:p>
        </w:tc>
        <w:tc>
          <w:tcPr>
            <w:tcW w:w="99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419,45</w:t>
            </w:r>
          </w:p>
        </w:tc>
        <w:tc>
          <w:tcPr>
            <w:tcW w:w="119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0,53</w:t>
            </w:r>
          </w:p>
        </w:tc>
        <w:tc>
          <w:tcPr>
            <w:tcW w:w="95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-419,45</w:t>
            </w:r>
          </w:p>
        </w:tc>
        <w:tc>
          <w:tcPr>
            <w:tcW w:w="181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r>
      <w:tr>
        <w:trPr>
          <w:trHeight w:val="300" w:hRule="auto"/>
          <w:jc w:val="left"/>
        </w:trPr>
        <w:tc>
          <w:tcPr>
            <w:tcW w:w="2332" w:type="dxa"/>
            <w:tcBorders>
              <w:top w:val="single" w:color="000000" w:sz="0"/>
              <w:left w:val="single" w:color="000000" w:sz="4"/>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UKUPNO</w:t>
            </w:r>
          </w:p>
        </w:tc>
        <w:tc>
          <w:tcPr>
            <w:tcW w:w="1193" w:type="dxa"/>
            <w:tcBorders>
              <w:top w:val="single" w:color="000000" w:sz="0"/>
              <w:left w:val="single" w:color="000000" w:sz="0"/>
              <w:bottom w:val="single" w:color="000000" w:sz="4"/>
              <w:right w:val="single" w:color="000000" w:sz="4"/>
            </w:tcBorders>
            <w:shd w:color="000000" w:fill="d9e1f2"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92.988,22</w:t>
            </w:r>
          </w:p>
        </w:tc>
        <w:tc>
          <w:tcPr>
            <w:tcW w:w="1141" w:type="dxa"/>
            <w:tcBorders>
              <w:top w:val="single" w:color="000000" w:sz="0"/>
              <w:left w:val="single" w:color="000000" w:sz="0"/>
              <w:bottom w:val="single" w:color="000000" w:sz="4"/>
              <w:right w:val="single" w:color="000000" w:sz="4"/>
            </w:tcBorders>
            <w:shd w:color="000000" w:fill="d9e1f2"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100,00</w:t>
            </w:r>
          </w:p>
        </w:tc>
        <w:tc>
          <w:tcPr>
            <w:tcW w:w="997" w:type="dxa"/>
            <w:tcBorders>
              <w:top w:val="single" w:color="000000" w:sz="0"/>
              <w:left w:val="single" w:color="000000" w:sz="0"/>
              <w:bottom w:val="single" w:color="000000" w:sz="4"/>
              <w:right w:val="single" w:color="000000" w:sz="4"/>
            </w:tcBorders>
            <w:shd w:color="000000" w:fill="d9e1f2"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79.673,34</w:t>
            </w:r>
          </w:p>
        </w:tc>
        <w:tc>
          <w:tcPr>
            <w:tcW w:w="1197" w:type="dxa"/>
            <w:tcBorders>
              <w:top w:val="single" w:color="000000" w:sz="0"/>
              <w:left w:val="single" w:color="000000" w:sz="0"/>
              <w:bottom w:val="single" w:color="000000" w:sz="4"/>
              <w:right w:val="single" w:color="000000" w:sz="4"/>
            </w:tcBorders>
            <w:shd w:color="000000" w:fill="d9e1f2"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100,00</w:t>
            </w:r>
          </w:p>
        </w:tc>
        <w:tc>
          <w:tcPr>
            <w:tcW w:w="950" w:type="dxa"/>
            <w:tcBorders>
              <w:top w:val="single" w:color="000000" w:sz="0"/>
              <w:left w:val="single" w:color="000000" w:sz="0"/>
              <w:bottom w:val="single" w:color="000000" w:sz="4"/>
              <w:right w:val="single" w:color="000000" w:sz="4"/>
            </w:tcBorders>
            <w:shd w:color="000000" w:fill="d9e1f2"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13.314,88</w:t>
            </w:r>
          </w:p>
        </w:tc>
        <w:tc>
          <w:tcPr>
            <w:tcW w:w="1810" w:type="dxa"/>
            <w:tcBorders>
              <w:top w:val="single" w:color="000000" w:sz="0"/>
              <w:left w:val="single" w:color="000000" w:sz="0"/>
              <w:bottom w:val="single" w:color="000000" w:sz="4"/>
              <w:right w:val="single" w:color="000000" w:sz="4"/>
            </w:tcBorders>
            <w:shd w:color="000000" w:fill="d9e1f2"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14,32</w:t>
            </w:r>
          </w:p>
        </w:tc>
      </w:tr>
    </w:tbl>
    <w:p>
      <w:pPr>
        <w:spacing w:before="60" w:after="200" w:line="240"/>
        <w:ind w:right="0" w:left="0" w:firstLine="0"/>
        <w:jc w:val="center"/>
        <w:rPr>
          <w:rFonts w:ascii="Calibri" w:hAnsi="Calibri" w:cs="Calibri" w:eastAsia="Calibri"/>
          <w:color w:val="000000"/>
          <w:spacing w:val="0"/>
          <w:position w:val="0"/>
          <w:sz w:val="18"/>
          <w:shd w:fill="auto" w:val="clear"/>
        </w:rPr>
      </w:pPr>
      <w:r>
        <w:rPr>
          <w:rFonts w:ascii="Calibri" w:hAnsi="Calibri" w:cs="Calibri" w:eastAsia="Calibri"/>
          <w:color w:val="auto"/>
          <w:spacing w:val="0"/>
          <w:position w:val="0"/>
          <w:sz w:val="18"/>
          <w:shd w:fill="auto" w:val="clear"/>
        </w:rPr>
        <w:t xml:space="preserve">Tabela 550: Pore</w:t>
      </w:r>
      <w:r>
        <w:rPr>
          <w:rFonts w:ascii="Calibri" w:hAnsi="Calibri" w:cs="Calibri" w:eastAsia="Calibri"/>
          <w:color w:val="auto"/>
          <w:spacing w:val="0"/>
          <w:position w:val="0"/>
          <w:sz w:val="18"/>
          <w:shd w:fill="auto" w:val="clear"/>
        </w:rPr>
        <w:t xml:space="preserve">đenje ukupne potrošnje finalne energije i energije iz razmatranih energenata u baznoj i kontrolnoj godini</w:t>
      </w:r>
    </w:p>
    <w:p>
      <w:pPr>
        <w:spacing w:before="12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U posmatranom periodu je potrošnja lignita, koji se koristi samo u sektoru zgradarstva, smanjena za 6.354,62 MWh odnosno za 23,86% u odnosu na potrošnju ovog energenta u 2010. godini, a identi</w:t>
      </w:r>
      <w:r>
        <w:rPr>
          <w:rFonts w:ascii="Calibri" w:hAnsi="Calibri" w:cs="Calibri" w:eastAsia="Calibri"/>
          <w:color w:val="auto"/>
          <w:spacing w:val="0"/>
          <w:position w:val="0"/>
          <w:sz w:val="20"/>
          <w:shd w:fill="auto" w:val="clear"/>
        </w:rPr>
        <w:t xml:space="preserve">čna situacija je i u pogledu energije iz mrkog uglja. Ovo smanjenje rezultat je realizacije brojnih mjera energetske efikasnosti, i to:</w:t>
      </w:r>
    </w:p>
    <w:p>
      <w:pPr>
        <w:numPr>
          <w:ilvl w:val="0"/>
          <w:numId w:val="2218"/>
        </w:numPr>
        <w:spacing w:before="60" w:after="0" w:line="240"/>
        <w:ind w:right="0" w:left="720" w:hanging="36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Korištenje energetski efikasnijih sistema grijanja u stambenim jedinicama - Rezultati anketiranja doma</w:t>
      </w:r>
      <w:r>
        <w:rPr>
          <w:rFonts w:ascii="Calibri" w:hAnsi="Calibri" w:cs="Calibri" w:eastAsia="Calibri"/>
          <w:color w:val="auto"/>
          <w:spacing w:val="0"/>
          <w:position w:val="0"/>
          <w:sz w:val="20"/>
          <w:shd w:fill="auto" w:val="clear"/>
        </w:rPr>
        <w:t xml:space="preserve">ćinstava pokazali su da je 9,4% ispitanika individualne peći na ugalj i drvo zamijenilo sa centralnim sistemom uz korištenje istih energenata, što je ipak doprinijelo smanjenju njihove potrošnje. </w:t>
      </w:r>
    </w:p>
    <w:p>
      <w:pPr>
        <w:numPr>
          <w:ilvl w:val="0"/>
          <w:numId w:val="2218"/>
        </w:numPr>
        <w:spacing w:before="60" w:after="0" w:line="240"/>
        <w:ind w:right="0" w:left="720" w:hanging="36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Korištenje okolišno prihvatljivih energenata za grijanje zgrada - Rezultati anketiranja doma</w:t>
      </w:r>
      <w:r>
        <w:rPr>
          <w:rFonts w:ascii="Calibri" w:hAnsi="Calibri" w:cs="Calibri" w:eastAsia="Calibri"/>
          <w:color w:val="auto"/>
          <w:spacing w:val="0"/>
          <w:position w:val="0"/>
          <w:sz w:val="20"/>
          <w:shd w:fill="auto" w:val="clear"/>
        </w:rPr>
        <w:t xml:space="preserve">ćinstava pokazali su da je 13,25% ispitanika  promijenilo energente, te sada umjesto uglja koriste drvnu biomasu (ogrijevno drvo ili pelet). Ukupno 5 javnih zgrada ukupne grijane površine 1.707,69 m</w:t>
      </w:r>
      <w:r>
        <w:rPr>
          <w:rFonts w:ascii="Calibri" w:hAnsi="Calibri" w:cs="Calibri" w:eastAsia="Calibri"/>
          <w:color w:val="auto"/>
          <w:spacing w:val="0"/>
          <w:position w:val="0"/>
          <w:sz w:val="20"/>
          <w:shd w:fill="auto" w:val="clear"/>
          <w:vertAlign w:val="superscript"/>
        </w:rPr>
        <w:t xml:space="preserve">2</w:t>
      </w:r>
      <w:r>
        <w:rPr>
          <w:rFonts w:ascii="Calibri" w:hAnsi="Calibri" w:cs="Calibri" w:eastAsia="Calibri"/>
          <w:color w:val="auto"/>
          <w:spacing w:val="0"/>
          <w:position w:val="0"/>
          <w:sz w:val="20"/>
          <w:shd w:fill="auto" w:val="clear"/>
        </w:rPr>
        <w:t xml:space="preserve"> umjesto uglja za zagrijavanje koriste biomasu, dok su u istom periodu za grijanje 3 javne zgrade koje nisu u vlasništvu Općine, ukupne grijane površine 897 m</w:t>
      </w:r>
      <w:r>
        <w:rPr>
          <w:rFonts w:ascii="Calibri" w:hAnsi="Calibri" w:cs="Calibri" w:eastAsia="Calibri"/>
          <w:color w:val="auto"/>
          <w:spacing w:val="0"/>
          <w:position w:val="0"/>
          <w:sz w:val="20"/>
          <w:shd w:fill="auto" w:val="clear"/>
          <w:vertAlign w:val="superscript"/>
        </w:rPr>
        <w:t xml:space="preserve">2</w:t>
      </w:r>
      <w:r>
        <w:rPr>
          <w:rFonts w:ascii="Calibri" w:hAnsi="Calibri" w:cs="Calibri" w:eastAsia="Calibri"/>
          <w:color w:val="auto"/>
          <w:spacing w:val="0"/>
          <w:position w:val="0"/>
          <w:sz w:val="20"/>
          <w:shd w:fill="auto" w:val="clear"/>
        </w:rPr>
        <w:t xml:space="preserve"> fosilna goriva zamijenjena drvnom biomasom (pelet i ogrijevno drvo).</w:t>
      </w:r>
    </w:p>
    <w:p>
      <w:pPr>
        <w:numPr>
          <w:ilvl w:val="0"/>
          <w:numId w:val="2218"/>
        </w:numPr>
        <w:spacing w:before="60" w:after="0" w:line="240"/>
        <w:ind w:right="0" w:left="714" w:hanging="357"/>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Provo</w:t>
      </w:r>
      <w:r>
        <w:rPr>
          <w:rFonts w:ascii="Calibri" w:hAnsi="Calibri" w:cs="Calibri" w:eastAsia="Calibri"/>
          <w:color w:val="auto"/>
          <w:spacing w:val="0"/>
          <w:position w:val="0"/>
          <w:sz w:val="20"/>
          <w:shd w:fill="auto" w:val="clear"/>
        </w:rPr>
        <w:t xml:space="preserve">đenje mjera energetske efikasnosti na ovojnici zgrada - Prema rezultatima anketiranja domaćinstava, u periodu od 2010. do 2020. godine 74,36% ispitanika je realiziralo najmanje jednu mjeru energetske efikasnosti (zamjena vanjske stolarije, termoizolacija zidova i stropova). U istom periodu na javnim zgradama iz oba podsektora zamijenjeno je ukupno 1.323 m</w:t>
      </w:r>
      <w:r>
        <w:rPr>
          <w:rFonts w:ascii="Calibri" w:hAnsi="Calibri" w:cs="Calibri" w:eastAsia="Calibri"/>
          <w:color w:val="auto"/>
          <w:spacing w:val="0"/>
          <w:position w:val="0"/>
          <w:sz w:val="20"/>
          <w:shd w:fill="auto" w:val="clear"/>
          <w:vertAlign w:val="superscript"/>
        </w:rPr>
        <w:t xml:space="preserve">2</w:t>
      </w:r>
      <w:r>
        <w:rPr>
          <w:rFonts w:ascii="Calibri" w:hAnsi="Calibri" w:cs="Calibri" w:eastAsia="Calibri"/>
          <w:color w:val="auto"/>
          <w:spacing w:val="0"/>
          <w:position w:val="0"/>
          <w:sz w:val="20"/>
          <w:shd w:fill="auto" w:val="clear"/>
        </w:rPr>
        <w:t xml:space="preserve"> vanjske stolarije, postavljena je termoizolacija na ukupno 6.280 m</w:t>
      </w:r>
      <w:r>
        <w:rPr>
          <w:rFonts w:ascii="Calibri" w:hAnsi="Calibri" w:cs="Calibri" w:eastAsia="Calibri"/>
          <w:color w:val="auto"/>
          <w:spacing w:val="0"/>
          <w:position w:val="0"/>
          <w:sz w:val="20"/>
          <w:shd w:fill="auto" w:val="clear"/>
          <w:vertAlign w:val="superscript"/>
        </w:rPr>
        <w:t xml:space="preserve">2</w:t>
      </w:r>
      <w:r>
        <w:rPr>
          <w:rFonts w:ascii="Calibri" w:hAnsi="Calibri" w:cs="Calibri" w:eastAsia="Calibri"/>
          <w:color w:val="auto"/>
          <w:spacing w:val="0"/>
          <w:position w:val="0"/>
          <w:sz w:val="20"/>
          <w:shd w:fill="auto" w:val="clear"/>
        </w:rPr>
        <w:t xml:space="preserve"> vanjskih zidova i na 1687 m</w:t>
      </w:r>
      <w:r>
        <w:rPr>
          <w:rFonts w:ascii="Calibri" w:hAnsi="Calibri" w:cs="Calibri" w:eastAsia="Calibri"/>
          <w:color w:val="auto"/>
          <w:spacing w:val="0"/>
          <w:position w:val="0"/>
          <w:sz w:val="20"/>
          <w:shd w:fill="auto" w:val="clear"/>
          <w:vertAlign w:val="superscript"/>
        </w:rPr>
        <w:t xml:space="preserve">2</w:t>
      </w:r>
      <w:r>
        <w:rPr>
          <w:rFonts w:ascii="Calibri" w:hAnsi="Calibri" w:cs="Calibri" w:eastAsia="Calibri"/>
          <w:color w:val="auto"/>
          <w:spacing w:val="0"/>
          <w:position w:val="0"/>
          <w:sz w:val="20"/>
          <w:shd w:fill="auto" w:val="clear"/>
        </w:rPr>
        <w:t xml:space="preserve"> stropova.</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Potrošnja energije dobivene sagorijevanjem biomase je za 3369,98 MWh ili 85,65% ve</w:t>
      </w:r>
      <w:r>
        <w:rPr>
          <w:rFonts w:ascii="Calibri" w:hAnsi="Calibri" w:cs="Calibri" w:eastAsia="Calibri"/>
          <w:color w:val="auto"/>
          <w:spacing w:val="0"/>
          <w:position w:val="0"/>
          <w:sz w:val="20"/>
          <w:shd w:fill="auto" w:val="clear"/>
        </w:rPr>
        <w:t xml:space="preserve">ća u odnosu na 2010. godinu, dok je potrošnja električne energije porasla za 68,45% odnosno za 868,27 MWh u odnosu na 2010. godinu.U 2020. godini na području općine Doboj Istok nije bilo promjena u  zastupljenosti energije iz lož ulja i prirodnog plina u odnosu na baznu godinu. Obnova saobraćajnica i napredak tehnologije vozila uzrokovali su smanjenu potrošnju energije u sektoru saobraćaja. Zahvaljujući napretku tehnologije vozila koja kao pogonsko gorivo koriste dizel u periodu između bazne i kontrolne godine povećava se udio vozila koja koriste ovo pogonsko gorivo, a smanjuje se korištenje vozila koja koriste beznin. U općini Doboj Istok u 2020. godini dolazi do povećanja potrošnje energije dobivene sagorijevanjem dizelskog goriva za 5,05% (1.165,65MWh), dok energija dobivena  sagorijevanjem benzina bilježi smanjenje za 57,82% (6.428,99 MWh). Također je došlo do upotrebe ukapljenog naftnog plina kao pogonskog goriva u podsektoru osobnih i komercijalnih vozila. Energija dobivena iz ukapljenog naftnog plina u 2020. godini iznosi 4.19.95 MWh. </w:t>
      </w:r>
    </w:p>
    <w:p>
      <w:pPr>
        <w:spacing w:before="60" w:after="12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Pore</w:t>
      </w:r>
      <w:r>
        <w:rPr>
          <w:rFonts w:ascii="Calibri" w:hAnsi="Calibri" w:cs="Calibri" w:eastAsia="Calibri"/>
          <w:color w:val="auto"/>
          <w:spacing w:val="0"/>
          <w:position w:val="0"/>
          <w:sz w:val="20"/>
          <w:shd w:fill="auto" w:val="clear"/>
        </w:rPr>
        <w:t xml:space="preserve">đenje apsolutnih vrijednosti potrošnje energije iz razmatranih energenata u ukupnom baznom i kontolnom inventaru prikazano je na narednom dijagramu.</w:t>
      </w:r>
    </w:p>
    <w:p>
      <w:pPr>
        <w:spacing w:before="60" w:after="120" w:line="240"/>
        <w:ind w:right="0" w:left="0" w:firstLine="0"/>
        <w:jc w:val="both"/>
        <w:rPr>
          <w:rFonts w:ascii="Calibri" w:hAnsi="Calibri" w:cs="Calibri" w:eastAsia="Calibri"/>
          <w:color w:val="auto"/>
          <w:spacing w:val="0"/>
          <w:position w:val="0"/>
          <w:sz w:val="20"/>
          <w:shd w:fill="auto" w:val="clear"/>
        </w:rPr>
      </w:pPr>
    </w:p>
    <w:p>
      <w:pPr>
        <w:spacing w:before="60" w:after="160" w:line="240"/>
        <w:ind w:right="0" w:left="0" w:firstLine="0"/>
        <w:jc w:val="center"/>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Dijagram 537: Grafi</w:t>
      </w:r>
      <w:r>
        <w:rPr>
          <w:rFonts w:ascii="Calibri" w:hAnsi="Calibri" w:cs="Calibri" w:eastAsia="Calibri"/>
          <w:color w:val="auto"/>
          <w:spacing w:val="0"/>
          <w:position w:val="0"/>
          <w:sz w:val="18"/>
          <w:shd w:fill="auto" w:val="clear"/>
        </w:rPr>
        <w:t xml:space="preserve">čki prikaz promjena u potrošnji razmatranih energenata u baznoj i kontrolnoj godini</w:t>
      </w:r>
    </w:p>
    <w:p>
      <w:pPr>
        <w:keepNext w:val="true"/>
        <w:keepLines w:val="true"/>
        <w:numPr>
          <w:ilvl w:val="0"/>
          <w:numId w:val="2223"/>
        </w:numPr>
        <w:spacing w:before="240" w:after="0" w:line="240"/>
        <w:ind w:right="0" w:left="720" w:hanging="72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Promjene u</w:t>
      </w:r>
      <w:r>
        <w:rPr>
          <w:rFonts w:ascii="Calibri" w:hAnsi="Calibri" w:cs="Calibri" w:eastAsia="Calibri"/>
          <w:b/>
          <w:color w:val="auto"/>
          <w:spacing w:val="0"/>
          <w:position w:val="0"/>
          <w:sz w:val="24"/>
          <w:shd w:fill="auto" w:val="clear"/>
        </w:rPr>
        <w:t xml:space="preserve">češća energenata u ukupnim emisijama CO</w:t>
      </w:r>
      <w:r>
        <w:rPr>
          <w:rFonts w:ascii="Calibri" w:hAnsi="Calibri" w:cs="Calibri" w:eastAsia="Calibri"/>
          <w:b/>
          <w:color w:val="auto"/>
          <w:spacing w:val="0"/>
          <w:position w:val="0"/>
          <w:sz w:val="24"/>
          <w:shd w:fill="auto" w:val="clear"/>
          <w:vertAlign w:val="subscript"/>
        </w:rPr>
        <w:t xml:space="preserve">2</w:t>
      </w:r>
      <w:r>
        <w:rPr>
          <w:rFonts w:ascii="Calibri" w:hAnsi="Calibri" w:cs="Calibri" w:eastAsia="Calibri"/>
          <w:b/>
          <w:color w:val="auto"/>
          <w:spacing w:val="0"/>
          <w:position w:val="0"/>
          <w:sz w:val="24"/>
          <w:shd w:fill="auto" w:val="clear"/>
        </w:rPr>
        <w:t xml:space="preserve"> u periodu 2010. – 2020. </w:t>
      </w:r>
    </w:p>
    <w:p>
      <w:pPr>
        <w:spacing w:before="60" w:after="120" w:line="240"/>
        <w:ind w:right="0" w:left="0" w:firstLine="0"/>
        <w:jc w:val="both"/>
        <w:rPr>
          <w:rFonts w:ascii="Calibri" w:hAnsi="Calibri" w:cs="Calibri" w:eastAsia="Calibri"/>
          <w:color w:val="auto"/>
          <w:spacing w:val="0"/>
          <w:position w:val="0"/>
          <w:sz w:val="20"/>
          <w:shd w:fill="FFFF00" w:val="clear"/>
        </w:rPr>
      </w:pPr>
      <w:r>
        <w:rPr>
          <w:rFonts w:ascii="Calibri" w:hAnsi="Calibri" w:cs="Calibri" w:eastAsia="Calibri"/>
          <w:color w:val="auto"/>
          <w:spacing w:val="0"/>
          <w:position w:val="0"/>
          <w:sz w:val="20"/>
          <w:shd w:fill="auto" w:val="clear"/>
        </w:rPr>
        <w:t xml:space="preserve">Pore</w:t>
      </w:r>
      <w:r>
        <w:rPr>
          <w:rFonts w:ascii="Calibri" w:hAnsi="Calibri" w:cs="Calibri" w:eastAsia="Calibri"/>
          <w:color w:val="auto"/>
          <w:spacing w:val="0"/>
          <w:position w:val="0"/>
          <w:sz w:val="20"/>
          <w:shd w:fill="auto" w:val="clear"/>
        </w:rPr>
        <w:t xml:space="preserve">đenje emisija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u baznom i kontrolnom inventaru pokazuje da su u 2020. godini emisije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na području općine Doboj Istok smanjene za 21,76 % u odnosu na 2010. godinu. U narednoj tabeli prikazane su promjene ukupnih emisija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i emisije iz razmatranih energenata, u periodu od bazne do kontrolne godine.</w:t>
      </w:r>
      <w:r>
        <w:rPr>
          <w:rFonts w:ascii="Calibri" w:hAnsi="Calibri" w:cs="Calibri" w:eastAsia="Calibri"/>
          <w:color w:val="auto"/>
          <w:spacing w:val="0"/>
          <w:position w:val="0"/>
          <w:sz w:val="20"/>
          <w:shd w:fill="FFFF00" w:val="clear"/>
        </w:rPr>
        <w:t xml:space="preserve"> </w:t>
      </w:r>
    </w:p>
    <w:tbl>
      <w:tblPr/>
      <w:tblGrid>
        <w:gridCol w:w="1830"/>
        <w:gridCol w:w="1268"/>
        <w:gridCol w:w="1329"/>
        <w:gridCol w:w="1378"/>
        <w:gridCol w:w="1062"/>
        <w:gridCol w:w="1358"/>
        <w:gridCol w:w="1395"/>
      </w:tblGrid>
      <w:tr>
        <w:trPr>
          <w:trHeight w:val="1" w:hRule="atLeast"/>
          <w:jc w:val="left"/>
        </w:trPr>
        <w:tc>
          <w:tcPr>
            <w:tcW w:w="1830" w:type="dxa"/>
            <w:vMerge w:val="restart"/>
            <w:tcBorders>
              <w:top w:val="single" w:color="000000" w:sz="4"/>
              <w:left w:val="single" w:color="000000" w:sz="4"/>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ENERGENTI</w:t>
            </w:r>
          </w:p>
        </w:tc>
        <w:tc>
          <w:tcPr>
            <w:tcW w:w="2597" w:type="dxa"/>
            <w:gridSpan w:val="2"/>
            <w:tcBorders>
              <w:top w:val="single" w:color="000000" w:sz="4"/>
              <w:left w:val="single" w:color="000000" w:sz="0"/>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center"/>
              <w:rPr>
                <w:rFonts w:ascii="Calibri" w:hAnsi="Calibri" w:cs="Calibri" w:eastAsia="Calibri"/>
                <w:color w:val="000000"/>
                <w:spacing w:val="0"/>
                <w:position w:val="0"/>
                <w:sz w:val="18"/>
                <w:shd w:fill="auto" w:val="clear"/>
              </w:rPr>
            </w:pPr>
            <w:r>
              <w:rPr>
                <w:rFonts w:ascii="Calibri" w:hAnsi="Calibri" w:cs="Calibri" w:eastAsia="Calibri"/>
                <w:color w:val="000000"/>
                <w:spacing w:val="0"/>
                <w:position w:val="0"/>
                <w:sz w:val="18"/>
                <w:shd w:fill="auto" w:val="clear"/>
              </w:rPr>
              <w:t xml:space="preserve">BAZNI INVNETAR </w:t>
            </w:r>
          </w:p>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u 2002. godini</w:t>
            </w:r>
          </w:p>
        </w:tc>
        <w:tc>
          <w:tcPr>
            <w:tcW w:w="2440" w:type="dxa"/>
            <w:gridSpan w:val="2"/>
            <w:tcBorders>
              <w:top w:val="single" w:color="000000" w:sz="4"/>
              <w:left w:val="single" w:color="000000" w:sz="0"/>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center"/>
              <w:rPr>
                <w:rFonts w:ascii="Calibri" w:hAnsi="Calibri" w:cs="Calibri" w:eastAsia="Calibri"/>
                <w:color w:val="000000"/>
                <w:spacing w:val="0"/>
                <w:position w:val="0"/>
                <w:sz w:val="18"/>
                <w:shd w:fill="auto" w:val="clear"/>
              </w:rPr>
            </w:pPr>
            <w:r>
              <w:rPr>
                <w:rFonts w:ascii="Calibri" w:hAnsi="Calibri" w:cs="Calibri" w:eastAsia="Calibri"/>
                <w:color w:val="000000"/>
                <w:spacing w:val="0"/>
                <w:position w:val="0"/>
                <w:sz w:val="18"/>
                <w:shd w:fill="auto" w:val="clear"/>
              </w:rPr>
              <w:t xml:space="preserve">KONTROLNI INVENTAR </w:t>
            </w:r>
          </w:p>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u 2020. godini</w:t>
            </w:r>
          </w:p>
        </w:tc>
        <w:tc>
          <w:tcPr>
            <w:tcW w:w="2753" w:type="dxa"/>
            <w:gridSpan w:val="2"/>
            <w:tcBorders>
              <w:top w:val="single" w:color="000000" w:sz="4"/>
              <w:left w:val="single" w:color="000000" w:sz="0"/>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OSTVARENO SMANJENJE EMISIJA CO₂</w:t>
            </w:r>
          </w:p>
        </w:tc>
      </w:tr>
      <w:tr>
        <w:trPr>
          <w:trHeight w:val="1" w:hRule="atLeast"/>
          <w:jc w:val="left"/>
        </w:trPr>
        <w:tc>
          <w:tcPr>
            <w:tcW w:w="1830"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268"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Emisije CO₂ [tCO₂]</w:t>
            </w:r>
          </w:p>
        </w:tc>
        <w:tc>
          <w:tcPr>
            <w:tcW w:w="1329"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Udio pojedinih energenta [%]</w:t>
            </w:r>
          </w:p>
        </w:tc>
        <w:tc>
          <w:tcPr>
            <w:tcW w:w="1378"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Emisije CO₂ [tCO₂]</w:t>
            </w:r>
          </w:p>
        </w:tc>
        <w:tc>
          <w:tcPr>
            <w:tcW w:w="1062"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Udio pojedinih energenata [%]</w:t>
            </w:r>
          </w:p>
        </w:tc>
        <w:tc>
          <w:tcPr>
            <w:tcW w:w="1358"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Emisije CO₂ [tCO₂]</w:t>
            </w:r>
          </w:p>
        </w:tc>
        <w:tc>
          <w:tcPr>
            <w:tcW w:w="1395" w:type="dxa"/>
            <w:tcBorders>
              <w:top w:val="single" w:color="000000" w:sz="0"/>
              <w:left w:val="single" w:color="000000" w:sz="0"/>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Procentualno smanjenje CO</w:t>
            </w:r>
            <w:r>
              <w:rPr>
                <w:rFonts w:ascii="Calibri" w:hAnsi="Calibri" w:cs="Calibri" w:eastAsia="Calibri"/>
                <w:color w:val="000000"/>
                <w:spacing w:val="0"/>
                <w:position w:val="0"/>
                <w:sz w:val="18"/>
                <w:shd w:fill="auto" w:val="clear"/>
                <w:vertAlign w:val="subscript"/>
              </w:rPr>
              <w:t xml:space="preserve">2</w:t>
            </w:r>
            <w:r>
              <w:rPr>
                <w:rFonts w:ascii="Calibri" w:hAnsi="Calibri" w:cs="Calibri" w:eastAsia="Calibri"/>
                <w:color w:val="000000"/>
                <w:spacing w:val="0"/>
                <w:position w:val="0"/>
                <w:sz w:val="18"/>
                <w:shd w:fill="auto" w:val="clear"/>
              </w:rPr>
              <w:t xml:space="preserve"> po energentima [%]</w:t>
            </w:r>
          </w:p>
        </w:tc>
      </w:tr>
      <w:tr>
        <w:trPr>
          <w:trHeight w:val="1" w:hRule="atLeast"/>
          <w:jc w:val="left"/>
        </w:trPr>
        <w:tc>
          <w:tcPr>
            <w:tcW w:w="1830" w:type="dxa"/>
            <w:tcBorders>
              <w:top w:val="single" w:color="000000" w:sz="0"/>
              <w:left w:val="single" w:color="000000" w:sz="4"/>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Elektri</w:t>
            </w:r>
            <w:r>
              <w:rPr>
                <w:rFonts w:ascii="Calibri" w:hAnsi="Calibri" w:cs="Calibri" w:eastAsia="Calibri"/>
                <w:color w:val="000000"/>
                <w:spacing w:val="0"/>
                <w:position w:val="0"/>
                <w:sz w:val="18"/>
                <w:shd w:fill="auto" w:val="clear"/>
              </w:rPr>
              <w:t xml:space="preserve">čna energija</w:t>
            </w:r>
          </w:p>
        </w:tc>
        <w:tc>
          <w:tcPr>
            <w:tcW w:w="12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964,02</w:t>
            </w:r>
          </w:p>
        </w:tc>
        <w:tc>
          <w:tcPr>
            <w:tcW w:w="132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3,18</w:t>
            </w:r>
          </w:p>
        </w:tc>
        <w:tc>
          <w:tcPr>
            <w:tcW w:w="137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1.623,91</w:t>
            </w:r>
          </w:p>
        </w:tc>
        <w:tc>
          <w:tcPr>
            <w:tcW w:w="106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6,84</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-659,89</w:t>
            </w:r>
          </w:p>
        </w:tc>
        <w:tc>
          <w:tcPr>
            <w:tcW w:w="139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68,45</w:t>
            </w:r>
          </w:p>
        </w:tc>
      </w:tr>
      <w:tr>
        <w:trPr>
          <w:trHeight w:val="1" w:hRule="atLeast"/>
          <w:jc w:val="left"/>
        </w:trPr>
        <w:tc>
          <w:tcPr>
            <w:tcW w:w="1830" w:type="dxa"/>
            <w:tcBorders>
              <w:top w:val="single" w:color="000000" w:sz="0"/>
              <w:left w:val="single" w:color="000000" w:sz="4"/>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Prirodni plin</w:t>
            </w:r>
          </w:p>
        </w:tc>
        <w:tc>
          <w:tcPr>
            <w:tcW w:w="12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33,68</w:t>
            </w:r>
          </w:p>
        </w:tc>
        <w:tc>
          <w:tcPr>
            <w:tcW w:w="132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0,11</w:t>
            </w:r>
          </w:p>
        </w:tc>
        <w:tc>
          <w:tcPr>
            <w:tcW w:w="137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33,68</w:t>
            </w:r>
          </w:p>
        </w:tc>
        <w:tc>
          <w:tcPr>
            <w:tcW w:w="106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0,14</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39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r>
      <w:tr>
        <w:trPr>
          <w:trHeight w:val="1" w:hRule="atLeast"/>
          <w:jc w:val="left"/>
        </w:trPr>
        <w:tc>
          <w:tcPr>
            <w:tcW w:w="1830" w:type="dxa"/>
            <w:tcBorders>
              <w:top w:val="single" w:color="000000" w:sz="0"/>
              <w:left w:val="single" w:color="000000" w:sz="4"/>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Lož ulje</w:t>
            </w:r>
          </w:p>
        </w:tc>
        <w:tc>
          <w:tcPr>
            <w:tcW w:w="12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53,06</w:t>
            </w:r>
          </w:p>
        </w:tc>
        <w:tc>
          <w:tcPr>
            <w:tcW w:w="132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0,17</w:t>
            </w:r>
          </w:p>
        </w:tc>
        <w:tc>
          <w:tcPr>
            <w:tcW w:w="137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53,06</w:t>
            </w:r>
          </w:p>
        </w:tc>
        <w:tc>
          <w:tcPr>
            <w:tcW w:w="106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0,22</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39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r>
      <w:tr>
        <w:trPr>
          <w:trHeight w:val="1" w:hRule="atLeast"/>
          <w:jc w:val="left"/>
        </w:trPr>
        <w:tc>
          <w:tcPr>
            <w:tcW w:w="1830" w:type="dxa"/>
            <w:tcBorders>
              <w:top w:val="single" w:color="000000" w:sz="0"/>
              <w:left w:val="single" w:color="000000" w:sz="4"/>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Dizel</w:t>
            </w:r>
          </w:p>
        </w:tc>
        <w:tc>
          <w:tcPr>
            <w:tcW w:w="12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6.157,00</w:t>
            </w:r>
          </w:p>
        </w:tc>
        <w:tc>
          <w:tcPr>
            <w:tcW w:w="132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20,30</w:t>
            </w:r>
          </w:p>
        </w:tc>
        <w:tc>
          <w:tcPr>
            <w:tcW w:w="137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6.468,23</w:t>
            </w:r>
          </w:p>
        </w:tc>
        <w:tc>
          <w:tcPr>
            <w:tcW w:w="106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27,25</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-311,23</w:t>
            </w:r>
          </w:p>
        </w:tc>
        <w:tc>
          <w:tcPr>
            <w:tcW w:w="139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5,05</w:t>
            </w:r>
          </w:p>
        </w:tc>
      </w:tr>
      <w:tr>
        <w:trPr>
          <w:trHeight w:val="1" w:hRule="atLeast"/>
          <w:jc w:val="left"/>
        </w:trPr>
        <w:tc>
          <w:tcPr>
            <w:tcW w:w="1830" w:type="dxa"/>
            <w:tcBorders>
              <w:top w:val="single" w:color="000000" w:sz="0"/>
              <w:left w:val="single" w:color="000000" w:sz="4"/>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Motorni benzin</w:t>
            </w:r>
          </w:p>
        </w:tc>
        <w:tc>
          <w:tcPr>
            <w:tcW w:w="12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2.768,39</w:t>
            </w:r>
          </w:p>
        </w:tc>
        <w:tc>
          <w:tcPr>
            <w:tcW w:w="132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9,13</w:t>
            </w:r>
          </w:p>
        </w:tc>
        <w:tc>
          <w:tcPr>
            <w:tcW w:w="137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1.167,57</w:t>
            </w:r>
          </w:p>
        </w:tc>
        <w:tc>
          <w:tcPr>
            <w:tcW w:w="106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4,92</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1.600,82</w:t>
            </w:r>
          </w:p>
        </w:tc>
        <w:tc>
          <w:tcPr>
            <w:tcW w:w="139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57,82</w:t>
            </w:r>
          </w:p>
        </w:tc>
      </w:tr>
      <w:tr>
        <w:trPr>
          <w:trHeight w:val="1" w:hRule="atLeast"/>
          <w:jc w:val="left"/>
        </w:trPr>
        <w:tc>
          <w:tcPr>
            <w:tcW w:w="1830" w:type="dxa"/>
            <w:tcBorders>
              <w:top w:val="single" w:color="000000" w:sz="0"/>
              <w:left w:val="single" w:color="000000" w:sz="4"/>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Lignit</w:t>
            </w:r>
          </w:p>
        </w:tc>
        <w:tc>
          <w:tcPr>
            <w:tcW w:w="12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9.693,80</w:t>
            </w:r>
          </w:p>
        </w:tc>
        <w:tc>
          <w:tcPr>
            <w:tcW w:w="132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31,95</w:t>
            </w:r>
          </w:p>
        </w:tc>
        <w:tc>
          <w:tcPr>
            <w:tcW w:w="137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7.380,72</w:t>
            </w:r>
          </w:p>
        </w:tc>
        <w:tc>
          <w:tcPr>
            <w:tcW w:w="106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31,09</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2.313,08</w:t>
            </w:r>
          </w:p>
        </w:tc>
        <w:tc>
          <w:tcPr>
            <w:tcW w:w="139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23,86</w:t>
            </w:r>
          </w:p>
        </w:tc>
      </w:tr>
      <w:tr>
        <w:trPr>
          <w:trHeight w:val="1" w:hRule="atLeast"/>
          <w:jc w:val="left"/>
        </w:trPr>
        <w:tc>
          <w:tcPr>
            <w:tcW w:w="1830" w:type="dxa"/>
            <w:tcBorders>
              <w:top w:val="single" w:color="000000" w:sz="0"/>
              <w:left w:val="single" w:color="000000" w:sz="4"/>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Mrki Ugalj</w:t>
            </w:r>
          </w:p>
        </w:tc>
        <w:tc>
          <w:tcPr>
            <w:tcW w:w="12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9.081,28</w:t>
            </w:r>
          </w:p>
        </w:tc>
        <w:tc>
          <w:tcPr>
            <w:tcW w:w="132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29,93</w:t>
            </w:r>
          </w:p>
        </w:tc>
        <w:tc>
          <w:tcPr>
            <w:tcW w:w="137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6.914,36</w:t>
            </w:r>
          </w:p>
        </w:tc>
        <w:tc>
          <w:tcPr>
            <w:tcW w:w="106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29,13</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2.166,93</w:t>
            </w:r>
          </w:p>
        </w:tc>
        <w:tc>
          <w:tcPr>
            <w:tcW w:w="139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23,86</w:t>
            </w:r>
          </w:p>
        </w:tc>
      </w:tr>
      <w:tr>
        <w:trPr>
          <w:trHeight w:val="1" w:hRule="atLeast"/>
          <w:jc w:val="left"/>
        </w:trPr>
        <w:tc>
          <w:tcPr>
            <w:tcW w:w="1830" w:type="dxa"/>
            <w:tcBorders>
              <w:top w:val="single" w:color="000000" w:sz="0"/>
              <w:left w:val="single" w:color="000000" w:sz="4"/>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Biomasa</w:t>
            </w:r>
          </w:p>
        </w:tc>
        <w:tc>
          <w:tcPr>
            <w:tcW w:w="12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1.585,65</w:t>
            </w:r>
          </w:p>
        </w:tc>
        <w:tc>
          <w:tcPr>
            <w:tcW w:w="132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5,23</w:t>
            </w:r>
          </w:p>
        </w:tc>
        <w:tc>
          <w:tcPr>
            <w:tcW w:w="137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06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0,00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1.585,65</w:t>
            </w:r>
          </w:p>
        </w:tc>
        <w:tc>
          <w:tcPr>
            <w:tcW w:w="139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100</w:t>
            </w:r>
          </w:p>
        </w:tc>
      </w:tr>
      <w:tr>
        <w:trPr>
          <w:trHeight w:val="1" w:hRule="atLeast"/>
          <w:jc w:val="left"/>
        </w:trPr>
        <w:tc>
          <w:tcPr>
            <w:tcW w:w="1830" w:type="dxa"/>
            <w:tcBorders>
              <w:top w:val="single" w:color="000000" w:sz="0"/>
              <w:left w:val="single" w:color="000000" w:sz="4"/>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Ukapljeni naftni plin</w:t>
            </w:r>
          </w:p>
        </w:tc>
        <w:tc>
          <w:tcPr>
            <w:tcW w:w="12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132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0,00</w:t>
            </w:r>
          </w:p>
        </w:tc>
        <w:tc>
          <w:tcPr>
            <w:tcW w:w="137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95,21</w:t>
            </w:r>
          </w:p>
        </w:tc>
        <w:tc>
          <w:tcPr>
            <w:tcW w:w="106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0,40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-95,21</w:t>
            </w:r>
          </w:p>
        </w:tc>
        <w:tc>
          <w:tcPr>
            <w:tcW w:w="139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r>
      <w:tr>
        <w:trPr>
          <w:trHeight w:val="1" w:hRule="atLeast"/>
          <w:jc w:val="left"/>
        </w:trPr>
        <w:tc>
          <w:tcPr>
            <w:tcW w:w="1830" w:type="dxa"/>
            <w:tcBorders>
              <w:top w:val="single" w:color="000000" w:sz="0"/>
              <w:left w:val="single" w:color="000000" w:sz="4"/>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UKUPNO</w:t>
            </w:r>
          </w:p>
        </w:tc>
        <w:tc>
          <w:tcPr>
            <w:tcW w:w="1268" w:type="dxa"/>
            <w:tcBorders>
              <w:top w:val="single" w:color="000000" w:sz="0"/>
              <w:left w:val="single" w:color="000000" w:sz="0"/>
              <w:bottom w:val="single" w:color="000000" w:sz="4"/>
              <w:right w:val="single" w:color="000000" w:sz="4"/>
            </w:tcBorders>
            <w:shd w:color="000000" w:fill="d9e1f2"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30.336,89</w:t>
            </w:r>
          </w:p>
        </w:tc>
        <w:tc>
          <w:tcPr>
            <w:tcW w:w="1329" w:type="dxa"/>
            <w:tcBorders>
              <w:top w:val="single" w:color="000000" w:sz="0"/>
              <w:left w:val="single" w:color="000000" w:sz="0"/>
              <w:bottom w:val="single" w:color="000000" w:sz="4"/>
              <w:right w:val="single" w:color="000000" w:sz="4"/>
            </w:tcBorders>
            <w:shd w:color="000000" w:fill="d9e1f2"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100,00</w:t>
            </w:r>
          </w:p>
        </w:tc>
        <w:tc>
          <w:tcPr>
            <w:tcW w:w="1378" w:type="dxa"/>
            <w:tcBorders>
              <w:top w:val="single" w:color="000000" w:sz="0"/>
              <w:left w:val="single" w:color="000000" w:sz="0"/>
              <w:bottom w:val="single" w:color="000000" w:sz="4"/>
              <w:right w:val="single" w:color="000000" w:sz="4"/>
            </w:tcBorders>
            <w:shd w:color="000000" w:fill="d9e1f2"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23.736,75</w:t>
            </w:r>
          </w:p>
        </w:tc>
        <w:tc>
          <w:tcPr>
            <w:tcW w:w="1062" w:type="dxa"/>
            <w:tcBorders>
              <w:top w:val="single" w:color="000000" w:sz="0"/>
              <w:left w:val="single" w:color="000000" w:sz="0"/>
              <w:bottom w:val="single" w:color="000000" w:sz="4"/>
              <w:right w:val="single" w:color="000000" w:sz="4"/>
            </w:tcBorders>
            <w:shd w:color="000000" w:fill="d9e1f2"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100,00</w:t>
            </w:r>
          </w:p>
        </w:tc>
        <w:tc>
          <w:tcPr>
            <w:tcW w:w="1358" w:type="dxa"/>
            <w:tcBorders>
              <w:top w:val="single" w:color="000000" w:sz="0"/>
              <w:left w:val="single" w:color="000000" w:sz="0"/>
              <w:bottom w:val="single" w:color="000000" w:sz="4"/>
              <w:right w:val="single" w:color="000000" w:sz="4"/>
            </w:tcBorders>
            <w:shd w:color="000000" w:fill="d9e1f2"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6.600,14</w:t>
            </w:r>
          </w:p>
        </w:tc>
        <w:tc>
          <w:tcPr>
            <w:tcW w:w="1395" w:type="dxa"/>
            <w:tcBorders>
              <w:top w:val="single" w:color="000000" w:sz="0"/>
              <w:left w:val="single" w:color="000000" w:sz="0"/>
              <w:bottom w:val="single" w:color="000000" w:sz="4"/>
              <w:right w:val="single" w:color="000000" w:sz="4"/>
            </w:tcBorders>
            <w:shd w:color="000000" w:fill="d9e1f2"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21,76</w:t>
            </w:r>
          </w:p>
        </w:tc>
      </w:tr>
    </w:tbl>
    <w:p>
      <w:pPr>
        <w:spacing w:before="60" w:after="200" w:line="240"/>
        <w:ind w:right="0" w:left="0" w:firstLine="0"/>
        <w:jc w:val="center"/>
        <w:rPr>
          <w:rFonts w:ascii="Calibri" w:hAnsi="Calibri" w:cs="Calibri" w:eastAsia="Calibri"/>
          <w:color w:val="000000"/>
          <w:spacing w:val="0"/>
          <w:position w:val="0"/>
          <w:sz w:val="18"/>
          <w:shd w:fill="auto" w:val="clear"/>
        </w:rPr>
      </w:pPr>
      <w:r>
        <w:rPr>
          <w:rFonts w:ascii="Calibri" w:hAnsi="Calibri" w:cs="Calibri" w:eastAsia="Calibri"/>
          <w:color w:val="auto"/>
          <w:spacing w:val="0"/>
          <w:position w:val="0"/>
          <w:sz w:val="18"/>
          <w:shd w:fill="auto" w:val="clear"/>
        </w:rPr>
        <w:t xml:space="preserve">Tabela 551: Pore</w:t>
      </w:r>
      <w:r>
        <w:rPr>
          <w:rFonts w:ascii="Calibri" w:hAnsi="Calibri" w:cs="Calibri" w:eastAsia="Calibri"/>
          <w:color w:val="auto"/>
          <w:spacing w:val="0"/>
          <w:position w:val="0"/>
          <w:sz w:val="18"/>
          <w:shd w:fill="auto" w:val="clear"/>
        </w:rPr>
        <w:t xml:space="preserve">đenje ukupnih emisija CO</w:t>
      </w:r>
      <w:r>
        <w:rPr>
          <w:rFonts w:ascii="Calibri" w:hAnsi="Calibri" w:cs="Calibri" w:eastAsia="Calibri"/>
          <w:color w:val="auto"/>
          <w:spacing w:val="0"/>
          <w:position w:val="0"/>
          <w:sz w:val="18"/>
          <w:shd w:fill="auto" w:val="clear"/>
          <w:vertAlign w:val="subscript"/>
        </w:rPr>
        <w:t xml:space="preserve">2</w:t>
      </w:r>
      <w:r>
        <w:rPr>
          <w:rFonts w:ascii="Calibri" w:hAnsi="Calibri" w:cs="Calibri" w:eastAsia="Calibri"/>
          <w:color w:val="auto"/>
          <w:spacing w:val="0"/>
          <w:position w:val="0"/>
          <w:sz w:val="18"/>
          <w:shd w:fill="auto" w:val="clear"/>
        </w:rPr>
        <w:t xml:space="preserve"> i emisija iz razmatranih energenata u baznoj i kontrolnoj godini</w:t>
      </w:r>
    </w:p>
    <w:p>
      <w:pPr>
        <w:spacing w:before="60" w:after="0" w:line="240"/>
        <w:ind w:right="0" w:left="0" w:firstLine="0"/>
        <w:jc w:val="both"/>
        <w:rPr>
          <w:rFonts w:ascii="Calibri" w:hAnsi="Calibri" w:cs="Calibri" w:eastAsia="Calibri"/>
          <w:color w:val="auto"/>
          <w:spacing w:val="0"/>
          <w:position w:val="0"/>
          <w:sz w:val="20"/>
          <w:shd w:fill="FFFF00" w:val="clear"/>
        </w:rPr>
      </w:pPr>
      <w:r>
        <w:rPr>
          <w:rFonts w:ascii="Calibri" w:hAnsi="Calibri" w:cs="Calibri" w:eastAsia="Calibri"/>
          <w:color w:val="auto"/>
          <w:spacing w:val="0"/>
          <w:position w:val="0"/>
          <w:sz w:val="20"/>
          <w:shd w:fill="auto" w:val="clear"/>
        </w:rPr>
        <w:t xml:space="preserve">U 2020. godini emisije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nastale sagorijevanjem lignita smanjene su za </w:t>
      </w:r>
      <w:r>
        <w:rPr>
          <w:rFonts w:ascii="Calibri" w:hAnsi="Calibri" w:cs="Calibri" w:eastAsia="Calibri"/>
          <w:color w:val="000000"/>
          <w:spacing w:val="0"/>
          <w:position w:val="0"/>
          <w:sz w:val="20"/>
          <w:shd w:fill="auto" w:val="clear"/>
        </w:rPr>
        <w:t xml:space="preserve">2.313,08 </w:t>
      </w:r>
      <w:r>
        <w:rPr>
          <w:rFonts w:ascii="Calibri" w:hAnsi="Calibri" w:cs="Calibri" w:eastAsia="Calibri"/>
          <w:color w:val="auto"/>
          <w:spacing w:val="0"/>
          <w:position w:val="0"/>
          <w:sz w:val="20"/>
          <w:shd w:fill="auto" w:val="clear"/>
        </w:rPr>
        <w:t xml:space="preserve">t ili 23,86 % u odnosu na stanje u 2010. godini. Emisije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nastale sagorijevanjem mrkog uglja smanjene su za 2.166,93 t odnosno za 23,86 %, kao i emisije iz sagorijevanja lignita. Ovo smanjenje rezultat je provo</w:t>
      </w:r>
      <w:r>
        <w:rPr>
          <w:rFonts w:ascii="Calibri" w:hAnsi="Calibri" w:cs="Calibri" w:eastAsia="Calibri"/>
          <w:color w:val="auto"/>
          <w:spacing w:val="0"/>
          <w:position w:val="0"/>
          <w:sz w:val="20"/>
          <w:shd w:fill="auto" w:val="clear"/>
        </w:rPr>
        <w:t xml:space="preserve">đenja mjera energetske efikasnosti u stambenim i javnim zgradama, te korištenja efikasnijih i okolišno prihvatljivijih sistema grijanja.</w:t>
      </w:r>
    </w:p>
    <w:p>
      <w:pPr>
        <w:spacing w:before="60" w:after="0" w:line="240"/>
        <w:ind w:right="0" w:left="0" w:firstLine="0"/>
        <w:jc w:val="both"/>
        <w:rPr>
          <w:rFonts w:ascii="Calibri" w:hAnsi="Calibri" w:cs="Calibri" w:eastAsia="Calibri"/>
          <w:color w:val="auto"/>
          <w:spacing w:val="0"/>
          <w:position w:val="0"/>
          <w:sz w:val="20"/>
          <w:shd w:fill="FFFF00" w:val="clear"/>
        </w:rPr>
      </w:pPr>
      <w:r>
        <w:rPr>
          <w:rFonts w:ascii="Calibri" w:hAnsi="Calibri" w:cs="Calibri" w:eastAsia="Calibri"/>
          <w:color w:val="auto"/>
          <w:spacing w:val="0"/>
          <w:position w:val="0"/>
          <w:sz w:val="20"/>
          <w:shd w:fill="auto" w:val="clear"/>
        </w:rPr>
        <w:t xml:space="preserve">Zna</w:t>
      </w:r>
      <w:r>
        <w:rPr>
          <w:rFonts w:ascii="Calibri" w:hAnsi="Calibri" w:cs="Calibri" w:eastAsia="Calibri"/>
          <w:color w:val="auto"/>
          <w:spacing w:val="0"/>
          <w:position w:val="0"/>
          <w:sz w:val="20"/>
          <w:shd w:fill="auto" w:val="clear"/>
        </w:rPr>
        <w:t xml:space="preserve">čajna promjena dogodila se i u pogledu emisija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iz biomase. Obzirom da u baznoj godini u Tuzlanskom kantonu nisu bili ispunjeni kriteriji održive proizvodnje ogrijevnog drveta, emisije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iz ovog energenta su računate prema propisanom IPCC emisionom faktoru za neodrživu drvnu biomasu. U međuvremenu je JP „Šume Tuzlanskog kantona“ uspješno završilo proces certificiranja i dobilo certifikat koji izdaje Forest Stewardship Council. Ovim certifikatom se  potvrđuje da ovo preduzeće ispunjava kriterije održivog upravljanja šumama i održive proizvodnje drveta, te se smatra da su emisije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nastale sagorijevanjem drvne biomase jednake nuli. U 2020. godni na području općine Doboj Istok nije bilo promjena u količini emisija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nastalih sagorijevanjem lož ulja i prirodnog plina u odnosu na baznu godinu. Emisije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iz električne energije povećane su za 68,45 % ili 659,89 t, što je najvećim dijelom rezultat širenja mreže javne rasvjete. </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U sektoru saobra</w:t>
      </w:r>
      <w:r>
        <w:rPr>
          <w:rFonts w:ascii="Calibri" w:hAnsi="Calibri" w:cs="Calibri" w:eastAsia="Calibri"/>
          <w:color w:val="auto"/>
          <w:spacing w:val="0"/>
          <w:position w:val="0"/>
          <w:sz w:val="20"/>
          <w:shd w:fill="auto" w:val="clear"/>
        </w:rPr>
        <w:t xml:space="preserve">ćaja došlo je do smanjenja potrošnje energije u podsektoru osobnih i komercijalnih vozila, te je proporcionalno tome došlo i do smanjenja emisija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U 2020. godini bilježi se smanjenje emisija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iz sagorijevanja benzina za 57,82 %, dok su se emisije proizvedene iz dizel goriva povećale za 5,05%. Došlo je i do  upotrebe ukapljenog naftnog plina kao pogonskog goriva u podsektoru osobnih i komercijalnih vozila, pa su u 2020. ove emisije iznosile 95,21 t. </w:t>
      </w:r>
    </w:p>
    <w:p>
      <w:pPr>
        <w:spacing w:before="60" w:after="12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Pore</w:t>
      </w:r>
      <w:r>
        <w:rPr>
          <w:rFonts w:ascii="Calibri" w:hAnsi="Calibri" w:cs="Calibri" w:eastAsia="Calibri"/>
          <w:color w:val="auto"/>
          <w:spacing w:val="0"/>
          <w:position w:val="0"/>
          <w:sz w:val="20"/>
          <w:shd w:fill="auto" w:val="clear"/>
        </w:rPr>
        <w:t xml:space="preserve">đenje apsolutnih vrijednosti emisija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iz razmatranih energenata u baznoj i kontrolnoj godini prikazano je na narednom dijagramu. </w:t>
      </w:r>
    </w:p>
    <w:p>
      <w:pPr>
        <w:spacing w:before="60" w:after="120" w:line="240"/>
        <w:ind w:right="0" w:left="0" w:firstLine="0"/>
        <w:jc w:val="both"/>
        <w:rPr>
          <w:rFonts w:ascii="Calibri" w:hAnsi="Calibri" w:cs="Calibri" w:eastAsia="Calibri"/>
          <w:color w:val="auto"/>
          <w:spacing w:val="0"/>
          <w:position w:val="0"/>
          <w:sz w:val="20"/>
          <w:shd w:fill="FFFF00" w:val="clear"/>
        </w:rPr>
      </w:pPr>
    </w:p>
    <w:p>
      <w:pPr>
        <w:spacing w:before="60" w:after="160" w:line="240"/>
        <w:ind w:right="0" w:left="0" w:firstLine="0"/>
        <w:jc w:val="center"/>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Dijagram 538: Grafi</w:t>
      </w:r>
      <w:r>
        <w:rPr>
          <w:rFonts w:ascii="Calibri" w:hAnsi="Calibri" w:cs="Calibri" w:eastAsia="Calibri"/>
          <w:color w:val="auto"/>
          <w:spacing w:val="0"/>
          <w:position w:val="0"/>
          <w:sz w:val="18"/>
          <w:shd w:fill="auto" w:val="clear"/>
        </w:rPr>
        <w:t xml:space="preserve">čki prikaz promjena emisija CO</w:t>
      </w:r>
      <w:r>
        <w:rPr>
          <w:rFonts w:ascii="Calibri" w:hAnsi="Calibri" w:cs="Calibri" w:eastAsia="Calibri"/>
          <w:color w:val="auto"/>
          <w:spacing w:val="0"/>
          <w:position w:val="0"/>
          <w:sz w:val="18"/>
          <w:shd w:fill="auto" w:val="clear"/>
          <w:vertAlign w:val="subscript"/>
        </w:rPr>
        <w:t xml:space="preserve">2</w:t>
      </w:r>
      <w:r>
        <w:rPr>
          <w:rFonts w:ascii="Calibri" w:hAnsi="Calibri" w:cs="Calibri" w:eastAsia="Calibri"/>
          <w:color w:val="auto"/>
          <w:spacing w:val="0"/>
          <w:position w:val="0"/>
          <w:sz w:val="18"/>
          <w:shd w:fill="auto" w:val="clear"/>
        </w:rPr>
        <w:t xml:space="preserve"> iz razmatranih energenata u baznoj i kontrolnoj godini</w:t>
      </w:r>
    </w:p>
    <w:p>
      <w:pPr>
        <w:spacing w:before="60" w:after="160" w:line="240"/>
        <w:ind w:right="0" w:left="0" w:firstLine="0"/>
        <w:jc w:val="center"/>
        <w:rPr>
          <w:rFonts w:ascii="Calibri" w:hAnsi="Calibri" w:cs="Calibri" w:eastAsia="Calibri"/>
          <w:color w:val="auto"/>
          <w:spacing w:val="0"/>
          <w:position w:val="0"/>
          <w:sz w:val="18"/>
          <w:shd w:fill="FFFF00" w:val="clear"/>
        </w:rPr>
      </w:pPr>
    </w:p>
    <w:p>
      <w:pPr>
        <w:keepNext w:val="true"/>
        <w:keepLines w:val="true"/>
        <w:numPr>
          <w:ilvl w:val="0"/>
          <w:numId w:val="2268"/>
        </w:numPr>
        <w:spacing w:before="240" w:after="0" w:line="240"/>
        <w:ind w:right="0" w:left="578" w:hanging="578"/>
        <w:jc w:val="both"/>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Projekcije nivoa postizanja postavljenog cilja smanjenja emisija CO</w:t>
      </w:r>
      <w:r>
        <w:rPr>
          <w:rFonts w:ascii="Calibri" w:hAnsi="Calibri" w:cs="Calibri" w:eastAsia="Calibri"/>
          <w:b/>
          <w:color w:val="auto"/>
          <w:spacing w:val="0"/>
          <w:position w:val="0"/>
          <w:sz w:val="28"/>
          <w:shd w:fill="auto" w:val="clear"/>
          <w:vertAlign w:val="subscript"/>
        </w:rPr>
        <w:t xml:space="preserve">2</w:t>
      </w:r>
      <w:r>
        <w:rPr>
          <w:rFonts w:ascii="Calibri" w:hAnsi="Calibri" w:cs="Calibri" w:eastAsia="Calibri"/>
          <w:b/>
          <w:color w:val="auto"/>
          <w:spacing w:val="0"/>
          <w:position w:val="0"/>
          <w:sz w:val="28"/>
          <w:shd w:fill="auto" w:val="clear"/>
        </w:rPr>
        <w:t xml:space="preserve"> do 2030. godine bez intenzivnijeg u</w:t>
      </w:r>
      <w:r>
        <w:rPr>
          <w:rFonts w:ascii="Calibri" w:hAnsi="Calibri" w:cs="Calibri" w:eastAsia="Calibri"/>
          <w:b/>
          <w:color w:val="auto"/>
          <w:spacing w:val="0"/>
          <w:position w:val="0"/>
          <w:sz w:val="28"/>
          <w:shd w:fill="auto" w:val="clear"/>
        </w:rPr>
        <w:t xml:space="preserve">češća Općine Doboj Istok u planiranju i realizaciji mjera</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U ovom poglavlju izvršena je procjena mogu</w:t>
      </w:r>
      <w:r>
        <w:rPr>
          <w:rFonts w:ascii="Calibri" w:hAnsi="Calibri" w:cs="Calibri" w:eastAsia="Calibri"/>
          <w:color w:val="auto"/>
          <w:spacing w:val="0"/>
          <w:position w:val="0"/>
          <w:sz w:val="20"/>
          <w:shd w:fill="auto" w:val="clear"/>
        </w:rPr>
        <w:t xml:space="preserve">ćeg smanjenja potrošnje finalne energije i pripadajućih emisija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do 2030. godine, u situaciji nastavka dosadašnjih trendova u razmatranim sektorima i podsektorima (engl. </w:t>
      </w:r>
      <w:r>
        <w:rPr>
          <w:rFonts w:ascii="Calibri" w:hAnsi="Calibri" w:cs="Calibri" w:eastAsia="Calibri"/>
          <w:i/>
          <w:color w:val="auto"/>
          <w:spacing w:val="0"/>
          <w:position w:val="0"/>
          <w:sz w:val="20"/>
          <w:shd w:fill="auto" w:val="clear"/>
        </w:rPr>
        <w:t xml:space="preserve">Business as Usual – BaU</w:t>
      </w:r>
      <w:r>
        <w:rPr>
          <w:rFonts w:ascii="Calibri" w:hAnsi="Calibri" w:cs="Calibri" w:eastAsia="Calibri"/>
          <w:color w:val="auto"/>
          <w:spacing w:val="0"/>
          <w:position w:val="0"/>
          <w:sz w:val="20"/>
          <w:shd w:fill="auto" w:val="clear"/>
        </w:rPr>
        <w:t xml:space="preserve">), bez intenzivnijeg učešća Općine Doboj Istok i bez realizacije dodatnih mjera energetske efikasnosti.</w:t>
      </w:r>
    </w:p>
    <w:p>
      <w:pPr>
        <w:keepNext w:val="true"/>
        <w:keepLines w:val="true"/>
        <w:numPr>
          <w:ilvl w:val="0"/>
          <w:numId w:val="2270"/>
        </w:numPr>
        <w:spacing w:before="240" w:after="0" w:line="240"/>
        <w:ind w:right="0" w:left="720" w:hanging="72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Projekcija emisija CO</w:t>
      </w:r>
      <w:r>
        <w:rPr>
          <w:rFonts w:ascii="Calibri" w:hAnsi="Calibri" w:cs="Calibri" w:eastAsia="Calibri"/>
          <w:b/>
          <w:color w:val="auto"/>
          <w:spacing w:val="0"/>
          <w:position w:val="0"/>
          <w:sz w:val="24"/>
          <w:shd w:fill="auto" w:val="clear"/>
          <w:vertAlign w:val="subscript"/>
        </w:rPr>
        <w:t xml:space="preserve">2</w:t>
      </w:r>
      <w:r>
        <w:rPr>
          <w:rFonts w:ascii="Calibri" w:hAnsi="Calibri" w:cs="Calibri" w:eastAsia="Calibri"/>
          <w:b/>
          <w:color w:val="auto"/>
          <w:spacing w:val="0"/>
          <w:position w:val="0"/>
          <w:sz w:val="24"/>
          <w:shd w:fill="auto" w:val="clear"/>
        </w:rPr>
        <w:t xml:space="preserve"> za sektor zgradarstva do 2030. godine</w:t>
      </w:r>
    </w:p>
    <w:p>
      <w:pPr>
        <w:spacing w:before="60" w:after="12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0"/>
          <w:shd w:fill="auto" w:val="clear"/>
        </w:rPr>
        <w:t xml:space="preserve">Pri odre</w:t>
      </w:r>
      <w:r>
        <w:rPr>
          <w:rFonts w:ascii="Calibri" w:hAnsi="Calibri" w:cs="Calibri" w:eastAsia="Calibri"/>
          <w:color w:val="auto"/>
          <w:spacing w:val="0"/>
          <w:position w:val="0"/>
          <w:sz w:val="20"/>
          <w:shd w:fill="auto" w:val="clear"/>
        </w:rPr>
        <w:t xml:space="preserve">đivanju projekcije emisija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u 2030. godini za podsektore </w:t>
      </w:r>
      <w:r>
        <w:rPr>
          <w:rFonts w:ascii="Calibri" w:hAnsi="Calibri" w:cs="Calibri" w:eastAsia="Calibri"/>
          <w:b/>
          <w:color w:val="auto"/>
          <w:spacing w:val="0"/>
          <w:position w:val="0"/>
          <w:sz w:val="20"/>
          <w:shd w:fill="auto" w:val="clear"/>
        </w:rPr>
        <w:t xml:space="preserve">javnih zgrada u vlasništvu Općine </w:t>
      </w:r>
      <w:r>
        <w:rPr>
          <w:rFonts w:ascii="Calibri" w:hAnsi="Calibri" w:cs="Calibri" w:eastAsia="Calibri"/>
          <w:color w:val="auto"/>
          <w:spacing w:val="0"/>
          <w:position w:val="0"/>
          <w:sz w:val="20"/>
          <w:shd w:fill="auto" w:val="clear"/>
        </w:rPr>
        <w:t xml:space="preserve">i </w:t>
      </w:r>
      <w:r>
        <w:rPr>
          <w:rFonts w:ascii="Calibri" w:hAnsi="Calibri" w:cs="Calibri" w:eastAsia="Calibri"/>
          <w:b/>
          <w:color w:val="auto"/>
          <w:spacing w:val="0"/>
          <w:position w:val="0"/>
          <w:sz w:val="20"/>
          <w:shd w:fill="auto" w:val="clear"/>
        </w:rPr>
        <w:t xml:space="preserve">javnih zgrada koje nisu u vlasništvu Općine</w:t>
      </w:r>
      <w:r>
        <w:rPr>
          <w:rFonts w:ascii="Calibri" w:hAnsi="Calibri" w:cs="Calibri" w:eastAsia="Calibri"/>
          <w:color w:val="auto"/>
          <w:spacing w:val="0"/>
          <w:position w:val="0"/>
          <w:sz w:val="20"/>
          <w:shd w:fill="auto" w:val="clear"/>
        </w:rPr>
        <w:t xml:space="preserve">, u obzir je uzeta činjenica da energetska obnova ovih zgrada zahtijeva sistemsko planiranje i velika financijska ulaganja, u kojima u velikoj mjeri mora učestvovati i sama Općina Doboj Istok. Zbog toga bi potrošnja energije zu 2030. godine za scenario bez dodatnih mjera Općine u ovim podsektorima ostala na nivou potrošnje energije u 2020. godini, kao i pripadajuće emisije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w:t>
      </w:r>
    </w:p>
    <w:tbl>
      <w:tblPr/>
      <w:tblGrid>
        <w:gridCol w:w="2345"/>
        <w:gridCol w:w="1105"/>
        <w:gridCol w:w="1105"/>
        <w:gridCol w:w="1113"/>
        <w:gridCol w:w="1273"/>
        <w:gridCol w:w="1248"/>
        <w:gridCol w:w="1212"/>
      </w:tblGrid>
      <w:tr>
        <w:trPr>
          <w:trHeight w:val="289" w:hRule="auto"/>
          <w:jc w:val="center"/>
        </w:trPr>
        <w:tc>
          <w:tcPr>
            <w:tcW w:w="2345" w:type="dxa"/>
            <w:vMerge w:val="restart"/>
            <w:tcBorders>
              <w:top w:val="single" w:color="000000" w:sz="4"/>
              <w:left w:val="single" w:color="000000" w:sz="4"/>
              <w:bottom w:val="single" w:color="000000" w:sz="4"/>
              <w:right w:val="single" w:color="000000" w:sz="4"/>
            </w:tcBorders>
            <w:shd w:color="auto" w:fill="bdd6ee"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JAVNE ZGRADE</w:t>
            </w:r>
          </w:p>
        </w:tc>
        <w:tc>
          <w:tcPr>
            <w:tcW w:w="3323" w:type="dxa"/>
            <w:gridSpan w:val="3"/>
            <w:tcBorders>
              <w:top w:val="single" w:color="000000" w:sz="4"/>
              <w:left w:val="single" w:color="000000" w:sz="4"/>
              <w:bottom w:val="single" w:color="000000" w:sz="4"/>
              <w:right w:val="single" w:color="000000" w:sz="4"/>
            </w:tcBorders>
            <w:shd w:color="auto" w:fill="bdd6ee"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POTROŠNJA ENERGIJE [MWh]</w:t>
            </w:r>
          </w:p>
        </w:tc>
        <w:tc>
          <w:tcPr>
            <w:tcW w:w="3733" w:type="dxa"/>
            <w:gridSpan w:val="3"/>
            <w:tcBorders>
              <w:top w:val="single" w:color="000000" w:sz="4"/>
              <w:left w:val="single" w:color="000000" w:sz="4"/>
              <w:bottom w:val="single" w:color="000000" w:sz="4"/>
              <w:right w:val="single" w:color="000000" w:sz="4"/>
            </w:tcBorders>
            <w:shd w:color="auto" w:fill="bdd6ee"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EMISIJE [tCO</w:t>
            </w:r>
            <w:r>
              <w:rPr>
                <w:rFonts w:ascii="Calibri" w:hAnsi="Calibri" w:cs="Calibri" w:eastAsia="Calibri"/>
                <w:color w:val="000000"/>
                <w:spacing w:val="0"/>
                <w:position w:val="0"/>
                <w:sz w:val="18"/>
                <w:shd w:fill="auto" w:val="clear"/>
                <w:vertAlign w:val="subscript"/>
              </w:rPr>
              <w:t xml:space="preserve">2</w:t>
            </w:r>
            <w:r>
              <w:rPr>
                <w:rFonts w:ascii="Calibri" w:hAnsi="Calibri" w:cs="Calibri" w:eastAsia="Calibri"/>
                <w:color w:val="000000"/>
                <w:spacing w:val="0"/>
                <w:position w:val="0"/>
                <w:sz w:val="18"/>
                <w:shd w:fill="auto" w:val="clear"/>
              </w:rPr>
              <w:t xml:space="preserve">]</w:t>
            </w:r>
          </w:p>
        </w:tc>
      </w:tr>
      <w:tr>
        <w:trPr>
          <w:trHeight w:val="289" w:hRule="auto"/>
          <w:jc w:val="center"/>
        </w:trPr>
        <w:tc>
          <w:tcPr>
            <w:tcW w:w="2345"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105" w:type="dxa"/>
            <w:tcBorders>
              <w:top w:val="single" w:color="000000" w:sz="4"/>
              <w:left w:val="single" w:color="000000" w:sz="4"/>
              <w:bottom w:val="single" w:color="000000" w:sz="4"/>
              <w:right w:val="single" w:color="000000" w:sz="4"/>
            </w:tcBorders>
            <w:shd w:color="auto" w:fill="bdd6ee"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2010. god</w:t>
            </w:r>
          </w:p>
        </w:tc>
        <w:tc>
          <w:tcPr>
            <w:tcW w:w="1105" w:type="dxa"/>
            <w:tcBorders>
              <w:top w:val="single" w:color="000000" w:sz="4"/>
              <w:left w:val="single" w:color="000000" w:sz="4"/>
              <w:bottom w:val="single" w:color="000000" w:sz="4"/>
              <w:right w:val="single" w:color="000000" w:sz="4"/>
            </w:tcBorders>
            <w:shd w:color="auto" w:fill="bdd6ee"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2020. god</w:t>
            </w:r>
          </w:p>
        </w:tc>
        <w:tc>
          <w:tcPr>
            <w:tcW w:w="1113" w:type="dxa"/>
            <w:tcBorders>
              <w:top w:val="single" w:color="000000" w:sz="4"/>
              <w:left w:val="single" w:color="000000" w:sz="4"/>
              <w:bottom w:val="single" w:color="000000" w:sz="4"/>
              <w:right w:val="single" w:color="000000" w:sz="4"/>
            </w:tcBorders>
            <w:shd w:color="auto" w:fill="bdd6ee"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2030. god</w:t>
            </w:r>
          </w:p>
        </w:tc>
        <w:tc>
          <w:tcPr>
            <w:tcW w:w="1273" w:type="dxa"/>
            <w:tcBorders>
              <w:top w:val="single" w:color="000000" w:sz="4"/>
              <w:left w:val="single" w:color="000000" w:sz="4"/>
              <w:bottom w:val="single" w:color="000000" w:sz="4"/>
              <w:right w:val="single" w:color="000000" w:sz="4"/>
            </w:tcBorders>
            <w:shd w:color="auto" w:fill="bdd6ee"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2010. god</w:t>
            </w:r>
          </w:p>
        </w:tc>
        <w:tc>
          <w:tcPr>
            <w:tcW w:w="1248" w:type="dxa"/>
            <w:tcBorders>
              <w:top w:val="single" w:color="000000" w:sz="4"/>
              <w:left w:val="single" w:color="000000" w:sz="4"/>
              <w:bottom w:val="single" w:color="000000" w:sz="4"/>
              <w:right w:val="single" w:color="000000" w:sz="4"/>
            </w:tcBorders>
            <w:shd w:color="auto" w:fill="bdd6ee"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2020. god</w:t>
            </w:r>
          </w:p>
        </w:tc>
        <w:tc>
          <w:tcPr>
            <w:tcW w:w="1212" w:type="dxa"/>
            <w:tcBorders>
              <w:top w:val="single" w:color="000000" w:sz="4"/>
              <w:left w:val="single" w:color="000000" w:sz="4"/>
              <w:bottom w:val="single" w:color="000000" w:sz="4"/>
              <w:right w:val="single" w:color="000000" w:sz="4"/>
            </w:tcBorders>
            <w:shd w:color="auto" w:fill="bdd6ee"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2030. god</w:t>
            </w:r>
          </w:p>
        </w:tc>
      </w:tr>
      <w:tr>
        <w:trPr>
          <w:trHeight w:val="289" w:hRule="auto"/>
          <w:jc w:val="center"/>
        </w:trPr>
        <w:tc>
          <w:tcPr>
            <w:tcW w:w="9401" w:type="dxa"/>
            <w:gridSpan w:val="7"/>
            <w:tcBorders>
              <w:top w:val="single" w:color="000000" w:sz="4"/>
              <w:left w:val="single" w:color="000000" w:sz="4"/>
              <w:bottom w:val="single" w:color="000000" w:sz="4"/>
              <w:right w:val="single" w:color="000000" w:sz="4"/>
            </w:tcBorders>
            <w:shd w:color="auto" w:fill="bdd6ee"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JAVNE ZGRADE U VLASNIŠTVU OP</w:t>
            </w:r>
            <w:r>
              <w:rPr>
                <w:rFonts w:ascii="Calibri" w:hAnsi="Calibri" w:cs="Calibri" w:eastAsia="Calibri"/>
                <w:color w:val="000000"/>
                <w:spacing w:val="0"/>
                <w:position w:val="0"/>
                <w:sz w:val="18"/>
                <w:shd w:fill="auto" w:val="clear"/>
              </w:rPr>
              <w:t xml:space="preserve">ĆINE</w:t>
            </w:r>
          </w:p>
        </w:tc>
      </w:tr>
      <w:tr>
        <w:trPr>
          <w:trHeight w:val="289" w:hRule="auto"/>
          <w:jc w:val="center"/>
        </w:trPr>
        <w:tc>
          <w:tcPr>
            <w:tcW w:w="234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Scenario bez dodatnih mjera</w:t>
            </w:r>
          </w:p>
        </w:tc>
        <w:tc>
          <w:tcPr>
            <w:tcW w:w="11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2.074,02</w:t>
            </w:r>
          </w:p>
        </w:tc>
        <w:tc>
          <w:tcPr>
            <w:tcW w:w="11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1.701,65</w:t>
            </w:r>
          </w:p>
        </w:tc>
        <w:tc>
          <w:tcPr>
            <w:tcW w:w="111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1.701,65</w:t>
            </w:r>
          </w:p>
        </w:tc>
        <w:tc>
          <w:tcPr>
            <w:tcW w:w="12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826,39</w:t>
            </w:r>
          </w:p>
        </w:tc>
        <w:tc>
          <w:tcPr>
            <w:tcW w:w="12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876,86</w:t>
            </w:r>
          </w:p>
        </w:tc>
        <w:tc>
          <w:tcPr>
            <w:tcW w:w="12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876,86</w:t>
            </w:r>
          </w:p>
        </w:tc>
      </w:tr>
      <w:tr>
        <w:trPr>
          <w:trHeight w:val="289" w:hRule="auto"/>
          <w:jc w:val="center"/>
        </w:trPr>
        <w:tc>
          <w:tcPr>
            <w:tcW w:w="9401" w:type="dxa"/>
            <w:gridSpan w:val="7"/>
            <w:tcBorders>
              <w:top w:val="single" w:color="000000" w:sz="4"/>
              <w:left w:val="single" w:color="000000" w:sz="4"/>
              <w:bottom w:val="single" w:color="000000" w:sz="4"/>
              <w:right w:val="single" w:color="000000" w:sz="4"/>
            </w:tcBorders>
            <w:shd w:color="auto" w:fill="bdd6ee"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JAVNE ZGRADE KOJE NISU U VLASNIŠTVU OP</w:t>
            </w:r>
            <w:r>
              <w:rPr>
                <w:rFonts w:ascii="Calibri" w:hAnsi="Calibri" w:cs="Calibri" w:eastAsia="Calibri"/>
                <w:color w:val="000000"/>
                <w:spacing w:val="0"/>
                <w:position w:val="0"/>
                <w:sz w:val="18"/>
                <w:shd w:fill="auto" w:val="clear"/>
              </w:rPr>
              <w:t xml:space="preserve">ĆINE</w:t>
            </w:r>
          </w:p>
        </w:tc>
      </w:tr>
      <w:tr>
        <w:trPr>
          <w:trHeight w:val="289" w:hRule="auto"/>
          <w:jc w:val="center"/>
        </w:trPr>
        <w:tc>
          <w:tcPr>
            <w:tcW w:w="234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Scenario bez dodatnih mjera</w:t>
            </w:r>
          </w:p>
        </w:tc>
        <w:tc>
          <w:tcPr>
            <w:tcW w:w="11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1.528,42</w:t>
            </w:r>
          </w:p>
        </w:tc>
        <w:tc>
          <w:tcPr>
            <w:tcW w:w="11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983,16</w:t>
            </w:r>
          </w:p>
        </w:tc>
        <w:tc>
          <w:tcPr>
            <w:tcW w:w="111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983,16</w:t>
            </w:r>
          </w:p>
        </w:tc>
        <w:tc>
          <w:tcPr>
            <w:tcW w:w="12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544,67</w:t>
            </w:r>
          </w:p>
        </w:tc>
        <w:tc>
          <w:tcPr>
            <w:tcW w:w="12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348,44</w:t>
            </w:r>
          </w:p>
        </w:tc>
        <w:tc>
          <w:tcPr>
            <w:tcW w:w="12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348,44</w:t>
            </w:r>
          </w:p>
        </w:tc>
      </w:tr>
    </w:tbl>
    <w:p>
      <w:pPr>
        <w:spacing w:before="60" w:after="160" w:line="240"/>
        <w:ind w:right="0" w:left="0" w:firstLine="0"/>
        <w:jc w:val="center"/>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Tabela 552: Projekcija godišnje potrošnje energije i emisija CO</w:t>
      </w:r>
      <w:r>
        <w:rPr>
          <w:rFonts w:ascii="Calibri" w:hAnsi="Calibri" w:cs="Calibri" w:eastAsia="Calibri"/>
          <w:color w:val="auto"/>
          <w:spacing w:val="0"/>
          <w:position w:val="0"/>
          <w:sz w:val="18"/>
          <w:shd w:fill="auto" w:val="clear"/>
          <w:vertAlign w:val="subscript"/>
        </w:rPr>
        <w:t xml:space="preserve">2 </w:t>
      </w:r>
      <w:r>
        <w:rPr>
          <w:rFonts w:ascii="Calibri" w:hAnsi="Calibri" w:cs="Calibri" w:eastAsia="Calibri"/>
          <w:color w:val="auto"/>
          <w:spacing w:val="0"/>
          <w:position w:val="0"/>
          <w:sz w:val="18"/>
          <w:shd w:fill="auto" w:val="clear"/>
        </w:rPr>
        <w:t xml:space="preserve">do 2030. godine u podsektorima javnih zgrada za scenario bez dodatnih mjera</w:t>
      </w:r>
    </w:p>
    <w:p>
      <w:pPr>
        <w:spacing w:before="60" w:after="12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0"/>
          <w:shd w:fill="auto" w:val="clear"/>
        </w:rPr>
        <w:t xml:space="preserve">Osnovu za odre</w:t>
      </w:r>
      <w:r>
        <w:rPr>
          <w:rFonts w:ascii="Calibri" w:hAnsi="Calibri" w:cs="Calibri" w:eastAsia="Calibri"/>
          <w:color w:val="auto"/>
          <w:spacing w:val="0"/>
          <w:position w:val="0"/>
          <w:sz w:val="20"/>
          <w:shd w:fill="auto" w:val="clear"/>
        </w:rPr>
        <w:t xml:space="preserve">đivanje projekcije smanjenja emisija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do 2030. godini u </w:t>
      </w:r>
      <w:r>
        <w:rPr>
          <w:rFonts w:ascii="Calibri" w:hAnsi="Calibri" w:cs="Calibri" w:eastAsia="Calibri"/>
          <w:b/>
          <w:color w:val="auto"/>
          <w:spacing w:val="0"/>
          <w:position w:val="0"/>
          <w:sz w:val="20"/>
          <w:shd w:fill="auto" w:val="clear"/>
        </w:rPr>
        <w:t xml:space="preserve">podsektoru stambenih zgrada</w:t>
      </w:r>
      <w:r>
        <w:rPr>
          <w:rFonts w:ascii="Calibri" w:hAnsi="Calibri" w:cs="Calibri" w:eastAsia="Calibri"/>
          <w:color w:val="auto"/>
          <w:spacing w:val="0"/>
          <w:position w:val="0"/>
          <w:sz w:val="20"/>
          <w:shd w:fill="auto" w:val="clear"/>
        </w:rPr>
        <w:t xml:space="preserve"> predstavljao je dosadašnji trend smanjenja emisija, određen spremnošću građana na samoinicijativno ulaganje u mjere energetske efikasnosti na svojim stambenim jedinicama, umanjen za uticaj novih stambenih zgrada koje će biti izgrađene u narednom periodu, trenda iseljavanja stanovništva, te manje kupovne moći preostalih domaćinstava koja do sada nisu realizirala mjere energetske efikasnosti. Rezultati ovog proračuna su prikazani u narednoj tabeli.</w:t>
      </w:r>
    </w:p>
    <w:tbl>
      <w:tblPr/>
      <w:tblGrid>
        <w:gridCol w:w="2484"/>
        <w:gridCol w:w="1251"/>
        <w:gridCol w:w="1251"/>
        <w:gridCol w:w="1253"/>
        <w:gridCol w:w="1127"/>
        <w:gridCol w:w="1127"/>
        <w:gridCol w:w="1127"/>
      </w:tblGrid>
      <w:tr>
        <w:trPr>
          <w:trHeight w:val="288" w:hRule="auto"/>
          <w:jc w:val="left"/>
        </w:trPr>
        <w:tc>
          <w:tcPr>
            <w:tcW w:w="2484" w:type="dxa"/>
            <w:vMerge w:val="restart"/>
            <w:tcBorders>
              <w:top w:val="single" w:color="000000" w:sz="4"/>
              <w:left w:val="single" w:color="000000" w:sz="4"/>
              <w:bottom w:val="single" w:color="000000" w:sz="4"/>
              <w:right w:val="single" w:color="000000" w:sz="4"/>
            </w:tcBorders>
            <w:shd w:color="auto" w:fill="9cc2e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STAMBENE ZGRADE</w:t>
            </w:r>
          </w:p>
        </w:tc>
        <w:tc>
          <w:tcPr>
            <w:tcW w:w="3755" w:type="dxa"/>
            <w:gridSpan w:val="3"/>
            <w:tcBorders>
              <w:top w:val="single" w:color="000000" w:sz="4"/>
              <w:left w:val="single" w:color="000000" w:sz="0"/>
              <w:bottom w:val="single" w:color="000000" w:sz="4"/>
              <w:right w:val="single" w:color="000000" w:sz="4"/>
            </w:tcBorders>
            <w:shd w:color="auto" w:fill="9cc2e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POTROŠNJA ENERGIJE [MWh]</w:t>
            </w:r>
          </w:p>
        </w:tc>
        <w:tc>
          <w:tcPr>
            <w:tcW w:w="3381" w:type="dxa"/>
            <w:gridSpan w:val="3"/>
            <w:tcBorders>
              <w:top w:val="single" w:color="000000" w:sz="4"/>
              <w:left w:val="single" w:color="000000" w:sz="0"/>
              <w:bottom w:val="single" w:color="000000" w:sz="4"/>
              <w:right w:val="single" w:color="000000" w:sz="4"/>
            </w:tcBorders>
            <w:shd w:color="auto" w:fill="9cc2e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EMISIJE [tCO</w:t>
            </w:r>
            <w:r>
              <w:rPr>
                <w:rFonts w:ascii="Calibri" w:hAnsi="Calibri" w:cs="Calibri" w:eastAsia="Calibri"/>
                <w:color w:val="000000"/>
                <w:spacing w:val="0"/>
                <w:position w:val="0"/>
                <w:sz w:val="18"/>
                <w:shd w:fill="auto" w:val="clear"/>
                <w:vertAlign w:val="subscript"/>
              </w:rPr>
              <w:t xml:space="preserve">2</w:t>
            </w:r>
            <w:r>
              <w:rPr>
                <w:rFonts w:ascii="Calibri" w:hAnsi="Calibri" w:cs="Calibri" w:eastAsia="Calibri"/>
                <w:color w:val="000000"/>
                <w:spacing w:val="0"/>
                <w:position w:val="0"/>
                <w:sz w:val="18"/>
                <w:shd w:fill="auto" w:val="clear"/>
              </w:rPr>
              <w:t xml:space="preserve">]</w:t>
            </w:r>
          </w:p>
        </w:tc>
      </w:tr>
      <w:tr>
        <w:trPr>
          <w:trHeight w:val="288" w:hRule="auto"/>
          <w:jc w:val="left"/>
        </w:trPr>
        <w:tc>
          <w:tcPr>
            <w:tcW w:w="2484" w:type="dxa"/>
            <w:vMerge/>
            <w:tcBorders>
              <w:top w:val="single" w:color="000000" w:sz="4"/>
              <w:left w:val="single" w:color="000000" w:sz="4"/>
              <w:bottom w:val="single" w:color="000000" w:sz="4"/>
              <w:right w:val="single" w:color="000000" w:sz="4"/>
            </w:tcBorders>
            <w:shd w:color="auto" w:fill="9cc2e5" w:val="clear"/>
            <w:tcMar>
              <w:left w:w="108" w:type="dxa"/>
              <w:right w:w="108"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251" w:type="dxa"/>
            <w:tcBorders>
              <w:top w:val="single" w:color="000000" w:sz="0"/>
              <w:left w:val="single" w:color="000000" w:sz="0"/>
              <w:bottom w:val="single" w:color="000000" w:sz="4"/>
              <w:right w:val="single" w:color="000000" w:sz="4"/>
            </w:tcBorders>
            <w:shd w:color="auto" w:fill="9cc2e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2010. god</w:t>
            </w:r>
          </w:p>
        </w:tc>
        <w:tc>
          <w:tcPr>
            <w:tcW w:w="1251" w:type="dxa"/>
            <w:tcBorders>
              <w:top w:val="single" w:color="000000" w:sz="0"/>
              <w:left w:val="single" w:color="000000" w:sz="0"/>
              <w:bottom w:val="single" w:color="000000" w:sz="4"/>
              <w:right w:val="single" w:color="000000" w:sz="4"/>
            </w:tcBorders>
            <w:shd w:color="auto" w:fill="9cc2e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2020. god</w:t>
            </w:r>
          </w:p>
        </w:tc>
        <w:tc>
          <w:tcPr>
            <w:tcW w:w="1253" w:type="dxa"/>
            <w:tcBorders>
              <w:top w:val="single" w:color="000000" w:sz="0"/>
              <w:left w:val="single" w:color="000000" w:sz="0"/>
              <w:bottom w:val="single" w:color="000000" w:sz="4"/>
              <w:right w:val="single" w:color="000000" w:sz="4"/>
            </w:tcBorders>
            <w:shd w:color="auto" w:fill="9cc2e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2030. god</w:t>
            </w:r>
          </w:p>
        </w:tc>
        <w:tc>
          <w:tcPr>
            <w:tcW w:w="1127" w:type="dxa"/>
            <w:tcBorders>
              <w:top w:val="single" w:color="000000" w:sz="0"/>
              <w:left w:val="single" w:color="000000" w:sz="0"/>
              <w:bottom w:val="single" w:color="000000" w:sz="4"/>
              <w:right w:val="single" w:color="000000" w:sz="4"/>
            </w:tcBorders>
            <w:shd w:color="auto" w:fill="9cc2e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2010. god</w:t>
            </w:r>
          </w:p>
        </w:tc>
        <w:tc>
          <w:tcPr>
            <w:tcW w:w="1127" w:type="dxa"/>
            <w:tcBorders>
              <w:top w:val="single" w:color="000000" w:sz="0"/>
              <w:left w:val="single" w:color="000000" w:sz="0"/>
              <w:bottom w:val="single" w:color="000000" w:sz="4"/>
              <w:right w:val="single" w:color="000000" w:sz="4"/>
            </w:tcBorders>
            <w:shd w:color="auto" w:fill="9cc2e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2020. god</w:t>
            </w:r>
          </w:p>
        </w:tc>
        <w:tc>
          <w:tcPr>
            <w:tcW w:w="1127" w:type="dxa"/>
            <w:tcBorders>
              <w:top w:val="single" w:color="000000" w:sz="0"/>
              <w:left w:val="single" w:color="000000" w:sz="0"/>
              <w:bottom w:val="single" w:color="000000" w:sz="4"/>
              <w:right w:val="single" w:color="000000" w:sz="4"/>
            </w:tcBorders>
            <w:shd w:color="auto" w:fill="9cc2e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2030. god</w:t>
            </w:r>
          </w:p>
        </w:tc>
      </w:tr>
      <w:tr>
        <w:trPr>
          <w:trHeight w:val="288" w:hRule="auto"/>
          <w:jc w:val="left"/>
        </w:trPr>
        <w:tc>
          <w:tcPr>
            <w:tcW w:w="2484" w:type="dxa"/>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Scenario bez dodatnih mjera</w:t>
            </w:r>
          </w:p>
        </w:tc>
        <w:tc>
          <w:tcPr>
            <w:tcW w:w="1251" w:type="dxa"/>
            <w:tcBorders>
              <w:top w:val="single" w:color="000000" w:sz="0"/>
              <w:left w:val="single" w:color="000000" w:sz="0"/>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54.352,61</w:t>
            </w:r>
          </w:p>
        </w:tc>
        <w:tc>
          <w:tcPr>
            <w:tcW w:w="1251" w:type="dxa"/>
            <w:tcBorders>
              <w:top w:val="single" w:color="000000" w:sz="0"/>
              <w:left w:val="single" w:color="000000" w:sz="0"/>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46.525,49</w:t>
            </w:r>
          </w:p>
        </w:tc>
        <w:tc>
          <w:tcPr>
            <w:tcW w:w="1253" w:type="dxa"/>
            <w:tcBorders>
              <w:top w:val="single" w:color="000000" w:sz="0"/>
              <w:left w:val="single" w:color="000000" w:sz="0"/>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37.223,40</w:t>
            </w:r>
          </w:p>
        </w:tc>
        <w:tc>
          <w:tcPr>
            <w:tcW w:w="1127" w:type="dxa"/>
            <w:tcBorders>
              <w:top w:val="single" w:color="000000" w:sz="0"/>
              <w:left w:val="single" w:color="000000" w:sz="0"/>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19.390,47</w:t>
            </w:r>
          </w:p>
        </w:tc>
        <w:tc>
          <w:tcPr>
            <w:tcW w:w="1127" w:type="dxa"/>
            <w:tcBorders>
              <w:top w:val="single" w:color="000000" w:sz="0"/>
              <w:left w:val="single" w:color="000000" w:sz="0"/>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13.922,42</w:t>
            </w:r>
          </w:p>
        </w:tc>
        <w:tc>
          <w:tcPr>
            <w:tcW w:w="1127" w:type="dxa"/>
            <w:tcBorders>
              <w:top w:val="single" w:color="000000" w:sz="0"/>
              <w:left w:val="single" w:color="000000" w:sz="0"/>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11.102,46</w:t>
            </w:r>
          </w:p>
        </w:tc>
      </w:tr>
    </w:tbl>
    <w:p>
      <w:pPr>
        <w:spacing w:before="60" w:after="160" w:line="240"/>
        <w:ind w:right="0" w:left="0" w:firstLine="0"/>
        <w:jc w:val="center"/>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Tabela 553: Projekcija godišnje potrošnje energije i emisija CO</w:t>
      </w:r>
      <w:r>
        <w:rPr>
          <w:rFonts w:ascii="Calibri" w:hAnsi="Calibri" w:cs="Calibri" w:eastAsia="Calibri"/>
          <w:color w:val="auto"/>
          <w:spacing w:val="0"/>
          <w:position w:val="0"/>
          <w:sz w:val="18"/>
          <w:shd w:fill="auto" w:val="clear"/>
          <w:vertAlign w:val="subscript"/>
        </w:rPr>
        <w:t xml:space="preserve">2</w:t>
      </w:r>
      <w:r>
        <w:rPr>
          <w:rFonts w:ascii="Calibri" w:hAnsi="Calibri" w:cs="Calibri" w:eastAsia="Calibri"/>
          <w:color w:val="auto"/>
          <w:spacing w:val="0"/>
          <w:position w:val="0"/>
          <w:sz w:val="18"/>
          <w:shd w:fill="auto" w:val="clear"/>
        </w:rPr>
        <w:t xml:space="preserve"> do 2030. godine u podsektoru stambenih zgrada za scenario bez dodatnih mjera Op</w:t>
      </w:r>
      <w:r>
        <w:rPr>
          <w:rFonts w:ascii="Calibri" w:hAnsi="Calibri" w:cs="Calibri" w:eastAsia="Calibri"/>
          <w:color w:val="auto"/>
          <w:spacing w:val="0"/>
          <w:position w:val="0"/>
          <w:sz w:val="18"/>
          <w:shd w:fill="auto" w:val="clear"/>
        </w:rPr>
        <w:t xml:space="preserve">ćine</w:t>
      </w:r>
    </w:p>
    <w:p>
      <w:pPr>
        <w:keepNext w:val="true"/>
        <w:keepLines w:val="true"/>
        <w:numPr>
          <w:ilvl w:val="0"/>
          <w:numId w:val="2305"/>
        </w:numPr>
        <w:spacing w:before="240" w:after="0" w:line="240"/>
        <w:ind w:right="0" w:left="720" w:hanging="72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Projekcija emisija CO</w:t>
      </w:r>
      <w:r>
        <w:rPr>
          <w:rFonts w:ascii="Calibri" w:hAnsi="Calibri" w:cs="Calibri" w:eastAsia="Calibri"/>
          <w:b/>
          <w:color w:val="auto"/>
          <w:spacing w:val="0"/>
          <w:position w:val="0"/>
          <w:sz w:val="24"/>
          <w:shd w:fill="auto" w:val="clear"/>
          <w:vertAlign w:val="subscript"/>
        </w:rPr>
        <w:t xml:space="preserve">2</w:t>
      </w:r>
      <w:r>
        <w:rPr>
          <w:rFonts w:ascii="Calibri" w:hAnsi="Calibri" w:cs="Calibri" w:eastAsia="Calibri"/>
          <w:b/>
          <w:color w:val="auto"/>
          <w:spacing w:val="0"/>
          <w:position w:val="0"/>
          <w:sz w:val="24"/>
          <w:shd w:fill="auto" w:val="clear"/>
        </w:rPr>
        <w:t xml:space="preserve"> za sektor saobra</w:t>
      </w:r>
      <w:r>
        <w:rPr>
          <w:rFonts w:ascii="Calibri" w:hAnsi="Calibri" w:cs="Calibri" w:eastAsia="Calibri"/>
          <w:b/>
          <w:color w:val="auto"/>
          <w:spacing w:val="0"/>
          <w:position w:val="0"/>
          <w:sz w:val="24"/>
          <w:shd w:fill="auto" w:val="clear"/>
        </w:rPr>
        <w:t xml:space="preserve">ćaja do 2030. godine</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Najve</w:t>
      </w:r>
      <w:r>
        <w:rPr>
          <w:rFonts w:ascii="Calibri" w:hAnsi="Calibri" w:cs="Calibri" w:eastAsia="Calibri"/>
          <w:color w:val="auto"/>
          <w:spacing w:val="0"/>
          <w:position w:val="0"/>
          <w:sz w:val="20"/>
          <w:shd w:fill="auto" w:val="clear"/>
        </w:rPr>
        <w:t xml:space="preserve">ći uticaj na trend kretanja emisija u sektoru saobraćaja imaju tržište vozila, navike i životni standard stanovništva, te unaprijeđenja na saobraćajnoj infrastrukturi koja doprinose kvalitetnijem i efikasnijem odvijanju saobraćaja, a time i smanjenju emisija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Od 2019. godine u Bosni i Hercegovini je zabranjen uvoz vozila ispod ekološke kategorije EURO 5, s ciljem poboljšanja ispravnosti vozila, smanjenja nesreća na putevima, te smanjenja zagađenja zraka i emisija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Imajući u vidu da je prosječna starost vozila registriranih na području općine Doboj Istok 17 godina, i da je samo nešto više od 16% vozila kategorije EURO 5 i EURO 6, može se očekivati da će se kao rezultat ove zabrane efikasnost vozila u narednom periodu znatno poboljšati. S druge strane, povećana potreba za mobilnošću stanovništva je u periodu do 2020. godine uzrokovala blago povećan obim korištenja javnog prijevoza na području općine i okolnih naselja, te se i u narednom periodu očekuje povećanje obima javnog saobraćaja. Imajući u vidu da je faktor popunjenosti autobusa daleko viši od faktora popunjenosti putničkih automobila (u potpunosti popunjeno putničko vozilo ima 5 putnika, dok u potpunosti popunjeno vozilo javnog prijevoza ima oko 50 putnika), nastavak trenda povećanja obima javnog prijevoza povećao bi obim emisija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iz ovog podsektora ali bi imao pozitivan efekat na smanjenje emisija uzrokovanih od strane osobnih vozila. </w:t>
      </w:r>
    </w:p>
    <w:p>
      <w:pPr>
        <w:spacing w:before="60" w:after="12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0"/>
          <w:shd w:fill="auto" w:val="clear"/>
        </w:rPr>
        <w:t xml:space="preserve">Prora</w:t>
      </w:r>
      <w:r>
        <w:rPr>
          <w:rFonts w:ascii="Calibri" w:hAnsi="Calibri" w:cs="Calibri" w:eastAsia="Calibri"/>
          <w:color w:val="auto"/>
          <w:spacing w:val="0"/>
          <w:position w:val="0"/>
          <w:sz w:val="20"/>
          <w:shd w:fill="auto" w:val="clear"/>
        </w:rPr>
        <w:t xml:space="preserve">čun emisija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za scenario bez poduzimanja dodatnih mjera Općine je vršen uzimajući u obzir trend kretanja emisija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u dosadašnjem periodu od 2010. do 2020. godine, te trend povećanja broja vozila u narednom periodu s jedne strane i povećanja efikasnosti vozila s druge strane. Rezultati ovog proračuna su prikazani u narednoj tabeli.</w:t>
      </w:r>
    </w:p>
    <w:tbl>
      <w:tblPr/>
      <w:tblGrid>
        <w:gridCol w:w="2481"/>
        <w:gridCol w:w="1251"/>
        <w:gridCol w:w="1251"/>
        <w:gridCol w:w="1253"/>
        <w:gridCol w:w="1127"/>
        <w:gridCol w:w="1239"/>
        <w:gridCol w:w="1018"/>
      </w:tblGrid>
      <w:tr>
        <w:trPr>
          <w:trHeight w:val="288" w:hRule="auto"/>
          <w:jc w:val="left"/>
        </w:trPr>
        <w:tc>
          <w:tcPr>
            <w:tcW w:w="2481" w:type="dxa"/>
            <w:vMerge w:val="restart"/>
            <w:tcBorders>
              <w:top w:val="single" w:color="000000" w:sz="4"/>
              <w:left w:val="single" w:color="000000" w:sz="4"/>
              <w:bottom w:val="single" w:color="000000" w:sz="4"/>
              <w:right w:val="single" w:color="000000" w:sz="4"/>
            </w:tcBorders>
            <w:shd w:color="auto" w:fill="9cc2e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SAOBRA</w:t>
            </w:r>
            <w:r>
              <w:rPr>
                <w:rFonts w:ascii="Calibri" w:hAnsi="Calibri" w:cs="Calibri" w:eastAsia="Calibri"/>
                <w:color w:val="000000"/>
                <w:spacing w:val="0"/>
                <w:position w:val="0"/>
                <w:sz w:val="18"/>
                <w:shd w:fill="auto" w:val="clear"/>
              </w:rPr>
              <w:t xml:space="preserve">ĆAJ</w:t>
            </w:r>
          </w:p>
        </w:tc>
        <w:tc>
          <w:tcPr>
            <w:tcW w:w="3755" w:type="dxa"/>
            <w:gridSpan w:val="3"/>
            <w:tcBorders>
              <w:top w:val="single" w:color="000000" w:sz="4"/>
              <w:left w:val="single" w:color="000000" w:sz="0"/>
              <w:bottom w:val="single" w:color="000000" w:sz="4"/>
              <w:right w:val="single" w:color="000000" w:sz="4"/>
            </w:tcBorders>
            <w:shd w:color="auto" w:fill="9cc2e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POTROŠNJA ENERGIJE [MWh]</w:t>
            </w:r>
          </w:p>
        </w:tc>
        <w:tc>
          <w:tcPr>
            <w:tcW w:w="3384" w:type="dxa"/>
            <w:gridSpan w:val="3"/>
            <w:tcBorders>
              <w:top w:val="single" w:color="000000" w:sz="4"/>
              <w:left w:val="single" w:color="000000" w:sz="0"/>
              <w:bottom w:val="single" w:color="000000" w:sz="4"/>
              <w:right w:val="single" w:color="000000" w:sz="4"/>
            </w:tcBorders>
            <w:shd w:color="auto" w:fill="9cc2e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EMISIJE [tCO</w:t>
            </w:r>
            <w:r>
              <w:rPr>
                <w:rFonts w:ascii="Calibri" w:hAnsi="Calibri" w:cs="Calibri" w:eastAsia="Calibri"/>
                <w:color w:val="000000"/>
                <w:spacing w:val="0"/>
                <w:position w:val="0"/>
                <w:sz w:val="18"/>
                <w:shd w:fill="auto" w:val="clear"/>
                <w:vertAlign w:val="subscript"/>
              </w:rPr>
              <w:t xml:space="preserve">2</w:t>
            </w:r>
            <w:r>
              <w:rPr>
                <w:rFonts w:ascii="Calibri" w:hAnsi="Calibri" w:cs="Calibri" w:eastAsia="Calibri"/>
                <w:color w:val="000000"/>
                <w:spacing w:val="0"/>
                <w:position w:val="0"/>
                <w:sz w:val="18"/>
                <w:shd w:fill="auto" w:val="clear"/>
              </w:rPr>
              <w:t xml:space="preserve">]</w:t>
            </w:r>
          </w:p>
        </w:tc>
      </w:tr>
      <w:tr>
        <w:trPr>
          <w:trHeight w:val="288" w:hRule="auto"/>
          <w:jc w:val="left"/>
        </w:trPr>
        <w:tc>
          <w:tcPr>
            <w:tcW w:w="2481" w:type="dxa"/>
            <w:vMerge/>
            <w:tcBorders>
              <w:top w:val="single" w:color="000000" w:sz="4"/>
              <w:left w:val="single" w:color="000000" w:sz="4"/>
              <w:bottom w:val="single" w:color="000000" w:sz="4"/>
              <w:right w:val="single" w:color="000000" w:sz="4"/>
            </w:tcBorders>
            <w:shd w:color="auto" w:fill="9cc2e5" w:val="clear"/>
            <w:tcMar>
              <w:left w:w="108" w:type="dxa"/>
              <w:right w:w="108"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251" w:type="dxa"/>
            <w:tcBorders>
              <w:top w:val="single" w:color="000000" w:sz="0"/>
              <w:left w:val="single" w:color="000000" w:sz="0"/>
              <w:bottom w:val="single" w:color="000000" w:sz="4"/>
              <w:right w:val="single" w:color="000000" w:sz="4"/>
            </w:tcBorders>
            <w:shd w:color="auto" w:fill="9cc2e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2010. god</w:t>
            </w:r>
          </w:p>
        </w:tc>
        <w:tc>
          <w:tcPr>
            <w:tcW w:w="1251" w:type="dxa"/>
            <w:tcBorders>
              <w:top w:val="single" w:color="000000" w:sz="0"/>
              <w:left w:val="single" w:color="000000" w:sz="0"/>
              <w:bottom w:val="single" w:color="000000" w:sz="4"/>
              <w:right w:val="single" w:color="000000" w:sz="4"/>
            </w:tcBorders>
            <w:shd w:color="auto" w:fill="9cc2e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2020. god</w:t>
            </w:r>
          </w:p>
        </w:tc>
        <w:tc>
          <w:tcPr>
            <w:tcW w:w="1253" w:type="dxa"/>
            <w:tcBorders>
              <w:top w:val="single" w:color="000000" w:sz="0"/>
              <w:left w:val="single" w:color="000000" w:sz="0"/>
              <w:bottom w:val="single" w:color="000000" w:sz="4"/>
              <w:right w:val="single" w:color="000000" w:sz="4"/>
            </w:tcBorders>
            <w:shd w:color="auto" w:fill="9cc2e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2030. god</w:t>
            </w:r>
          </w:p>
        </w:tc>
        <w:tc>
          <w:tcPr>
            <w:tcW w:w="1127" w:type="dxa"/>
            <w:tcBorders>
              <w:top w:val="single" w:color="000000" w:sz="0"/>
              <w:left w:val="single" w:color="000000" w:sz="0"/>
              <w:bottom w:val="single" w:color="000000" w:sz="4"/>
              <w:right w:val="single" w:color="000000" w:sz="4"/>
            </w:tcBorders>
            <w:shd w:color="auto" w:fill="9cc2e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2010. god</w:t>
            </w:r>
          </w:p>
        </w:tc>
        <w:tc>
          <w:tcPr>
            <w:tcW w:w="1239" w:type="dxa"/>
            <w:tcBorders>
              <w:top w:val="single" w:color="000000" w:sz="0"/>
              <w:left w:val="single" w:color="000000" w:sz="0"/>
              <w:bottom w:val="single" w:color="000000" w:sz="4"/>
              <w:right w:val="single" w:color="000000" w:sz="4"/>
            </w:tcBorders>
            <w:shd w:color="auto" w:fill="9cc2e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2020. god</w:t>
            </w:r>
          </w:p>
        </w:tc>
        <w:tc>
          <w:tcPr>
            <w:tcW w:w="1018" w:type="dxa"/>
            <w:tcBorders>
              <w:top w:val="single" w:color="000000" w:sz="0"/>
              <w:left w:val="single" w:color="000000" w:sz="0"/>
              <w:bottom w:val="single" w:color="000000" w:sz="4"/>
              <w:right w:val="single" w:color="000000" w:sz="4"/>
            </w:tcBorders>
            <w:shd w:color="auto" w:fill="9cc2e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2030. god</w:t>
            </w:r>
          </w:p>
        </w:tc>
      </w:tr>
      <w:tr>
        <w:trPr>
          <w:trHeight w:val="288" w:hRule="auto"/>
          <w:jc w:val="left"/>
        </w:trPr>
        <w:tc>
          <w:tcPr>
            <w:tcW w:w="2481" w:type="dxa"/>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Scenario bez dodatnih mjera</w:t>
            </w:r>
          </w:p>
        </w:tc>
        <w:tc>
          <w:tcPr>
            <w:tcW w:w="1251" w:type="dxa"/>
            <w:tcBorders>
              <w:top w:val="single" w:color="000000" w:sz="0"/>
              <w:left w:val="single" w:color="000000" w:sz="0"/>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34.177,95</w:t>
            </w:r>
          </w:p>
        </w:tc>
        <w:tc>
          <w:tcPr>
            <w:tcW w:w="1251" w:type="dxa"/>
            <w:tcBorders>
              <w:top w:val="single" w:color="000000" w:sz="0"/>
              <w:left w:val="single" w:color="000000" w:sz="0"/>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29.334,06</w:t>
            </w:r>
          </w:p>
        </w:tc>
        <w:tc>
          <w:tcPr>
            <w:tcW w:w="1253" w:type="dxa"/>
            <w:tcBorders>
              <w:top w:val="single" w:color="000000" w:sz="0"/>
              <w:left w:val="single" w:color="000000" w:sz="0"/>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28.219,86</w:t>
            </w:r>
          </w:p>
        </w:tc>
        <w:tc>
          <w:tcPr>
            <w:tcW w:w="1127" w:type="dxa"/>
            <w:tcBorders>
              <w:top w:val="single" w:color="000000" w:sz="0"/>
              <w:left w:val="single" w:color="000000" w:sz="0"/>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8.925,39</w:t>
            </w:r>
          </w:p>
        </w:tc>
        <w:tc>
          <w:tcPr>
            <w:tcW w:w="1239" w:type="dxa"/>
            <w:tcBorders>
              <w:top w:val="single" w:color="000000" w:sz="0"/>
              <w:left w:val="single" w:color="000000" w:sz="0"/>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7.731,01</w:t>
            </w:r>
          </w:p>
        </w:tc>
        <w:tc>
          <w:tcPr>
            <w:tcW w:w="1018" w:type="dxa"/>
            <w:tcBorders>
              <w:top w:val="single" w:color="000000" w:sz="0"/>
              <w:left w:val="single" w:color="000000" w:sz="0"/>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7.454,07 </w:t>
            </w:r>
          </w:p>
        </w:tc>
      </w:tr>
    </w:tbl>
    <w:p>
      <w:pPr>
        <w:spacing w:before="60" w:after="160" w:line="240"/>
        <w:ind w:right="0" w:left="0" w:firstLine="0"/>
        <w:jc w:val="center"/>
        <w:rPr>
          <w:rFonts w:ascii="Calibri" w:hAnsi="Calibri" w:cs="Calibri" w:eastAsia="Calibri"/>
          <w:color w:val="auto"/>
          <w:spacing w:val="0"/>
          <w:position w:val="0"/>
          <w:sz w:val="18"/>
          <w:shd w:fill="FFFF00" w:val="clear"/>
        </w:rPr>
      </w:pPr>
      <w:r>
        <w:rPr>
          <w:rFonts w:ascii="Calibri" w:hAnsi="Calibri" w:cs="Calibri" w:eastAsia="Calibri"/>
          <w:color w:val="auto"/>
          <w:spacing w:val="0"/>
          <w:position w:val="0"/>
          <w:sz w:val="18"/>
          <w:shd w:fill="auto" w:val="clear"/>
        </w:rPr>
        <w:t xml:space="preserve">Tabela 554: Projekcija godišnje potrošnje energije i emisija CO</w:t>
      </w:r>
      <w:r>
        <w:rPr>
          <w:rFonts w:ascii="Calibri" w:hAnsi="Calibri" w:cs="Calibri" w:eastAsia="Calibri"/>
          <w:color w:val="auto"/>
          <w:spacing w:val="0"/>
          <w:position w:val="0"/>
          <w:sz w:val="18"/>
          <w:shd w:fill="auto" w:val="clear"/>
          <w:vertAlign w:val="subscript"/>
        </w:rPr>
        <w:t xml:space="preserve">2</w:t>
      </w:r>
      <w:r>
        <w:rPr>
          <w:rFonts w:ascii="Calibri" w:hAnsi="Calibri" w:cs="Calibri" w:eastAsia="Calibri"/>
          <w:color w:val="auto"/>
          <w:spacing w:val="0"/>
          <w:position w:val="0"/>
          <w:sz w:val="18"/>
          <w:shd w:fill="auto" w:val="clear"/>
        </w:rPr>
        <w:t xml:space="preserve"> do 2030. godine u sektoru saobra</w:t>
      </w:r>
      <w:r>
        <w:rPr>
          <w:rFonts w:ascii="Calibri" w:hAnsi="Calibri" w:cs="Calibri" w:eastAsia="Calibri"/>
          <w:color w:val="auto"/>
          <w:spacing w:val="0"/>
          <w:position w:val="0"/>
          <w:sz w:val="18"/>
          <w:shd w:fill="auto" w:val="clear"/>
        </w:rPr>
        <w:t xml:space="preserve">ćaja za scenario bez dodatnih mjera Općine</w:t>
      </w:r>
    </w:p>
    <w:p>
      <w:pPr>
        <w:keepNext w:val="true"/>
        <w:keepLines w:val="true"/>
        <w:numPr>
          <w:ilvl w:val="0"/>
          <w:numId w:val="2319"/>
        </w:numPr>
        <w:spacing w:before="120" w:after="0" w:line="240"/>
        <w:ind w:right="0" w:left="720" w:hanging="72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Projekcija emisija CO</w:t>
      </w:r>
      <w:r>
        <w:rPr>
          <w:rFonts w:ascii="Calibri" w:hAnsi="Calibri" w:cs="Calibri" w:eastAsia="Calibri"/>
          <w:b/>
          <w:color w:val="auto"/>
          <w:spacing w:val="0"/>
          <w:position w:val="0"/>
          <w:sz w:val="24"/>
          <w:shd w:fill="auto" w:val="clear"/>
          <w:vertAlign w:val="subscript"/>
        </w:rPr>
        <w:t xml:space="preserve">2</w:t>
      </w:r>
      <w:r>
        <w:rPr>
          <w:rFonts w:ascii="Calibri" w:hAnsi="Calibri" w:cs="Calibri" w:eastAsia="Calibri"/>
          <w:b/>
          <w:color w:val="auto"/>
          <w:spacing w:val="0"/>
          <w:position w:val="0"/>
          <w:sz w:val="24"/>
          <w:shd w:fill="auto" w:val="clear"/>
        </w:rPr>
        <w:t xml:space="preserve"> za sektor javne rasvjete do 2030. godine</w:t>
      </w:r>
    </w:p>
    <w:p>
      <w:pPr>
        <w:spacing w:before="60" w:after="12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Sistem javne rasvjete u op</w:t>
      </w:r>
      <w:r>
        <w:rPr>
          <w:rFonts w:ascii="Calibri" w:hAnsi="Calibri" w:cs="Calibri" w:eastAsia="Calibri"/>
          <w:color w:val="auto"/>
          <w:spacing w:val="0"/>
          <w:position w:val="0"/>
          <w:sz w:val="20"/>
          <w:shd w:fill="auto" w:val="clear"/>
        </w:rPr>
        <w:t xml:space="preserve">ćini Doboj Istok uključuje 1.300 svjetiljki, pri čemu u strukturi izvora svjetla sa 88% dominiraju izvori svjetla na bazi električnog pražnjenja (natrijevi, živini i metal-halogeni izvori). Navedene svjetiljke su opremljene niskoefikasnim elektromagnetnim predspojnim uređajima. Učešće nešto efikasnijih fluokompakt izvora u ukupnom broju svjetiljki je 10%, a svjetiljke bazirane na energetski visokoefikasnim LED izvorima svjetla u ukupnom broju učestvuju sa tek oko 2%. S obzirom na kretanje ukupnog broja svjetiljki i potrošnje električne energije u javnoj rasvjeti u periodu od 2010. do 2020. godine, kad je zabilježen ukupni porast potrošnje energije po stopi od 1,45% godišnje, modelirani proračun je vršen uzimajući u obzir trenutni stepen pokrivenosti teritorije općine javnom rasvjetom (cca 80%), te stratešku projekciju povećanja broja svjetiljki usljed širenja mreže sa sadašnjih 1.300 svjetiljki na 1.436 u 2030. godini (1% godišnje za period 2020-2030). Rezultati proračuna su prikazani u narednoj tabeli.</w:t>
      </w:r>
    </w:p>
    <w:tbl>
      <w:tblPr/>
      <w:tblGrid>
        <w:gridCol w:w="2388"/>
        <w:gridCol w:w="1424"/>
        <w:gridCol w:w="1281"/>
        <w:gridCol w:w="1139"/>
        <w:gridCol w:w="1139"/>
        <w:gridCol w:w="1141"/>
        <w:gridCol w:w="1108"/>
      </w:tblGrid>
      <w:tr>
        <w:trPr>
          <w:trHeight w:val="315" w:hRule="auto"/>
          <w:jc w:val="left"/>
        </w:trPr>
        <w:tc>
          <w:tcPr>
            <w:tcW w:w="2388" w:type="dxa"/>
            <w:vMerge w:val="restart"/>
            <w:tcBorders>
              <w:top w:val="single" w:color="000000" w:sz="8"/>
              <w:left w:val="single" w:color="000000" w:sz="8"/>
              <w:bottom w:val="single" w:color="000000" w:sz="8"/>
              <w:right w:val="single" w:color="000000" w:sz="8"/>
            </w:tcBorders>
            <w:shd w:color="000000" w:fill="9cc2e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JAVNA RASVJETA</w:t>
            </w:r>
          </w:p>
        </w:tc>
        <w:tc>
          <w:tcPr>
            <w:tcW w:w="3844" w:type="dxa"/>
            <w:gridSpan w:val="3"/>
            <w:tcBorders>
              <w:top w:val="single" w:color="000000" w:sz="8"/>
              <w:left w:val="single" w:color="000000" w:sz="0"/>
              <w:bottom w:val="single" w:color="000000" w:sz="8"/>
              <w:right w:val="single" w:color="000000" w:sz="8"/>
            </w:tcBorders>
            <w:shd w:color="000000" w:fill="9cc2e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POTROŠNJA ENERGIJE [MWh]</w:t>
            </w:r>
          </w:p>
        </w:tc>
        <w:tc>
          <w:tcPr>
            <w:tcW w:w="3388" w:type="dxa"/>
            <w:gridSpan w:val="3"/>
            <w:tcBorders>
              <w:top w:val="single" w:color="000000" w:sz="8"/>
              <w:left w:val="single" w:color="000000" w:sz="0"/>
              <w:bottom w:val="single" w:color="000000" w:sz="8"/>
              <w:right w:val="single" w:color="000000" w:sz="8"/>
            </w:tcBorders>
            <w:shd w:color="000000" w:fill="9cc2e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EMISIJE [tCO</w:t>
            </w:r>
            <w:r>
              <w:rPr>
                <w:rFonts w:ascii="Calibri" w:hAnsi="Calibri" w:cs="Calibri" w:eastAsia="Calibri"/>
                <w:color w:val="000000"/>
                <w:spacing w:val="0"/>
                <w:position w:val="0"/>
                <w:sz w:val="18"/>
                <w:shd w:fill="auto" w:val="clear"/>
                <w:vertAlign w:val="subscript"/>
              </w:rPr>
              <w:t xml:space="preserve">2</w:t>
            </w:r>
            <w:r>
              <w:rPr>
                <w:rFonts w:ascii="Calibri" w:hAnsi="Calibri" w:cs="Calibri" w:eastAsia="Calibri"/>
                <w:color w:val="000000"/>
                <w:spacing w:val="0"/>
                <w:position w:val="0"/>
                <w:sz w:val="18"/>
                <w:shd w:fill="auto" w:val="clear"/>
              </w:rPr>
              <w:t xml:space="preserve">]</w:t>
            </w:r>
          </w:p>
        </w:tc>
      </w:tr>
      <w:tr>
        <w:trPr>
          <w:trHeight w:val="495" w:hRule="auto"/>
          <w:jc w:val="left"/>
        </w:trPr>
        <w:tc>
          <w:tcPr>
            <w:tcW w:w="2388" w:type="dxa"/>
            <w:vMerge/>
            <w:tcBorders>
              <w:top w:val="single" w:color="000000" w:sz="8"/>
              <w:left w:val="single" w:color="000000" w:sz="8"/>
              <w:bottom w:val="single" w:color="000000" w:sz="8"/>
              <w:right w:val="single" w:color="000000" w:sz="8"/>
            </w:tcBorders>
            <w:shd w:color="000000" w:fill="ffffff" w:val="clear"/>
            <w:tcMar>
              <w:left w:w="108" w:type="dxa"/>
              <w:right w:w="108"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424" w:type="dxa"/>
            <w:tcBorders>
              <w:top w:val="single" w:color="000000" w:sz="0"/>
              <w:left w:val="single" w:color="000000" w:sz="0"/>
              <w:bottom w:val="single" w:color="000000" w:sz="8"/>
              <w:right w:val="single" w:color="000000" w:sz="8"/>
            </w:tcBorders>
            <w:shd w:color="auto" w:fill="9cc2e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2010. god</w:t>
            </w:r>
          </w:p>
        </w:tc>
        <w:tc>
          <w:tcPr>
            <w:tcW w:w="1281" w:type="dxa"/>
            <w:tcBorders>
              <w:top w:val="single" w:color="000000" w:sz="0"/>
              <w:left w:val="single" w:color="000000" w:sz="0"/>
              <w:bottom w:val="single" w:color="000000" w:sz="8"/>
              <w:right w:val="single" w:color="000000" w:sz="8"/>
            </w:tcBorders>
            <w:shd w:color="000000" w:fill="9cc2e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2020. god.</w:t>
            </w:r>
          </w:p>
        </w:tc>
        <w:tc>
          <w:tcPr>
            <w:tcW w:w="1139" w:type="dxa"/>
            <w:tcBorders>
              <w:top w:val="single" w:color="000000" w:sz="0"/>
              <w:left w:val="single" w:color="000000" w:sz="0"/>
              <w:bottom w:val="single" w:color="000000" w:sz="8"/>
              <w:right w:val="single" w:color="000000" w:sz="8"/>
            </w:tcBorders>
            <w:shd w:color="000000" w:fill="9cc2e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2030. god.</w:t>
            </w:r>
          </w:p>
        </w:tc>
        <w:tc>
          <w:tcPr>
            <w:tcW w:w="1139" w:type="dxa"/>
            <w:tcBorders>
              <w:top w:val="single" w:color="000000" w:sz="0"/>
              <w:left w:val="single" w:color="000000" w:sz="0"/>
              <w:bottom w:val="single" w:color="000000" w:sz="8"/>
              <w:right w:val="single" w:color="000000" w:sz="8"/>
            </w:tcBorders>
            <w:shd w:color="auto" w:fill="9cc2e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2010. god</w:t>
            </w:r>
          </w:p>
        </w:tc>
        <w:tc>
          <w:tcPr>
            <w:tcW w:w="1141" w:type="dxa"/>
            <w:tcBorders>
              <w:top w:val="single" w:color="000000" w:sz="0"/>
              <w:left w:val="single" w:color="000000" w:sz="0"/>
              <w:bottom w:val="single" w:color="000000" w:sz="8"/>
              <w:right w:val="single" w:color="000000" w:sz="8"/>
            </w:tcBorders>
            <w:shd w:color="000000" w:fill="9cc2e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2020. god.</w:t>
            </w:r>
          </w:p>
        </w:tc>
        <w:tc>
          <w:tcPr>
            <w:tcW w:w="1108" w:type="dxa"/>
            <w:tcBorders>
              <w:top w:val="single" w:color="000000" w:sz="0"/>
              <w:left w:val="single" w:color="000000" w:sz="0"/>
              <w:bottom w:val="single" w:color="000000" w:sz="8"/>
              <w:right w:val="single" w:color="000000" w:sz="8"/>
            </w:tcBorders>
            <w:shd w:color="000000" w:fill="9cc2e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2030. god.</w:t>
            </w:r>
          </w:p>
        </w:tc>
      </w:tr>
      <w:tr>
        <w:trPr>
          <w:trHeight w:val="315" w:hRule="auto"/>
          <w:jc w:val="left"/>
        </w:trPr>
        <w:tc>
          <w:tcPr>
            <w:tcW w:w="2388" w:type="dxa"/>
            <w:tcBorders>
              <w:top w:val="single" w:color="000000" w:sz="0"/>
              <w:left w:val="single" w:color="000000" w:sz="8"/>
              <w:bottom w:val="single" w:color="000000" w:sz="8"/>
              <w:right w:val="single" w:color="000000" w:sz="8"/>
            </w:tcBorders>
            <w:shd w:color="000000" w:fill="ffffff"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Scenario bez dodatnih mjera</w:t>
            </w:r>
          </w:p>
        </w:tc>
        <w:tc>
          <w:tcPr>
            <w:tcW w:w="14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549,70</w:t>
            </w:r>
          </w:p>
        </w:tc>
        <w:tc>
          <w:tcPr>
            <w:tcW w:w="12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629,50</w:t>
            </w:r>
          </w:p>
        </w:tc>
        <w:tc>
          <w:tcPr>
            <w:tcW w:w="11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730,67</w:t>
            </w:r>
          </w:p>
        </w:tc>
        <w:tc>
          <w:tcPr>
            <w:tcW w:w="113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417,77</w:t>
            </w:r>
          </w:p>
        </w:tc>
        <w:tc>
          <w:tcPr>
            <w:tcW w:w="11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478,42</w:t>
            </w:r>
          </w:p>
        </w:tc>
        <w:tc>
          <w:tcPr>
            <w:tcW w:w="110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555,30</w:t>
            </w:r>
          </w:p>
        </w:tc>
      </w:tr>
    </w:tbl>
    <w:p>
      <w:pPr>
        <w:spacing w:before="60" w:after="200" w:line="240"/>
        <w:ind w:right="0" w:left="0" w:firstLine="0"/>
        <w:jc w:val="center"/>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Tabela 555</w:t>
      </w:r>
      <w:r>
        <w:rPr>
          <w:rFonts w:ascii="Calibri" w:hAnsi="Calibri" w:cs="Calibri" w:eastAsia="Calibri"/>
          <w:b/>
          <w:color w:val="auto"/>
          <w:spacing w:val="0"/>
          <w:position w:val="0"/>
          <w:sz w:val="18"/>
          <w:shd w:fill="auto" w:val="clear"/>
        </w:rPr>
        <w:t xml:space="preserve">: </w:t>
      </w:r>
      <w:r>
        <w:rPr>
          <w:rFonts w:ascii="Calibri" w:hAnsi="Calibri" w:cs="Calibri" w:eastAsia="Calibri"/>
          <w:color w:val="auto"/>
          <w:spacing w:val="0"/>
          <w:position w:val="0"/>
          <w:sz w:val="18"/>
          <w:shd w:fill="auto" w:val="clear"/>
        </w:rPr>
        <w:t xml:space="preserve"> Projekcija godišnje potrošnje energije i emisija CO</w:t>
      </w:r>
      <w:r>
        <w:rPr>
          <w:rFonts w:ascii="Calibri" w:hAnsi="Calibri" w:cs="Calibri" w:eastAsia="Calibri"/>
          <w:color w:val="auto"/>
          <w:spacing w:val="0"/>
          <w:position w:val="0"/>
          <w:sz w:val="18"/>
          <w:shd w:fill="auto" w:val="clear"/>
          <w:vertAlign w:val="subscript"/>
        </w:rPr>
        <w:t xml:space="preserve">2</w:t>
      </w:r>
      <w:r>
        <w:rPr>
          <w:rFonts w:ascii="Calibri" w:hAnsi="Calibri" w:cs="Calibri" w:eastAsia="Calibri"/>
          <w:color w:val="auto"/>
          <w:spacing w:val="0"/>
          <w:position w:val="0"/>
          <w:sz w:val="18"/>
          <w:shd w:fill="auto" w:val="clear"/>
        </w:rPr>
        <w:t xml:space="preserve"> do 2030. godine u sektoru javne rasvjete za scenario bez</w:t>
      </w:r>
      <w:r>
        <w:rPr>
          <w:rFonts w:ascii="Calibri" w:hAnsi="Calibri" w:cs="Calibri" w:eastAsia="Calibri"/>
          <w:b/>
          <w:color w:val="auto"/>
          <w:spacing w:val="0"/>
          <w:position w:val="0"/>
          <w:sz w:val="18"/>
          <w:shd w:fill="auto" w:val="clear"/>
        </w:rPr>
        <w:t xml:space="preserve"> </w:t>
      </w:r>
      <w:r>
        <w:rPr>
          <w:rFonts w:ascii="Calibri" w:hAnsi="Calibri" w:cs="Calibri" w:eastAsia="Calibri"/>
          <w:color w:val="auto"/>
          <w:spacing w:val="0"/>
          <w:position w:val="0"/>
          <w:sz w:val="18"/>
          <w:shd w:fill="auto" w:val="clear"/>
        </w:rPr>
        <w:t xml:space="preserve">dodatnih mjera Op</w:t>
      </w:r>
      <w:r>
        <w:rPr>
          <w:rFonts w:ascii="Calibri" w:hAnsi="Calibri" w:cs="Calibri" w:eastAsia="Calibri"/>
          <w:color w:val="auto"/>
          <w:spacing w:val="0"/>
          <w:position w:val="0"/>
          <w:sz w:val="18"/>
          <w:shd w:fill="auto" w:val="clear"/>
        </w:rPr>
        <w:t xml:space="preserve">ćine</w:t>
      </w:r>
    </w:p>
    <w:p>
      <w:pPr>
        <w:spacing w:before="60" w:after="12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Projekcija potrošnje elektri</w:t>
      </w:r>
      <w:r>
        <w:rPr>
          <w:rFonts w:ascii="Calibri" w:hAnsi="Calibri" w:cs="Calibri" w:eastAsia="Calibri"/>
          <w:color w:val="auto"/>
          <w:spacing w:val="0"/>
          <w:position w:val="0"/>
          <w:sz w:val="20"/>
          <w:shd w:fill="auto" w:val="clear"/>
        </w:rPr>
        <w:t xml:space="preserve">čne energije u 2030. godini za scenario bez poduzimanja mjera, ali uključujući rast broja svjetiljki, odnosno nastavak dodadašnjeg trenda rasta potrošnje, je 730,67 MWh/godišnje, što daje godišnje emisije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u visini od 555,30 tCO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w:t>
      </w:r>
    </w:p>
    <w:p>
      <w:pPr>
        <w:keepNext w:val="true"/>
        <w:keepLines w:val="true"/>
        <w:numPr>
          <w:ilvl w:val="0"/>
          <w:numId w:val="2334"/>
        </w:numPr>
        <w:spacing w:before="120" w:after="0" w:line="240"/>
        <w:ind w:right="0" w:left="720" w:hanging="72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Projekcija emisija CO</w:t>
      </w:r>
      <w:r>
        <w:rPr>
          <w:rFonts w:ascii="Calibri" w:hAnsi="Calibri" w:cs="Calibri" w:eastAsia="Calibri"/>
          <w:b/>
          <w:color w:val="auto"/>
          <w:spacing w:val="0"/>
          <w:position w:val="0"/>
          <w:sz w:val="24"/>
          <w:shd w:fill="auto" w:val="clear"/>
          <w:vertAlign w:val="subscript"/>
        </w:rPr>
        <w:t xml:space="preserve">2</w:t>
      </w:r>
      <w:r>
        <w:rPr>
          <w:rFonts w:ascii="Calibri" w:hAnsi="Calibri" w:cs="Calibri" w:eastAsia="Calibri"/>
          <w:b/>
          <w:color w:val="auto"/>
          <w:spacing w:val="0"/>
          <w:position w:val="0"/>
          <w:sz w:val="24"/>
          <w:shd w:fill="auto" w:val="clear"/>
        </w:rPr>
        <w:t xml:space="preserve"> za sektor vodosnabdijevanja do 2030. godine</w:t>
      </w:r>
    </w:p>
    <w:p>
      <w:pPr>
        <w:spacing w:before="60" w:after="12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Sistem vodosnabdijevanja op</w:t>
      </w:r>
      <w:r>
        <w:rPr>
          <w:rFonts w:ascii="Calibri" w:hAnsi="Calibri" w:cs="Calibri" w:eastAsia="Calibri"/>
          <w:color w:val="auto"/>
          <w:spacing w:val="0"/>
          <w:position w:val="0"/>
          <w:sz w:val="20"/>
          <w:shd w:fill="auto" w:val="clear"/>
        </w:rPr>
        <w:t xml:space="preserve">ćine Doboj Istok uključuje 4 zasebno odvojena sistema vodosnabdijevanja kojima upravlja JKP „Čisto“ Doboj Istok. Svaki od pomenutih sistema se napaja iz vlastitog izvorišta, a ukupna dužina primarne mreže sva 4 sistema je 13,29 km,  dok je ukupna dužina sekundarne mreže 60,28 km. Ukupna količina zahvaćene vode je 408.442 m</w:t>
      </w:r>
      <w:r>
        <w:rPr>
          <w:rFonts w:ascii="Calibri" w:hAnsi="Calibri" w:cs="Calibri" w:eastAsia="Calibri"/>
          <w:color w:val="auto"/>
          <w:spacing w:val="0"/>
          <w:position w:val="0"/>
          <w:sz w:val="20"/>
          <w:shd w:fill="auto" w:val="clear"/>
          <w:vertAlign w:val="superscript"/>
        </w:rPr>
        <w:t xml:space="preserve">3</w:t>
      </w:r>
      <w:r>
        <w:rPr>
          <w:rFonts w:ascii="Calibri" w:hAnsi="Calibri" w:cs="Calibri" w:eastAsia="Calibri"/>
          <w:color w:val="auto"/>
          <w:spacing w:val="0"/>
          <w:position w:val="0"/>
          <w:sz w:val="20"/>
          <w:shd w:fill="auto" w:val="clear"/>
        </w:rPr>
        <w:t xml:space="preserve">, dok je količina isporučene vode 301.065 m</w:t>
      </w:r>
      <w:r>
        <w:rPr>
          <w:rFonts w:ascii="Calibri" w:hAnsi="Calibri" w:cs="Calibri" w:eastAsia="Calibri"/>
          <w:color w:val="auto"/>
          <w:spacing w:val="0"/>
          <w:position w:val="0"/>
          <w:sz w:val="20"/>
          <w:shd w:fill="auto" w:val="clear"/>
          <w:vertAlign w:val="superscript"/>
        </w:rPr>
        <w:t xml:space="preserve">3</w:t>
      </w:r>
      <w:r>
        <w:rPr>
          <w:rFonts w:ascii="Calibri" w:hAnsi="Calibri" w:cs="Calibri" w:eastAsia="Calibri"/>
          <w:color w:val="auto"/>
          <w:spacing w:val="0"/>
          <w:position w:val="0"/>
          <w:sz w:val="20"/>
          <w:shd w:fill="auto" w:val="clear"/>
        </w:rPr>
        <w:t xml:space="preserve">, pa gubici u mreži iznose 26,3%. Ukupna snaga pumpi u funkciji je 110,5 kW, a niti jedna od njih nije opremljena naprednim sistemima upravljanja i regulacije protoka (frekventnim regulatorima) iako se upravljanje radom pumpi djelimično ostvaruje SCADA sistemom. Modelirani proračun emisija za scenario bez poduzimanja ikakvih mjera je vršen uzimajući u obzir trenutni broj priključaka (2.750), trenutni stepen pokrivenosti ukupne teritorije općine Doboj Istok sistemom javnog vodosnabdijevanja od oko 90%, te stratešku projekciju potrebnog rasta broja  priključaka za naredni period od prosječno 0,5% godišnje (cca 14 priključaka/godišnje). Osim toga, uzet je u obzir i nastavak dosadašnjeg trenda blagog rasta potrošnje uzrokovanog rastom životnog standarda od 0,3% godišnje, ali i trend smanjenja gubitaka u mreži zabilježen u proteklih 5 godina, koji ujedno znači i smanjenje potrebnih količina vode na vodozahvatu, odnosno smanjenje količina energije koju pumpe troše za prepumpavanje vode. Rezultati ovog proračuna su prikazani u narednoj tabeli.</w:t>
      </w:r>
    </w:p>
    <w:tbl>
      <w:tblPr/>
      <w:tblGrid>
        <w:gridCol w:w="2389"/>
        <w:gridCol w:w="1281"/>
        <w:gridCol w:w="1281"/>
        <w:gridCol w:w="1079"/>
        <w:gridCol w:w="1345"/>
        <w:gridCol w:w="1137"/>
        <w:gridCol w:w="1108"/>
      </w:tblGrid>
      <w:tr>
        <w:trPr>
          <w:trHeight w:val="315" w:hRule="auto"/>
          <w:jc w:val="left"/>
        </w:trPr>
        <w:tc>
          <w:tcPr>
            <w:tcW w:w="2389" w:type="dxa"/>
            <w:vMerge w:val="restart"/>
            <w:tcBorders>
              <w:top w:val="single" w:color="000000" w:sz="8"/>
              <w:left w:val="single" w:color="000000" w:sz="8"/>
              <w:bottom w:val="single" w:color="000000" w:sz="8"/>
              <w:right w:val="single" w:color="000000" w:sz="8"/>
            </w:tcBorders>
            <w:shd w:color="000000" w:fill="9cc2e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b/>
                <w:color w:val="000000"/>
                <w:spacing w:val="0"/>
                <w:position w:val="0"/>
                <w:sz w:val="18"/>
                <w:shd w:fill="auto" w:val="clear"/>
              </w:rPr>
              <w:t xml:space="preserve">VODOSNABDIJEVANJE</w:t>
            </w:r>
          </w:p>
        </w:tc>
        <w:tc>
          <w:tcPr>
            <w:tcW w:w="3641" w:type="dxa"/>
            <w:gridSpan w:val="3"/>
            <w:tcBorders>
              <w:top w:val="single" w:color="000000" w:sz="8"/>
              <w:left w:val="single" w:color="000000" w:sz="0"/>
              <w:bottom w:val="single" w:color="000000" w:sz="8"/>
              <w:right w:val="single" w:color="000000" w:sz="8"/>
            </w:tcBorders>
            <w:shd w:color="000000" w:fill="9cc2e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b/>
                <w:color w:val="000000"/>
                <w:spacing w:val="0"/>
                <w:position w:val="0"/>
                <w:sz w:val="18"/>
                <w:shd w:fill="auto" w:val="clear"/>
              </w:rPr>
              <w:t xml:space="preserve">POTROŠNJA ENERGIJE [MWh]</w:t>
            </w:r>
          </w:p>
        </w:tc>
        <w:tc>
          <w:tcPr>
            <w:tcW w:w="3590" w:type="dxa"/>
            <w:gridSpan w:val="3"/>
            <w:tcBorders>
              <w:top w:val="single" w:color="000000" w:sz="8"/>
              <w:left w:val="single" w:color="000000" w:sz="0"/>
              <w:bottom w:val="single" w:color="000000" w:sz="8"/>
              <w:right w:val="single" w:color="000000" w:sz="8"/>
            </w:tcBorders>
            <w:shd w:color="000000" w:fill="9cc2e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b/>
                <w:color w:val="000000"/>
                <w:spacing w:val="0"/>
                <w:position w:val="0"/>
                <w:sz w:val="18"/>
                <w:shd w:fill="auto" w:val="clear"/>
              </w:rPr>
              <w:t xml:space="preserve">EMISIJE [tCO</w:t>
            </w:r>
            <w:r>
              <w:rPr>
                <w:rFonts w:ascii="Calibri" w:hAnsi="Calibri" w:cs="Calibri" w:eastAsia="Calibri"/>
                <w:b/>
                <w:color w:val="000000"/>
                <w:spacing w:val="0"/>
                <w:position w:val="0"/>
                <w:sz w:val="18"/>
                <w:shd w:fill="auto" w:val="clear"/>
                <w:vertAlign w:val="subscript"/>
              </w:rPr>
              <w:t xml:space="preserve">2</w:t>
            </w:r>
            <w:r>
              <w:rPr>
                <w:rFonts w:ascii="Calibri" w:hAnsi="Calibri" w:cs="Calibri" w:eastAsia="Calibri"/>
                <w:b/>
                <w:color w:val="000000"/>
                <w:spacing w:val="0"/>
                <w:position w:val="0"/>
                <w:sz w:val="18"/>
                <w:shd w:fill="auto" w:val="clear"/>
              </w:rPr>
              <w:t xml:space="preserve">]</w:t>
            </w:r>
          </w:p>
        </w:tc>
      </w:tr>
      <w:tr>
        <w:trPr>
          <w:trHeight w:val="495" w:hRule="auto"/>
          <w:jc w:val="left"/>
        </w:trPr>
        <w:tc>
          <w:tcPr>
            <w:tcW w:w="2389" w:type="dxa"/>
            <w:vMerge/>
            <w:tcBorders>
              <w:top w:val="single" w:color="000000" w:sz="8"/>
              <w:left w:val="single" w:color="000000" w:sz="8"/>
              <w:bottom w:val="single" w:color="000000" w:sz="8"/>
              <w:right w:val="single" w:color="000000" w:sz="8"/>
            </w:tcBorders>
            <w:shd w:color="000000" w:fill="ffffff" w:val="clear"/>
            <w:tcMar>
              <w:left w:w="108" w:type="dxa"/>
              <w:right w:w="108"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281" w:type="dxa"/>
            <w:tcBorders>
              <w:top w:val="single" w:color="000000" w:sz="0"/>
              <w:left w:val="single" w:color="000000" w:sz="0"/>
              <w:bottom w:val="single" w:color="000000" w:sz="8"/>
              <w:right w:val="single" w:color="000000" w:sz="8"/>
            </w:tcBorders>
            <w:shd w:color="auto" w:fill="9cc2e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b/>
                <w:color w:val="000000"/>
                <w:spacing w:val="0"/>
                <w:position w:val="0"/>
                <w:sz w:val="18"/>
                <w:shd w:fill="auto" w:val="clear"/>
              </w:rPr>
              <w:t xml:space="preserve">2010. god</w:t>
            </w:r>
          </w:p>
        </w:tc>
        <w:tc>
          <w:tcPr>
            <w:tcW w:w="1281" w:type="dxa"/>
            <w:tcBorders>
              <w:top w:val="single" w:color="000000" w:sz="0"/>
              <w:left w:val="single" w:color="000000" w:sz="0"/>
              <w:bottom w:val="single" w:color="000000" w:sz="8"/>
              <w:right w:val="single" w:color="000000" w:sz="8"/>
            </w:tcBorders>
            <w:shd w:color="000000" w:fill="9cc2e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b/>
                <w:color w:val="000000"/>
                <w:spacing w:val="0"/>
                <w:position w:val="0"/>
                <w:sz w:val="18"/>
                <w:shd w:fill="auto" w:val="clear"/>
              </w:rPr>
              <w:t xml:space="preserve">2020. god.</w:t>
            </w:r>
          </w:p>
        </w:tc>
        <w:tc>
          <w:tcPr>
            <w:tcW w:w="1079" w:type="dxa"/>
            <w:tcBorders>
              <w:top w:val="single" w:color="000000" w:sz="0"/>
              <w:left w:val="single" w:color="000000" w:sz="0"/>
              <w:bottom w:val="single" w:color="000000" w:sz="8"/>
              <w:right w:val="single" w:color="000000" w:sz="8"/>
            </w:tcBorders>
            <w:shd w:color="000000" w:fill="9cc2e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b/>
                <w:color w:val="000000"/>
                <w:spacing w:val="0"/>
                <w:position w:val="0"/>
                <w:sz w:val="18"/>
                <w:shd w:fill="auto" w:val="clear"/>
              </w:rPr>
              <w:t xml:space="preserve">2030. god.</w:t>
            </w:r>
          </w:p>
        </w:tc>
        <w:tc>
          <w:tcPr>
            <w:tcW w:w="1345" w:type="dxa"/>
            <w:tcBorders>
              <w:top w:val="single" w:color="000000" w:sz="0"/>
              <w:left w:val="single" w:color="000000" w:sz="0"/>
              <w:bottom w:val="single" w:color="000000" w:sz="8"/>
              <w:right w:val="single" w:color="000000" w:sz="8"/>
            </w:tcBorders>
            <w:shd w:color="auto" w:fill="9cc2e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b/>
                <w:color w:val="000000"/>
                <w:spacing w:val="0"/>
                <w:position w:val="0"/>
                <w:sz w:val="18"/>
                <w:shd w:fill="auto" w:val="clear"/>
              </w:rPr>
              <w:t xml:space="preserve">2010. god</w:t>
            </w:r>
          </w:p>
        </w:tc>
        <w:tc>
          <w:tcPr>
            <w:tcW w:w="1137" w:type="dxa"/>
            <w:tcBorders>
              <w:top w:val="single" w:color="000000" w:sz="0"/>
              <w:left w:val="single" w:color="000000" w:sz="0"/>
              <w:bottom w:val="single" w:color="000000" w:sz="8"/>
              <w:right w:val="single" w:color="000000" w:sz="8"/>
            </w:tcBorders>
            <w:shd w:color="000000" w:fill="9cc2e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b/>
                <w:color w:val="000000"/>
                <w:spacing w:val="0"/>
                <w:position w:val="0"/>
                <w:sz w:val="18"/>
                <w:shd w:fill="auto" w:val="clear"/>
              </w:rPr>
              <w:t xml:space="preserve">2020. god.</w:t>
            </w:r>
          </w:p>
        </w:tc>
        <w:tc>
          <w:tcPr>
            <w:tcW w:w="1108" w:type="dxa"/>
            <w:tcBorders>
              <w:top w:val="single" w:color="000000" w:sz="0"/>
              <w:left w:val="single" w:color="000000" w:sz="0"/>
              <w:bottom w:val="single" w:color="000000" w:sz="8"/>
              <w:right w:val="single" w:color="000000" w:sz="8"/>
            </w:tcBorders>
            <w:shd w:color="000000" w:fill="9cc2e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b/>
                <w:color w:val="000000"/>
                <w:spacing w:val="0"/>
                <w:position w:val="0"/>
                <w:sz w:val="18"/>
                <w:shd w:fill="auto" w:val="clear"/>
              </w:rPr>
              <w:t xml:space="preserve">2030. god.</w:t>
            </w:r>
          </w:p>
        </w:tc>
      </w:tr>
      <w:tr>
        <w:trPr>
          <w:trHeight w:val="315" w:hRule="auto"/>
          <w:jc w:val="left"/>
        </w:trPr>
        <w:tc>
          <w:tcPr>
            <w:tcW w:w="2389" w:type="dxa"/>
            <w:tcBorders>
              <w:top w:val="single" w:color="000000" w:sz="0"/>
              <w:left w:val="single" w:color="000000" w:sz="8"/>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Scenario bez dodatnih mjera</w:t>
            </w:r>
          </w:p>
        </w:tc>
        <w:tc>
          <w:tcPr>
            <w:tcW w:w="1281"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305,57</w:t>
            </w:r>
          </w:p>
        </w:tc>
        <w:tc>
          <w:tcPr>
            <w:tcW w:w="1281"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499,43</w:t>
            </w:r>
          </w:p>
        </w:tc>
        <w:tc>
          <w:tcPr>
            <w:tcW w:w="1079"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529,13</w:t>
            </w:r>
          </w:p>
        </w:tc>
        <w:tc>
          <w:tcPr>
            <w:tcW w:w="1345"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232,20</w:t>
            </w:r>
          </w:p>
        </w:tc>
        <w:tc>
          <w:tcPr>
            <w:tcW w:w="1137"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379,60</w:t>
            </w:r>
          </w:p>
        </w:tc>
        <w:tc>
          <w:tcPr>
            <w:tcW w:w="1108"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402,14</w:t>
            </w:r>
          </w:p>
        </w:tc>
      </w:tr>
    </w:tbl>
    <w:p>
      <w:pPr>
        <w:spacing w:before="60" w:after="160" w:line="240"/>
        <w:ind w:right="0" w:left="0" w:firstLine="0"/>
        <w:jc w:val="center"/>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Tabela 556: Projekcija godišnje potrošnje energije i emisija CO</w:t>
      </w:r>
      <w:r>
        <w:rPr>
          <w:rFonts w:ascii="Calibri" w:hAnsi="Calibri" w:cs="Calibri" w:eastAsia="Calibri"/>
          <w:color w:val="auto"/>
          <w:spacing w:val="0"/>
          <w:position w:val="0"/>
          <w:sz w:val="18"/>
          <w:shd w:fill="auto" w:val="clear"/>
          <w:vertAlign w:val="subscript"/>
        </w:rPr>
        <w:t xml:space="preserve">2</w:t>
      </w:r>
      <w:r>
        <w:rPr>
          <w:rFonts w:ascii="Calibri" w:hAnsi="Calibri" w:cs="Calibri" w:eastAsia="Calibri"/>
          <w:color w:val="auto"/>
          <w:spacing w:val="0"/>
          <w:position w:val="0"/>
          <w:sz w:val="18"/>
          <w:shd w:fill="auto" w:val="clear"/>
        </w:rPr>
        <w:t xml:space="preserve"> do 2030. godine u sektoru vodosnabdijevanja za scenario bez dodatnih mjera Op</w:t>
      </w:r>
      <w:r>
        <w:rPr>
          <w:rFonts w:ascii="Calibri" w:hAnsi="Calibri" w:cs="Calibri" w:eastAsia="Calibri"/>
          <w:color w:val="auto"/>
          <w:spacing w:val="0"/>
          <w:position w:val="0"/>
          <w:sz w:val="18"/>
          <w:shd w:fill="auto" w:val="clear"/>
        </w:rPr>
        <w:t xml:space="preserve">ćine</w:t>
      </w:r>
    </w:p>
    <w:p>
      <w:pPr>
        <w:spacing w:before="0" w:after="20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Projicirana potrošnja elektri</w:t>
      </w:r>
      <w:r>
        <w:rPr>
          <w:rFonts w:ascii="Calibri" w:hAnsi="Calibri" w:cs="Calibri" w:eastAsia="Calibri"/>
          <w:color w:val="auto"/>
          <w:spacing w:val="0"/>
          <w:position w:val="0"/>
          <w:sz w:val="20"/>
          <w:shd w:fill="auto" w:val="clear"/>
        </w:rPr>
        <w:t xml:space="preserve">čne energije u 2030. godini za scenario bez poduzimanja mjera, ali uključujući rast broja priključaka i nastavak dodadašnjeg trenda porasta potrošnje, je 529,13 MWh/godišnje, što daje godišnje emisije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u visini od 402,14 tCO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w:t>
      </w:r>
    </w:p>
    <w:p>
      <w:pPr>
        <w:keepNext w:val="true"/>
        <w:keepLines w:val="true"/>
        <w:numPr>
          <w:ilvl w:val="0"/>
          <w:numId w:val="2349"/>
        </w:numPr>
        <w:spacing w:before="240" w:after="0" w:line="240"/>
        <w:ind w:right="0" w:left="720" w:hanging="72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Projekcija ukupnog inventara emisija CO</w:t>
      </w:r>
      <w:r>
        <w:rPr>
          <w:rFonts w:ascii="Calibri" w:hAnsi="Calibri" w:cs="Calibri" w:eastAsia="Calibri"/>
          <w:b/>
          <w:color w:val="auto"/>
          <w:spacing w:val="0"/>
          <w:position w:val="0"/>
          <w:sz w:val="24"/>
          <w:shd w:fill="auto" w:val="clear"/>
          <w:vertAlign w:val="subscript"/>
        </w:rPr>
        <w:t xml:space="preserve">2</w:t>
      </w:r>
      <w:r>
        <w:rPr>
          <w:rFonts w:ascii="Calibri" w:hAnsi="Calibri" w:cs="Calibri" w:eastAsia="Calibri"/>
          <w:b/>
          <w:color w:val="auto"/>
          <w:spacing w:val="0"/>
          <w:position w:val="0"/>
          <w:sz w:val="24"/>
          <w:shd w:fill="auto" w:val="clear"/>
        </w:rPr>
        <w:t xml:space="preserve"> do 2030. godine</w:t>
      </w:r>
    </w:p>
    <w:p>
      <w:pPr>
        <w:spacing w:before="60" w:after="12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Ukupne emisije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u 2030. godini za sve razmatrane sektore, u situaciji nastavka dosadašnjih trendova odnosno za pretpostavljeni scenario bez realizacije dodatnih mjera energetske efikasnosti prikazane su u narednoj tabeli. </w:t>
      </w:r>
    </w:p>
    <w:tbl>
      <w:tblPr>
        <w:tblInd w:w="118" w:type="dxa"/>
      </w:tblPr>
      <w:tblGrid>
        <w:gridCol w:w="4385"/>
        <w:gridCol w:w="2126"/>
        <w:gridCol w:w="2693"/>
      </w:tblGrid>
      <w:tr>
        <w:trPr>
          <w:trHeight w:val="1" w:hRule="atLeast"/>
          <w:jc w:val="left"/>
        </w:trPr>
        <w:tc>
          <w:tcPr>
            <w:tcW w:w="4385" w:type="dxa"/>
            <w:vMerge w:val="restart"/>
            <w:tcBorders>
              <w:top w:val="single" w:color="000000" w:sz="4"/>
              <w:left w:val="single" w:color="000000" w:sz="4"/>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SEKTORI</w:t>
            </w:r>
          </w:p>
        </w:tc>
        <w:tc>
          <w:tcPr>
            <w:tcW w:w="4819" w:type="dxa"/>
            <w:gridSpan w:val="2"/>
            <w:tcBorders>
              <w:top w:val="single" w:color="000000" w:sz="4"/>
              <w:left w:val="single" w:color="000000" w:sz="4"/>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Emisije CO</w:t>
            </w:r>
            <w:r>
              <w:rPr>
                <w:rFonts w:ascii="Calibri" w:hAnsi="Calibri" w:cs="Calibri" w:eastAsia="Calibri"/>
                <w:color w:val="000000"/>
                <w:spacing w:val="0"/>
                <w:position w:val="0"/>
                <w:sz w:val="18"/>
                <w:shd w:fill="auto" w:val="clear"/>
                <w:vertAlign w:val="subscript"/>
              </w:rPr>
              <w:t xml:space="preserve">2</w:t>
            </w:r>
            <w:r>
              <w:rPr>
                <w:rFonts w:ascii="Calibri" w:hAnsi="Calibri" w:cs="Calibri" w:eastAsia="Calibri"/>
                <w:color w:val="000000"/>
                <w:spacing w:val="0"/>
                <w:position w:val="0"/>
                <w:sz w:val="18"/>
                <w:shd w:fill="auto" w:val="clear"/>
              </w:rPr>
              <w:t xml:space="preserve"> [t]</w:t>
            </w:r>
          </w:p>
        </w:tc>
      </w:tr>
      <w:tr>
        <w:trPr>
          <w:trHeight w:val="1" w:hRule="atLeast"/>
          <w:jc w:val="left"/>
        </w:trPr>
        <w:tc>
          <w:tcPr>
            <w:tcW w:w="4385"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2126" w:type="dxa"/>
            <w:vMerge w:val="restart"/>
            <w:tcBorders>
              <w:top w:val="single" w:color="000000" w:sz="4"/>
              <w:left w:val="single" w:color="000000" w:sz="4"/>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Bazna 2010. godina</w:t>
            </w:r>
          </w:p>
        </w:tc>
        <w:tc>
          <w:tcPr>
            <w:tcW w:w="2693" w:type="dxa"/>
            <w:tcBorders>
              <w:top w:val="single" w:color="000000" w:sz="4"/>
              <w:left w:val="single" w:color="000000" w:sz="4"/>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2030. godina</w:t>
            </w:r>
          </w:p>
        </w:tc>
      </w:tr>
      <w:tr>
        <w:trPr>
          <w:trHeight w:val="1" w:hRule="atLeast"/>
          <w:jc w:val="left"/>
        </w:trPr>
        <w:tc>
          <w:tcPr>
            <w:tcW w:w="4385"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2126"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2693" w:type="dxa"/>
            <w:tcBorders>
              <w:top w:val="single" w:color="000000" w:sz="4"/>
              <w:left w:val="single" w:color="000000" w:sz="4"/>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(BaU scenario)</w:t>
            </w:r>
          </w:p>
        </w:tc>
      </w:tr>
      <w:tr>
        <w:trPr>
          <w:trHeight w:val="1" w:hRule="atLeast"/>
          <w:jc w:val="left"/>
        </w:trPr>
        <w:tc>
          <w:tcPr>
            <w:tcW w:w="4385" w:type="dxa"/>
            <w:tcBorders>
              <w:top w:val="single" w:color="000000" w:sz="4"/>
              <w:left w:val="single" w:color="000000" w:sz="4"/>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ZGRADARSTVO I JAVNA RASVJETA</w:t>
            </w:r>
          </w:p>
        </w:tc>
        <w:tc>
          <w:tcPr>
            <w:tcW w:w="2126" w:type="dxa"/>
            <w:tcBorders>
              <w:top w:val="single" w:color="000000" w:sz="4"/>
              <w:left w:val="single" w:color="000000" w:sz="4"/>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2693" w:type="dxa"/>
            <w:tcBorders>
              <w:top w:val="single" w:color="000000" w:sz="4"/>
              <w:left w:val="single" w:color="000000" w:sz="4"/>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r>
      <w:tr>
        <w:trPr>
          <w:trHeight w:val="1" w:hRule="atLeast"/>
          <w:jc w:val="left"/>
        </w:trPr>
        <w:tc>
          <w:tcPr>
            <w:tcW w:w="4385" w:type="dxa"/>
            <w:tcBorders>
              <w:top w:val="single" w:color="000000" w:sz="4"/>
              <w:left w:val="single" w:color="000000" w:sz="4"/>
              <w:bottom w:val="single" w:color="000000" w:sz="4"/>
              <w:right w:val="single" w:color="000000" w:sz="4"/>
            </w:tcBorders>
            <w:shd w:color="000000" w:fill="d9e1f2"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Javne zgrade u vlasništvu Op</w:t>
            </w:r>
            <w:r>
              <w:rPr>
                <w:rFonts w:ascii="Calibri" w:hAnsi="Calibri" w:cs="Calibri" w:eastAsia="Calibri"/>
                <w:color w:val="000000"/>
                <w:spacing w:val="0"/>
                <w:position w:val="0"/>
                <w:sz w:val="18"/>
                <w:shd w:fill="auto" w:val="clear"/>
              </w:rPr>
              <w:t xml:space="preserve">ćine</w:t>
            </w:r>
          </w:p>
        </w:tc>
        <w:tc>
          <w:tcPr>
            <w:tcW w:w="212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826,39</w:t>
            </w:r>
          </w:p>
        </w:tc>
        <w:tc>
          <w:tcPr>
            <w:tcW w:w="269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876,86</w:t>
            </w:r>
          </w:p>
        </w:tc>
      </w:tr>
      <w:tr>
        <w:trPr>
          <w:trHeight w:val="1" w:hRule="atLeast"/>
          <w:jc w:val="left"/>
        </w:trPr>
        <w:tc>
          <w:tcPr>
            <w:tcW w:w="4385" w:type="dxa"/>
            <w:tcBorders>
              <w:top w:val="single" w:color="000000" w:sz="4"/>
              <w:left w:val="single" w:color="000000" w:sz="4"/>
              <w:bottom w:val="single" w:color="000000" w:sz="4"/>
              <w:right w:val="single" w:color="000000" w:sz="4"/>
            </w:tcBorders>
            <w:shd w:color="000000" w:fill="d9e1f2"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Javne zgrade koje nisu u vlasništvu Op</w:t>
            </w:r>
            <w:r>
              <w:rPr>
                <w:rFonts w:ascii="Calibri" w:hAnsi="Calibri" w:cs="Calibri" w:eastAsia="Calibri"/>
                <w:color w:val="000000"/>
                <w:spacing w:val="0"/>
                <w:position w:val="0"/>
                <w:sz w:val="18"/>
                <w:shd w:fill="auto" w:val="clear"/>
              </w:rPr>
              <w:t xml:space="preserve">ćine</w:t>
            </w:r>
          </w:p>
        </w:tc>
        <w:tc>
          <w:tcPr>
            <w:tcW w:w="212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544,67</w:t>
            </w:r>
          </w:p>
        </w:tc>
        <w:tc>
          <w:tcPr>
            <w:tcW w:w="269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348,44</w:t>
            </w:r>
          </w:p>
        </w:tc>
      </w:tr>
      <w:tr>
        <w:trPr>
          <w:trHeight w:val="1" w:hRule="atLeast"/>
          <w:jc w:val="left"/>
        </w:trPr>
        <w:tc>
          <w:tcPr>
            <w:tcW w:w="4385" w:type="dxa"/>
            <w:tcBorders>
              <w:top w:val="single" w:color="000000" w:sz="4"/>
              <w:left w:val="single" w:color="000000" w:sz="4"/>
              <w:bottom w:val="single" w:color="000000" w:sz="4"/>
              <w:right w:val="single" w:color="000000" w:sz="4"/>
            </w:tcBorders>
            <w:shd w:color="000000" w:fill="d9e1f2"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Stambene zgrade</w:t>
            </w:r>
          </w:p>
        </w:tc>
        <w:tc>
          <w:tcPr>
            <w:tcW w:w="212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19.390,47</w:t>
            </w:r>
          </w:p>
        </w:tc>
        <w:tc>
          <w:tcPr>
            <w:tcW w:w="269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11.102,46</w:t>
            </w:r>
          </w:p>
        </w:tc>
      </w:tr>
      <w:tr>
        <w:trPr>
          <w:trHeight w:val="1" w:hRule="atLeast"/>
          <w:jc w:val="left"/>
        </w:trPr>
        <w:tc>
          <w:tcPr>
            <w:tcW w:w="4385" w:type="dxa"/>
            <w:tcBorders>
              <w:top w:val="single" w:color="000000" w:sz="4"/>
              <w:left w:val="single" w:color="000000" w:sz="4"/>
              <w:bottom w:val="single" w:color="000000" w:sz="4"/>
              <w:right w:val="single" w:color="000000" w:sz="4"/>
            </w:tcBorders>
            <w:shd w:color="000000" w:fill="d9e1f2"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Javna rasvjeta</w:t>
            </w:r>
          </w:p>
        </w:tc>
        <w:tc>
          <w:tcPr>
            <w:tcW w:w="212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417,77</w:t>
            </w:r>
          </w:p>
        </w:tc>
        <w:tc>
          <w:tcPr>
            <w:tcW w:w="269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555,30</w:t>
            </w:r>
          </w:p>
        </w:tc>
      </w:tr>
      <w:tr>
        <w:trPr>
          <w:trHeight w:val="1" w:hRule="atLeast"/>
          <w:jc w:val="left"/>
        </w:trPr>
        <w:tc>
          <w:tcPr>
            <w:tcW w:w="4385" w:type="dxa"/>
            <w:tcBorders>
              <w:top w:val="single" w:color="000000" w:sz="4"/>
              <w:left w:val="single" w:color="000000" w:sz="4"/>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SAOBRA</w:t>
            </w:r>
            <w:r>
              <w:rPr>
                <w:rFonts w:ascii="Calibri" w:hAnsi="Calibri" w:cs="Calibri" w:eastAsia="Calibri"/>
                <w:color w:val="000000"/>
                <w:spacing w:val="0"/>
                <w:position w:val="0"/>
                <w:sz w:val="18"/>
                <w:shd w:fill="auto" w:val="clear"/>
              </w:rPr>
              <w:t xml:space="preserve">ĆAJ</w:t>
            </w:r>
          </w:p>
        </w:tc>
        <w:tc>
          <w:tcPr>
            <w:tcW w:w="2126" w:type="dxa"/>
            <w:tcBorders>
              <w:top w:val="single" w:color="000000" w:sz="4"/>
              <w:left w:val="single" w:color="000000" w:sz="4"/>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2693" w:type="dxa"/>
            <w:tcBorders>
              <w:top w:val="single" w:color="000000" w:sz="4"/>
              <w:left w:val="single" w:color="000000" w:sz="4"/>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r>
      <w:tr>
        <w:trPr>
          <w:trHeight w:val="1" w:hRule="atLeast"/>
          <w:jc w:val="left"/>
        </w:trPr>
        <w:tc>
          <w:tcPr>
            <w:tcW w:w="4385" w:type="dxa"/>
            <w:tcBorders>
              <w:top w:val="single" w:color="000000" w:sz="4"/>
              <w:left w:val="single" w:color="000000" w:sz="4"/>
              <w:bottom w:val="single" w:color="000000" w:sz="4"/>
              <w:right w:val="single" w:color="000000" w:sz="4"/>
            </w:tcBorders>
            <w:shd w:color="000000" w:fill="d9e1f2"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Vozila u vlasništvu Op</w:t>
            </w:r>
            <w:r>
              <w:rPr>
                <w:rFonts w:ascii="Calibri" w:hAnsi="Calibri" w:cs="Calibri" w:eastAsia="Calibri"/>
                <w:color w:val="000000"/>
                <w:spacing w:val="0"/>
                <w:position w:val="0"/>
                <w:sz w:val="18"/>
                <w:shd w:fill="auto" w:val="clear"/>
              </w:rPr>
              <w:t xml:space="preserve">ćine</w:t>
            </w:r>
          </w:p>
        </w:tc>
        <w:tc>
          <w:tcPr>
            <w:tcW w:w="2126"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66,03</w:t>
            </w:r>
          </w:p>
        </w:tc>
        <w:tc>
          <w:tcPr>
            <w:tcW w:w="2693"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53,23</w:t>
            </w:r>
          </w:p>
        </w:tc>
      </w:tr>
      <w:tr>
        <w:trPr>
          <w:trHeight w:val="1" w:hRule="atLeast"/>
          <w:jc w:val="left"/>
        </w:trPr>
        <w:tc>
          <w:tcPr>
            <w:tcW w:w="4385" w:type="dxa"/>
            <w:tcBorders>
              <w:top w:val="single" w:color="000000" w:sz="4"/>
              <w:left w:val="single" w:color="000000" w:sz="4"/>
              <w:bottom w:val="single" w:color="000000" w:sz="4"/>
              <w:right w:val="single" w:color="000000" w:sz="4"/>
            </w:tcBorders>
            <w:shd w:color="000000" w:fill="d9e1f2"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Javni gradski prijevoz</w:t>
            </w:r>
          </w:p>
        </w:tc>
        <w:tc>
          <w:tcPr>
            <w:tcW w:w="2126"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517,59</w:t>
            </w:r>
          </w:p>
        </w:tc>
        <w:tc>
          <w:tcPr>
            <w:tcW w:w="2693"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538,69</w:t>
            </w:r>
          </w:p>
        </w:tc>
      </w:tr>
      <w:tr>
        <w:trPr>
          <w:trHeight w:val="1" w:hRule="atLeast"/>
          <w:jc w:val="left"/>
        </w:trPr>
        <w:tc>
          <w:tcPr>
            <w:tcW w:w="4385" w:type="dxa"/>
            <w:tcBorders>
              <w:top w:val="single" w:color="000000" w:sz="4"/>
              <w:left w:val="single" w:color="000000" w:sz="4"/>
              <w:bottom w:val="single" w:color="000000" w:sz="4"/>
              <w:right w:val="single" w:color="000000" w:sz="4"/>
            </w:tcBorders>
            <w:shd w:color="000000" w:fill="d9e1f2"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Osobna i komercijalna vozila</w:t>
            </w:r>
          </w:p>
        </w:tc>
        <w:tc>
          <w:tcPr>
            <w:tcW w:w="2126"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8.341,76</w:t>
            </w:r>
          </w:p>
        </w:tc>
        <w:tc>
          <w:tcPr>
            <w:tcW w:w="2693"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6.864,15</w:t>
            </w:r>
          </w:p>
        </w:tc>
      </w:tr>
      <w:tr>
        <w:trPr>
          <w:trHeight w:val="1" w:hRule="atLeast"/>
          <w:jc w:val="left"/>
        </w:trPr>
        <w:tc>
          <w:tcPr>
            <w:tcW w:w="4385" w:type="dxa"/>
            <w:tcBorders>
              <w:top w:val="single" w:color="000000" w:sz="4"/>
              <w:left w:val="single" w:color="000000" w:sz="4"/>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NEENERGETSKI SEKTORI</w:t>
            </w:r>
          </w:p>
        </w:tc>
        <w:tc>
          <w:tcPr>
            <w:tcW w:w="2126" w:type="dxa"/>
            <w:tcBorders>
              <w:top w:val="single" w:color="000000" w:sz="4"/>
              <w:left w:val="single" w:color="000000" w:sz="4"/>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2693" w:type="dxa"/>
            <w:tcBorders>
              <w:top w:val="single" w:color="000000" w:sz="4"/>
              <w:left w:val="single" w:color="000000" w:sz="4"/>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r>
      <w:tr>
        <w:trPr>
          <w:trHeight w:val="1" w:hRule="atLeast"/>
          <w:jc w:val="left"/>
        </w:trPr>
        <w:tc>
          <w:tcPr>
            <w:tcW w:w="4385" w:type="dxa"/>
            <w:tcBorders>
              <w:top w:val="single" w:color="000000" w:sz="4"/>
              <w:left w:val="single" w:color="000000" w:sz="4"/>
              <w:bottom w:val="single" w:color="000000" w:sz="4"/>
              <w:right w:val="single" w:color="000000" w:sz="4"/>
            </w:tcBorders>
            <w:shd w:color="000000" w:fill="d9e1f2"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Vodosnabdijevanje</w:t>
            </w:r>
          </w:p>
        </w:tc>
        <w:tc>
          <w:tcPr>
            <w:tcW w:w="212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232,20</w:t>
            </w:r>
          </w:p>
        </w:tc>
        <w:tc>
          <w:tcPr>
            <w:tcW w:w="269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402,14</w:t>
            </w:r>
          </w:p>
        </w:tc>
      </w:tr>
      <w:tr>
        <w:trPr>
          <w:trHeight w:val="1" w:hRule="atLeast"/>
          <w:jc w:val="left"/>
        </w:trPr>
        <w:tc>
          <w:tcPr>
            <w:tcW w:w="4385" w:type="dxa"/>
            <w:tcBorders>
              <w:top w:val="single" w:color="000000" w:sz="4"/>
              <w:left w:val="single" w:color="000000" w:sz="4"/>
              <w:bottom w:val="single" w:color="000000" w:sz="4"/>
              <w:right w:val="single" w:color="000000" w:sz="4"/>
            </w:tcBorders>
            <w:shd w:color="000000" w:fill="9cc2e5" w:val="clear"/>
            <w:tcMar>
              <w:left w:w="108" w:type="dxa"/>
              <w:right w:w="108" w:type="dxa"/>
            </w:tcMar>
            <w:vAlign w:val="center"/>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UKUPNO</w:t>
            </w:r>
          </w:p>
        </w:tc>
        <w:tc>
          <w:tcPr>
            <w:tcW w:w="2126" w:type="dxa"/>
            <w:tcBorders>
              <w:top w:val="single" w:color="000000" w:sz="4"/>
              <w:left w:val="single" w:color="000000" w:sz="4"/>
              <w:bottom w:val="single" w:color="000000" w:sz="4"/>
              <w:right w:val="single" w:color="000000" w:sz="4"/>
            </w:tcBorders>
            <w:shd w:color="000000" w:fill="9cc2e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30.336,88</w:t>
            </w:r>
          </w:p>
        </w:tc>
        <w:tc>
          <w:tcPr>
            <w:tcW w:w="2693" w:type="dxa"/>
            <w:tcBorders>
              <w:top w:val="single" w:color="000000" w:sz="4"/>
              <w:left w:val="single" w:color="000000" w:sz="4"/>
              <w:bottom w:val="single" w:color="000000" w:sz="4"/>
              <w:right w:val="single" w:color="000000" w:sz="4"/>
            </w:tcBorders>
            <w:shd w:color="000000" w:fill="9cc2e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20.741,27</w:t>
            </w:r>
          </w:p>
        </w:tc>
      </w:tr>
      <w:tr>
        <w:trPr>
          <w:trHeight w:val="1" w:hRule="atLeast"/>
          <w:jc w:val="left"/>
        </w:trPr>
        <w:tc>
          <w:tcPr>
            <w:tcW w:w="4385" w:type="dxa"/>
            <w:tcBorders>
              <w:top w:val="single" w:color="000000" w:sz="4"/>
              <w:left w:val="single" w:color="000000" w:sz="4"/>
              <w:bottom w:val="single" w:color="000000" w:sz="4"/>
              <w:right w:val="single" w:color="000000" w:sz="4"/>
            </w:tcBorders>
            <w:shd w:color="000000" w:fill="9cc2e5" w:val="clear"/>
            <w:tcMar>
              <w:left w:w="108" w:type="dxa"/>
              <w:right w:w="108" w:type="dxa"/>
            </w:tcMar>
            <w:vAlign w:val="center"/>
          </w:tcPr>
          <w:p>
            <w:pPr>
              <w:spacing w:before="0" w:after="0" w:line="240"/>
              <w:ind w:right="0" w:left="0" w:firstLine="0"/>
              <w:jc w:val="right"/>
              <w:rPr>
                <w:rFonts w:ascii="Calibri" w:hAnsi="Calibri" w:cs="Calibri" w:eastAsia="Calibri"/>
                <w:spacing w:val="0"/>
                <w:position w:val="0"/>
              </w:rPr>
            </w:pPr>
            <w:r>
              <w:rPr>
                <w:rFonts w:ascii="Calibri" w:hAnsi="Calibri" w:cs="Calibri" w:eastAsia="Calibri"/>
                <w:b/>
                <w:color w:val="000000"/>
                <w:spacing w:val="0"/>
                <w:position w:val="0"/>
                <w:sz w:val="18"/>
                <w:shd w:fill="auto" w:val="clear"/>
              </w:rPr>
              <w:t xml:space="preserve">SMANJENJE EMISIJA U ODNOSU NA BAZNU GODINU</w:t>
            </w:r>
          </w:p>
        </w:tc>
        <w:tc>
          <w:tcPr>
            <w:tcW w:w="2126" w:type="dxa"/>
            <w:tcBorders>
              <w:top w:val="single" w:color="000000" w:sz="4"/>
              <w:left w:val="single" w:color="000000" w:sz="4"/>
              <w:bottom w:val="single" w:color="000000" w:sz="4"/>
              <w:right w:val="single" w:color="000000" w:sz="4"/>
            </w:tcBorders>
            <w:shd w:color="000000" w:fill="9cc2e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b/>
                <w:color w:val="000000"/>
                <w:spacing w:val="0"/>
                <w:position w:val="0"/>
                <w:sz w:val="18"/>
                <w:shd w:fill="auto" w:val="clear"/>
              </w:rPr>
              <w:t xml:space="preserve"> </w:t>
            </w:r>
          </w:p>
        </w:tc>
        <w:tc>
          <w:tcPr>
            <w:tcW w:w="2693" w:type="dxa"/>
            <w:tcBorders>
              <w:top w:val="single" w:color="000000" w:sz="4"/>
              <w:left w:val="single" w:color="000000" w:sz="4"/>
              <w:bottom w:val="single" w:color="000000" w:sz="4"/>
              <w:right w:val="single" w:color="000000" w:sz="4"/>
            </w:tcBorders>
            <w:shd w:color="000000" w:fill="9cc2e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b/>
                <w:color w:val="000000"/>
                <w:spacing w:val="0"/>
                <w:position w:val="0"/>
                <w:sz w:val="18"/>
                <w:shd w:fill="auto" w:val="clear"/>
              </w:rPr>
              <w:t xml:space="preserve">31,63%</w:t>
            </w:r>
          </w:p>
        </w:tc>
      </w:tr>
    </w:tbl>
    <w:p>
      <w:pPr>
        <w:spacing w:before="60" w:after="160" w:line="240"/>
        <w:ind w:right="0" w:left="0" w:firstLine="0"/>
        <w:jc w:val="center"/>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Tabela 557: Zbirna projekcija godišnjih emisija CO</w:t>
      </w:r>
      <w:r>
        <w:rPr>
          <w:rFonts w:ascii="Calibri" w:hAnsi="Calibri" w:cs="Calibri" w:eastAsia="Calibri"/>
          <w:color w:val="auto"/>
          <w:spacing w:val="0"/>
          <w:position w:val="0"/>
          <w:sz w:val="18"/>
          <w:shd w:fill="auto" w:val="clear"/>
          <w:vertAlign w:val="subscript"/>
        </w:rPr>
        <w:t xml:space="preserve">2</w:t>
      </w:r>
      <w:r>
        <w:rPr>
          <w:rFonts w:ascii="Calibri" w:hAnsi="Calibri" w:cs="Calibri" w:eastAsia="Calibri"/>
          <w:color w:val="auto"/>
          <w:spacing w:val="0"/>
          <w:position w:val="0"/>
          <w:sz w:val="18"/>
          <w:shd w:fill="auto" w:val="clear"/>
        </w:rPr>
        <w:t xml:space="preserve"> do 2030. godine u svim sektorima za scenario bez dodatnih mjera Op</w:t>
      </w:r>
      <w:r>
        <w:rPr>
          <w:rFonts w:ascii="Calibri" w:hAnsi="Calibri" w:cs="Calibri" w:eastAsia="Calibri"/>
          <w:color w:val="auto"/>
          <w:spacing w:val="0"/>
          <w:position w:val="0"/>
          <w:sz w:val="18"/>
          <w:shd w:fill="auto" w:val="clear"/>
        </w:rPr>
        <w:t xml:space="preserve">ćine</w:t>
      </w:r>
    </w:p>
    <w:p>
      <w:pPr>
        <w:spacing w:before="60" w:after="0" w:line="240"/>
        <w:ind w:right="0" w:left="0" w:firstLine="0"/>
        <w:jc w:val="both"/>
        <w:rPr>
          <w:rFonts w:ascii="Calibri" w:hAnsi="Calibri" w:cs="Calibri" w:eastAsia="Calibri"/>
          <w:b/>
          <w:color w:val="auto"/>
          <w:spacing w:val="0"/>
          <w:position w:val="0"/>
          <w:sz w:val="20"/>
          <w:shd w:fill="auto" w:val="clear"/>
        </w:rPr>
      </w:pPr>
      <w:r>
        <w:rPr>
          <w:rFonts w:ascii="Calibri" w:hAnsi="Calibri" w:cs="Calibri" w:eastAsia="Calibri"/>
          <w:b/>
          <w:color w:val="auto"/>
          <w:spacing w:val="0"/>
          <w:position w:val="0"/>
          <w:sz w:val="20"/>
          <w:shd w:fill="auto" w:val="clear"/>
        </w:rPr>
        <w:t xml:space="preserve">Ova tabela jasno pokazuje da bi u situaciji nastavka dosadašnjih trendova u razmatranim sektorima, te bez intenzivnijeg u</w:t>
      </w:r>
      <w:r>
        <w:rPr>
          <w:rFonts w:ascii="Calibri" w:hAnsi="Calibri" w:cs="Calibri" w:eastAsia="Calibri"/>
          <w:b/>
          <w:color w:val="auto"/>
          <w:spacing w:val="0"/>
          <w:position w:val="0"/>
          <w:sz w:val="20"/>
          <w:shd w:fill="auto" w:val="clear"/>
        </w:rPr>
        <w:t xml:space="preserve">češća Općine Doboj Istok i realizacije dodatnih mjera energetske efikasnosti, ukupno smanjenje emisija CO</w:t>
      </w:r>
      <w:r>
        <w:rPr>
          <w:rFonts w:ascii="Calibri" w:hAnsi="Calibri" w:cs="Calibri" w:eastAsia="Calibri"/>
          <w:b/>
          <w:color w:val="auto"/>
          <w:spacing w:val="0"/>
          <w:position w:val="0"/>
          <w:sz w:val="20"/>
          <w:shd w:fill="auto" w:val="clear"/>
          <w:vertAlign w:val="subscript"/>
        </w:rPr>
        <w:t xml:space="preserve">2</w:t>
      </w:r>
      <w:r>
        <w:rPr>
          <w:rFonts w:ascii="Calibri" w:hAnsi="Calibri" w:cs="Calibri" w:eastAsia="Calibri"/>
          <w:b/>
          <w:color w:val="auto"/>
          <w:spacing w:val="0"/>
          <w:position w:val="0"/>
          <w:sz w:val="20"/>
          <w:shd w:fill="auto" w:val="clear"/>
        </w:rPr>
        <w:t xml:space="preserve"> u 2030. godini iznosilo 31,63% u odnosu na stanje emisija u baznoj 2010. godini, što je ispod postavljenog cilja od najmanje 40%. Ovaj rezultat pokazuje da se bez intenzivnijeg učešća Općine Doboj Istok u sistemskom planiranju, realizaciji i financiranju dodatnih mjera energetske efikasnosti postavljeni cilj ne može postići. </w:t>
      </w:r>
    </w:p>
    <w:p>
      <w:pPr>
        <w:keepNext w:val="true"/>
        <w:keepLines w:val="true"/>
        <w:numPr>
          <w:ilvl w:val="0"/>
          <w:numId w:val="2410"/>
        </w:numPr>
        <w:spacing w:before="240" w:after="0" w:line="240"/>
        <w:ind w:right="0" w:left="578" w:hanging="578"/>
        <w:jc w:val="both"/>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Plan mjera Op</w:t>
      </w:r>
      <w:r>
        <w:rPr>
          <w:rFonts w:ascii="Calibri" w:hAnsi="Calibri" w:cs="Calibri" w:eastAsia="Calibri"/>
          <w:b/>
          <w:color w:val="auto"/>
          <w:spacing w:val="0"/>
          <w:position w:val="0"/>
          <w:sz w:val="28"/>
          <w:shd w:fill="auto" w:val="clear"/>
        </w:rPr>
        <w:t xml:space="preserve">ćine Doboj Istok za postizanje postavljenog cilja smanjenja emisija CO</w:t>
      </w:r>
      <w:r>
        <w:rPr>
          <w:rFonts w:ascii="Calibri" w:hAnsi="Calibri" w:cs="Calibri" w:eastAsia="Calibri"/>
          <w:b/>
          <w:color w:val="auto"/>
          <w:spacing w:val="0"/>
          <w:position w:val="0"/>
          <w:sz w:val="28"/>
          <w:shd w:fill="auto" w:val="clear"/>
          <w:vertAlign w:val="subscript"/>
        </w:rPr>
        <w:t xml:space="preserve">2</w:t>
      </w:r>
      <w:r>
        <w:rPr>
          <w:rFonts w:ascii="Calibri" w:hAnsi="Calibri" w:cs="Calibri" w:eastAsia="Calibri"/>
          <w:b/>
          <w:color w:val="auto"/>
          <w:spacing w:val="0"/>
          <w:position w:val="0"/>
          <w:sz w:val="28"/>
          <w:shd w:fill="auto" w:val="clear"/>
        </w:rPr>
        <w:t xml:space="preserve"> do 2030. godine</w:t>
      </w:r>
    </w:p>
    <w:p>
      <w:pPr>
        <w:spacing w:before="60" w:after="12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Iz prora</w:t>
      </w:r>
      <w:r>
        <w:rPr>
          <w:rFonts w:ascii="Calibri" w:hAnsi="Calibri" w:cs="Calibri" w:eastAsia="Calibri"/>
          <w:color w:val="auto"/>
          <w:spacing w:val="0"/>
          <w:position w:val="0"/>
          <w:sz w:val="20"/>
          <w:shd w:fill="auto" w:val="clear"/>
        </w:rPr>
        <w:t xml:space="preserve">čuna i analiza razmatranih u prethodnim poglavljima očito je </w:t>
      </w:r>
      <w:r>
        <w:rPr>
          <w:rFonts w:ascii="Calibri" w:hAnsi="Calibri" w:cs="Calibri" w:eastAsia="Calibri"/>
          <w:b/>
          <w:color w:val="auto"/>
          <w:spacing w:val="0"/>
          <w:position w:val="0"/>
          <w:sz w:val="20"/>
          <w:shd w:fill="auto" w:val="clear"/>
        </w:rPr>
        <w:t xml:space="preserve">da daleko najveći udio u emisijama CO</w:t>
      </w:r>
      <w:r>
        <w:rPr>
          <w:rFonts w:ascii="Calibri" w:hAnsi="Calibri" w:cs="Calibri" w:eastAsia="Calibri"/>
          <w:b/>
          <w:color w:val="auto"/>
          <w:spacing w:val="0"/>
          <w:position w:val="0"/>
          <w:sz w:val="20"/>
          <w:shd w:fill="auto" w:val="clear"/>
          <w:vertAlign w:val="subscript"/>
        </w:rPr>
        <w:t xml:space="preserve">2</w:t>
      </w:r>
      <w:r>
        <w:rPr>
          <w:rFonts w:ascii="Calibri" w:hAnsi="Calibri" w:cs="Calibri" w:eastAsia="Calibri"/>
          <w:b/>
          <w:color w:val="auto"/>
          <w:spacing w:val="0"/>
          <w:position w:val="0"/>
          <w:sz w:val="20"/>
          <w:shd w:fill="auto" w:val="clear"/>
        </w:rPr>
        <w:t xml:space="preserve">, i u baznoj i u kontrolnoj 2020. godini ima podsektor stambenih zgrada.</w:t>
      </w:r>
      <w:r>
        <w:rPr>
          <w:rFonts w:ascii="Calibri" w:hAnsi="Calibri" w:cs="Calibri" w:eastAsia="Calibri"/>
          <w:color w:val="auto"/>
          <w:spacing w:val="0"/>
          <w:position w:val="0"/>
          <w:sz w:val="20"/>
          <w:shd w:fill="auto" w:val="clear"/>
        </w:rPr>
        <w:t xml:space="preserve"> Bez obzira na njihovo smanjenje za 28,20% u periodu od 2010. do 2020. godine, emisije CO</w:t>
      </w:r>
      <w:r>
        <w:rPr>
          <w:rFonts w:ascii="Calibri" w:hAnsi="Calibri" w:cs="Calibri" w:eastAsia="Calibri"/>
          <w:color w:val="auto"/>
          <w:spacing w:val="0"/>
          <w:position w:val="0"/>
          <w:sz w:val="20"/>
          <w:shd w:fill="auto" w:val="clear"/>
          <w:vertAlign w:val="subscript"/>
        </w:rPr>
        <w:t xml:space="preserve">2 </w:t>
      </w:r>
      <w:r>
        <w:rPr>
          <w:rFonts w:ascii="Calibri" w:hAnsi="Calibri" w:cs="Calibri" w:eastAsia="Calibri"/>
          <w:color w:val="auto"/>
          <w:spacing w:val="0"/>
          <w:position w:val="0"/>
          <w:sz w:val="20"/>
          <w:shd w:fill="auto" w:val="clear"/>
        </w:rPr>
        <w:t xml:space="preserve">iz stambenog sektora su izuzetno visoke u poređenju s ostalim sektorima (13.922,42 tona), i daleko premašuju emisije iz bilo kojeg drugog sektora i podsektora. Zbog toga je pri izradi plana mjera za smanjenje emisija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do 2030. godine najveća pažnja posvećena upravo podsektoru stambenih zgrada, u kojem su sve planirane mjere od ključnog značaja. Treba istaći da je i planirana međusektorska mjera MS-1 (</w:t>
      </w:r>
      <w:r>
        <w:rPr>
          <w:rFonts w:ascii="Calibri" w:hAnsi="Calibri" w:cs="Calibri" w:eastAsia="Calibri"/>
          <w:i/>
          <w:color w:val="auto"/>
          <w:spacing w:val="0"/>
          <w:position w:val="0"/>
          <w:sz w:val="20"/>
          <w:shd w:fill="auto" w:val="clear"/>
        </w:rPr>
        <w:t xml:space="preserve">Kontinuirana edukacija relevantnih uposlenika Općine i pripadajućih javnih poduzeća o zakonskim obavezama u oblasti sistemskog upravljanja energijom</w:t>
      </w:r>
      <w:r>
        <w:rPr>
          <w:rFonts w:ascii="Calibri" w:hAnsi="Calibri" w:cs="Calibri" w:eastAsia="Calibri"/>
          <w:color w:val="auto"/>
          <w:spacing w:val="0"/>
          <w:position w:val="0"/>
          <w:sz w:val="20"/>
          <w:shd w:fill="auto" w:val="clear"/>
        </w:rPr>
        <w:t xml:space="preserve">) od ključnog značaja za uspješnu realizaciju mjera planiranih za sve sektore i podsektore, uključujući stambene zgrade. Lista svih planiranih mjera prikazana je u narednoj tabeli. </w:t>
      </w:r>
    </w:p>
    <w:tbl>
      <w:tblPr/>
      <w:tblGrid>
        <w:gridCol w:w="844"/>
        <w:gridCol w:w="8506"/>
      </w:tblGrid>
      <w:tr>
        <w:trPr>
          <w:trHeight w:val="1" w:hRule="atLeast"/>
          <w:jc w:val="left"/>
        </w:trPr>
        <w:tc>
          <w:tcPr>
            <w:tcW w:w="9350"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i/>
                <w:color w:val="auto"/>
                <w:spacing w:val="0"/>
                <w:position w:val="0"/>
                <w:sz w:val="18"/>
                <w:shd w:fill="auto" w:val="clear"/>
              </w:rPr>
              <w:t xml:space="preserve">Me</w:t>
            </w:r>
            <w:r>
              <w:rPr>
                <w:rFonts w:ascii="Calibri" w:hAnsi="Calibri" w:cs="Calibri" w:eastAsia="Calibri"/>
                <w:i/>
                <w:color w:val="auto"/>
                <w:spacing w:val="0"/>
                <w:position w:val="0"/>
                <w:sz w:val="18"/>
                <w:shd w:fill="auto" w:val="clear"/>
              </w:rPr>
              <w:t xml:space="preserve">đusektorske mjere</w:t>
            </w:r>
          </w:p>
        </w:tc>
      </w:tr>
      <w:tr>
        <w:trPr>
          <w:trHeight w:val="1" w:hRule="atLeast"/>
          <w:jc w:val="left"/>
        </w:trPr>
        <w:tc>
          <w:tcPr>
            <w:tcW w:w="84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MS-1 </w:t>
            </w:r>
          </w:p>
        </w:tc>
        <w:tc>
          <w:tcPr>
            <w:tcW w:w="85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Kontinuirana edukacija relevantnih uposlenika Op</w:t>
            </w:r>
            <w:r>
              <w:rPr>
                <w:rFonts w:ascii="Calibri" w:hAnsi="Calibri" w:cs="Calibri" w:eastAsia="Calibri"/>
                <w:b/>
                <w:color w:val="auto"/>
                <w:spacing w:val="0"/>
                <w:position w:val="0"/>
                <w:sz w:val="18"/>
                <w:shd w:fill="auto" w:val="clear"/>
              </w:rPr>
              <w:t xml:space="preserve">ćine i pripadajućih javnih preduzeća o zakonskim obavezama u oblasti sistemskog upravljanja energijom</w:t>
            </w:r>
          </w:p>
        </w:tc>
      </w:tr>
      <w:tr>
        <w:trPr>
          <w:trHeight w:val="1" w:hRule="atLeast"/>
          <w:jc w:val="left"/>
        </w:trPr>
        <w:tc>
          <w:tcPr>
            <w:tcW w:w="9350"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i/>
                <w:color w:val="auto"/>
                <w:spacing w:val="0"/>
                <w:position w:val="0"/>
                <w:sz w:val="18"/>
                <w:shd w:fill="auto" w:val="clear"/>
              </w:rPr>
              <w:t xml:space="preserve">Mjere u sektoru zgradarstva – podsektor stambenih zgrada</w:t>
            </w:r>
          </w:p>
        </w:tc>
      </w:tr>
      <w:tr>
        <w:trPr>
          <w:trHeight w:val="1" w:hRule="atLeast"/>
          <w:jc w:val="left"/>
        </w:trPr>
        <w:tc>
          <w:tcPr>
            <w:tcW w:w="84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SZ-1</w:t>
            </w:r>
          </w:p>
        </w:tc>
        <w:tc>
          <w:tcPr>
            <w:tcW w:w="85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Informiranje javnosti o neophodnosti ublažavanja klimatskih promjena i kontinuirana edukacija gra</w:t>
            </w:r>
            <w:r>
              <w:rPr>
                <w:rFonts w:ascii="Calibri" w:hAnsi="Calibri" w:cs="Calibri" w:eastAsia="Calibri"/>
                <w:b/>
                <w:color w:val="auto"/>
                <w:spacing w:val="0"/>
                <w:position w:val="0"/>
                <w:sz w:val="18"/>
                <w:shd w:fill="auto" w:val="clear"/>
              </w:rPr>
              <w:t xml:space="preserve">đana o praktičnim aspektima energetske efikasnosti</w:t>
            </w:r>
          </w:p>
        </w:tc>
      </w:tr>
      <w:tr>
        <w:trPr>
          <w:trHeight w:val="1" w:hRule="atLeast"/>
          <w:jc w:val="left"/>
        </w:trPr>
        <w:tc>
          <w:tcPr>
            <w:tcW w:w="84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SZ-2</w:t>
            </w:r>
          </w:p>
        </w:tc>
        <w:tc>
          <w:tcPr>
            <w:tcW w:w="85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Energetska obnova vanjske ovojnice stambenih zgrada individualnog stanovanja</w:t>
            </w:r>
          </w:p>
        </w:tc>
      </w:tr>
      <w:tr>
        <w:trPr>
          <w:trHeight w:val="1" w:hRule="atLeast"/>
          <w:jc w:val="left"/>
        </w:trPr>
        <w:tc>
          <w:tcPr>
            <w:tcW w:w="84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SZ-3</w:t>
            </w:r>
          </w:p>
        </w:tc>
        <w:tc>
          <w:tcPr>
            <w:tcW w:w="85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Poboljšanje energetskih karakteristika postoje</w:t>
            </w:r>
            <w:r>
              <w:rPr>
                <w:rFonts w:ascii="Calibri" w:hAnsi="Calibri" w:cs="Calibri" w:eastAsia="Calibri"/>
                <w:b/>
                <w:color w:val="auto"/>
                <w:spacing w:val="0"/>
                <w:position w:val="0"/>
                <w:sz w:val="18"/>
                <w:shd w:fill="auto" w:val="clear"/>
              </w:rPr>
              <w:t xml:space="preserve">ćih i ugradnja novih energetski efikasnih sistema grijanja u stambenim zgradama individualnog stanovanja</w:t>
            </w:r>
          </w:p>
        </w:tc>
      </w:tr>
      <w:tr>
        <w:trPr>
          <w:trHeight w:val="1" w:hRule="atLeast"/>
          <w:jc w:val="left"/>
        </w:trPr>
        <w:tc>
          <w:tcPr>
            <w:tcW w:w="9350"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i/>
                <w:color w:val="auto"/>
                <w:spacing w:val="0"/>
                <w:position w:val="0"/>
                <w:sz w:val="18"/>
                <w:shd w:fill="auto" w:val="clear"/>
              </w:rPr>
              <w:t xml:space="preserve">Mjere u sektoru zgradarstva – podsektor javnih zgrada u vlasništvu Op</w:t>
            </w:r>
            <w:r>
              <w:rPr>
                <w:rFonts w:ascii="Calibri" w:hAnsi="Calibri" w:cs="Calibri" w:eastAsia="Calibri"/>
                <w:i/>
                <w:color w:val="auto"/>
                <w:spacing w:val="0"/>
                <w:position w:val="0"/>
                <w:sz w:val="18"/>
                <w:shd w:fill="auto" w:val="clear"/>
              </w:rPr>
              <w:t xml:space="preserve">ćine Doboj Istok</w:t>
            </w:r>
          </w:p>
        </w:tc>
      </w:tr>
      <w:tr>
        <w:trPr>
          <w:trHeight w:val="1" w:hRule="atLeast"/>
          <w:jc w:val="left"/>
        </w:trPr>
        <w:tc>
          <w:tcPr>
            <w:tcW w:w="84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JZO-1</w:t>
            </w:r>
          </w:p>
        </w:tc>
        <w:tc>
          <w:tcPr>
            <w:tcW w:w="85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Integralna energetska obnova javnih zgrada u vlasništvu </w:t>
            </w:r>
            <w:r>
              <w:rPr>
                <w:rFonts w:ascii="Calibri" w:hAnsi="Calibri" w:cs="Calibri" w:eastAsia="Calibri"/>
                <w:i/>
                <w:color w:val="auto"/>
                <w:spacing w:val="0"/>
                <w:position w:val="0"/>
                <w:sz w:val="18"/>
                <w:shd w:fill="auto" w:val="clear"/>
              </w:rPr>
              <w:t xml:space="preserve">Op</w:t>
            </w:r>
            <w:r>
              <w:rPr>
                <w:rFonts w:ascii="Calibri" w:hAnsi="Calibri" w:cs="Calibri" w:eastAsia="Calibri"/>
                <w:i/>
                <w:color w:val="auto"/>
                <w:spacing w:val="0"/>
                <w:position w:val="0"/>
                <w:sz w:val="18"/>
                <w:shd w:fill="auto" w:val="clear"/>
              </w:rPr>
              <w:t xml:space="preserve">ćine Doboj Istok</w:t>
            </w:r>
            <w:r>
              <w:rPr>
                <w:rFonts w:ascii="Calibri" w:hAnsi="Calibri" w:cs="Calibri" w:eastAsia="Calibri"/>
                <w:color w:val="auto"/>
                <w:spacing w:val="0"/>
                <w:position w:val="0"/>
                <w:sz w:val="18"/>
                <w:shd w:fill="auto" w:val="clear"/>
              </w:rPr>
              <w:t xml:space="preserve"> u kojima se kao energent za grijanje koriste fosilna goriva i električna energija</w:t>
            </w:r>
          </w:p>
        </w:tc>
      </w:tr>
      <w:tr>
        <w:trPr>
          <w:trHeight w:val="1" w:hRule="atLeast"/>
          <w:jc w:val="left"/>
        </w:trPr>
        <w:tc>
          <w:tcPr>
            <w:tcW w:w="9350"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i/>
                <w:color w:val="auto"/>
                <w:spacing w:val="0"/>
                <w:position w:val="0"/>
                <w:sz w:val="18"/>
                <w:shd w:fill="auto" w:val="clear"/>
              </w:rPr>
              <w:t xml:space="preserve">Mjere u sektoru zgradarstva – podsektor javnih zgrada koje nisu u vlasništvu Op</w:t>
            </w:r>
            <w:r>
              <w:rPr>
                <w:rFonts w:ascii="Calibri" w:hAnsi="Calibri" w:cs="Calibri" w:eastAsia="Calibri"/>
                <w:i/>
                <w:color w:val="auto"/>
                <w:spacing w:val="0"/>
                <w:position w:val="0"/>
                <w:sz w:val="18"/>
                <w:shd w:fill="auto" w:val="clear"/>
              </w:rPr>
              <w:t xml:space="preserve">ćine Doboj Istok</w:t>
            </w:r>
          </w:p>
        </w:tc>
      </w:tr>
      <w:tr>
        <w:trPr>
          <w:trHeight w:val="1" w:hRule="atLeast"/>
          <w:jc w:val="left"/>
        </w:trPr>
        <w:tc>
          <w:tcPr>
            <w:tcW w:w="84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JZD-1</w:t>
            </w:r>
          </w:p>
        </w:tc>
        <w:tc>
          <w:tcPr>
            <w:tcW w:w="85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U</w:t>
            </w:r>
            <w:r>
              <w:rPr>
                <w:rFonts w:ascii="Calibri" w:hAnsi="Calibri" w:cs="Calibri" w:eastAsia="Calibri"/>
                <w:color w:val="auto"/>
                <w:spacing w:val="0"/>
                <w:position w:val="0"/>
                <w:sz w:val="18"/>
                <w:shd w:fill="auto" w:val="clear"/>
              </w:rPr>
              <w:t xml:space="preserve">češće u integralnoj energetskoj obnovi javnih zgrada koje nisu u vlasništvu Općine u kojima se kao energent za grijanje koriste fosilna goriva</w:t>
            </w:r>
          </w:p>
        </w:tc>
      </w:tr>
      <w:tr>
        <w:trPr>
          <w:trHeight w:val="1" w:hRule="atLeast"/>
          <w:jc w:val="left"/>
        </w:trPr>
        <w:tc>
          <w:tcPr>
            <w:tcW w:w="9350"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i/>
                <w:color w:val="auto"/>
                <w:spacing w:val="0"/>
                <w:position w:val="0"/>
                <w:sz w:val="18"/>
                <w:shd w:fill="auto" w:val="clear"/>
              </w:rPr>
              <w:t xml:space="preserve">Mjere u sektoru saobra</w:t>
            </w:r>
            <w:r>
              <w:rPr>
                <w:rFonts w:ascii="Calibri" w:hAnsi="Calibri" w:cs="Calibri" w:eastAsia="Calibri"/>
                <w:i/>
                <w:color w:val="auto"/>
                <w:spacing w:val="0"/>
                <w:position w:val="0"/>
                <w:sz w:val="18"/>
                <w:shd w:fill="auto" w:val="clear"/>
              </w:rPr>
              <w:t xml:space="preserve">ćaja – podsektor vozila u vlasništvu Općine Doboj Istok</w:t>
            </w:r>
          </w:p>
        </w:tc>
      </w:tr>
      <w:tr>
        <w:trPr>
          <w:trHeight w:val="1" w:hRule="atLeast"/>
          <w:jc w:val="left"/>
        </w:trPr>
        <w:tc>
          <w:tcPr>
            <w:tcW w:w="84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SG-1</w:t>
            </w:r>
          </w:p>
        </w:tc>
        <w:tc>
          <w:tcPr>
            <w:tcW w:w="85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Nabavka elektri</w:t>
            </w:r>
            <w:r>
              <w:rPr>
                <w:rFonts w:ascii="Calibri" w:hAnsi="Calibri" w:cs="Calibri" w:eastAsia="Calibri"/>
                <w:color w:val="auto"/>
                <w:spacing w:val="0"/>
                <w:position w:val="0"/>
                <w:sz w:val="18"/>
                <w:shd w:fill="auto" w:val="clear"/>
              </w:rPr>
              <w:t xml:space="preserve">čnih vozila u vlasništvu Općine Doboj Istok sa smanjenom emisijom CO</w:t>
            </w:r>
            <w:r>
              <w:rPr>
                <w:rFonts w:ascii="Calibri" w:hAnsi="Calibri" w:cs="Calibri" w:eastAsia="Calibri"/>
                <w:color w:val="auto"/>
                <w:spacing w:val="0"/>
                <w:position w:val="0"/>
                <w:sz w:val="18"/>
                <w:shd w:fill="auto" w:val="clear"/>
                <w:vertAlign w:val="subscript"/>
              </w:rPr>
              <w:t xml:space="preserve">2</w:t>
            </w:r>
          </w:p>
        </w:tc>
      </w:tr>
      <w:tr>
        <w:trPr>
          <w:trHeight w:val="1" w:hRule="atLeast"/>
          <w:jc w:val="left"/>
        </w:trPr>
        <w:tc>
          <w:tcPr>
            <w:tcW w:w="9350"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i/>
                <w:color w:val="auto"/>
                <w:spacing w:val="0"/>
                <w:position w:val="0"/>
                <w:sz w:val="18"/>
                <w:shd w:fill="auto" w:val="clear"/>
              </w:rPr>
              <w:t xml:space="preserve">Mjere u sektoru javne rasvjete</w:t>
            </w:r>
          </w:p>
        </w:tc>
      </w:tr>
      <w:tr>
        <w:trPr>
          <w:trHeight w:val="1" w:hRule="atLeast"/>
          <w:jc w:val="left"/>
        </w:trPr>
        <w:tc>
          <w:tcPr>
            <w:tcW w:w="84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JR-1</w:t>
            </w:r>
          </w:p>
        </w:tc>
        <w:tc>
          <w:tcPr>
            <w:tcW w:w="85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Zamjena energetski neefikasnih rasvjetnih tijela visokoefikasnim i okolišno prihvatljivijim rasvjetnim tijelima</w:t>
            </w:r>
          </w:p>
        </w:tc>
      </w:tr>
      <w:tr>
        <w:trPr>
          <w:trHeight w:val="1" w:hRule="atLeast"/>
          <w:jc w:val="left"/>
        </w:trPr>
        <w:tc>
          <w:tcPr>
            <w:tcW w:w="9350"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i/>
                <w:color w:val="auto"/>
                <w:spacing w:val="0"/>
                <w:position w:val="0"/>
                <w:sz w:val="18"/>
                <w:shd w:fill="auto" w:val="clear"/>
              </w:rPr>
              <w:t xml:space="preserve">Mjere u sektoru vodosnabdijevanja</w:t>
            </w:r>
          </w:p>
        </w:tc>
      </w:tr>
      <w:tr>
        <w:trPr>
          <w:trHeight w:val="1" w:hRule="atLeast"/>
          <w:jc w:val="left"/>
        </w:trPr>
        <w:tc>
          <w:tcPr>
            <w:tcW w:w="84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SV-1</w:t>
            </w:r>
          </w:p>
        </w:tc>
        <w:tc>
          <w:tcPr>
            <w:tcW w:w="85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Pove</w:t>
            </w:r>
            <w:r>
              <w:rPr>
                <w:rFonts w:ascii="Calibri" w:hAnsi="Calibri" w:cs="Calibri" w:eastAsia="Calibri"/>
                <w:color w:val="auto"/>
                <w:spacing w:val="0"/>
                <w:position w:val="0"/>
                <w:sz w:val="18"/>
                <w:shd w:fill="auto" w:val="clear"/>
              </w:rPr>
              <w:t xml:space="preserve">ćanje energetske efikasnosti sistema vodosnabdijevanja uvođenjem frekventne regulacije rada trenutno neregulisanih pumpi</w:t>
            </w:r>
          </w:p>
        </w:tc>
      </w:tr>
    </w:tbl>
    <w:p>
      <w:pPr>
        <w:spacing w:before="60" w:after="160" w:line="240"/>
        <w:ind w:right="0" w:left="0" w:firstLine="0"/>
        <w:jc w:val="center"/>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Tabela 558: Mjere energetske efikasnosti Op</w:t>
      </w:r>
      <w:r>
        <w:rPr>
          <w:rFonts w:ascii="Calibri" w:hAnsi="Calibri" w:cs="Calibri" w:eastAsia="Calibri"/>
          <w:color w:val="auto"/>
          <w:spacing w:val="0"/>
          <w:position w:val="0"/>
          <w:sz w:val="18"/>
          <w:shd w:fill="auto" w:val="clear"/>
        </w:rPr>
        <w:t xml:space="preserve">ćine Doboj Istok za postizanje postavljenog cilja smanjenja emisija CO</w:t>
      </w:r>
      <w:r>
        <w:rPr>
          <w:rFonts w:ascii="Calibri" w:hAnsi="Calibri" w:cs="Calibri" w:eastAsia="Calibri"/>
          <w:color w:val="auto"/>
          <w:spacing w:val="0"/>
          <w:position w:val="0"/>
          <w:sz w:val="18"/>
          <w:shd w:fill="auto" w:val="clear"/>
          <w:vertAlign w:val="subscript"/>
        </w:rPr>
        <w:t xml:space="preserve">2</w:t>
      </w:r>
      <w:r>
        <w:rPr>
          <w:rFonts w:ascii="Calibri" w:hAnsi="Calibri" w:cs="Calibri" w:eastAsia="Calibri"/>
          <w:color w:val="auto"/>
          <w:spacing w:val="0"/>
          <w:position w:val="0"/>
          <w:sz w:val="18"/>
          <w:shd w:fill="auto" w:val="clear"/>
        </w:rPr>
        <w:t xml:space="preserve"> do 2030. godine</w:t>
      </w:r>
    </w:p>
    <w:p>
      <w:pPr>
        <w:keepNext w:val="true"/>
        <w:keepLines w:val="true"/>
        <w:numPr>
          <w:ilvl w:val="0"/>
          <w:numId w:val="2459"/>
        </w:numPr>
        <w:spacing w:before="240" w:after="120" w:line="240"/>
        <w:ind w:right="0" w:left="720" w:hanging="72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Me</w:t>
      </w:r>
      <w:r>
        <w:rPr>
          <w:rFonts w:ascii="Calibri" w:hAnsi="Calibri" w:cs="Calibri" w:eastAsia="Calibri"/>
          <w:b/>
          <w:color w:val="auto"/>
          <w:spacing w:val="0"/>
          <w:position w:val="0"/>
          <w:sz w:val="24"/>
          <w:shd w:fill="auto" w:val="clear"/>
        </w:rPr>
        <w:t xml:space="preserve">đusektorske mjere</w:t>
      </w:r>
    </w:p>
    <w:tbl>
      <w:tblPr/>
      <w:tblGrid>
        <w:gridCol w:w="2093"/>
        <w:gridCol w:w="7400"/>
      </w:tblGrid>
      <w:tr>
        <w:trPr>
          <w:trHeight w:val="227" w:hRule="auto"/>
          <w:jc w:val="left"/>
        </w:trPr>
        <w:tc>
          <w:tcPr>
            <w:tcW w:w="2093" w:type="dxa"/>
            <w:tcBorders>
              <w:top w:val="single" w:color="000000" w:sz="4"/>
              <w:left w:val="single" w:color="000000" w:sz="4"/>
              <w:bottom w:val="single" w:color="000000" w:sz="4"/>
              <w:right w:val="single" w:color="000000" w:sz="4"/>
            </w:tcBorders>
            <w:shd w:color="auto" w:fill="b4c6e7" w:val="clear"/>
            <w:tcMar>
              <w:left w:w="108" w:type="dxa"/>
              <w:right w:w="108" w:type="dxa"/>
            </w:tcMar>
            <w:vAlign w:val="top"/>
          </w:tcPr>
          <w:p>
            <w:pPr>
              <w:spacing w:before="40" w:after="40" w:line="240"/>
              <w:ind w:right="0" w:left="0" w:firstLine="0"/>
              <w:jc w:val="left"/>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Redni broj mjere</w:t>
            </w:r>
          </w:p>
        </w:tc>
        <w:tc>
          <w:tcPr>
            <w:tcW w:w="7400" w:type="dxa"/>
            <w:tcBorders>
              <w:top w:val="single" w:color="000000" w:sz="4"/>
              <w:left w:val="single" w:color="000000" w:sz="4"/>
              <w:bottom w:val="single" w:color="000000" w:sz="4"/>
              <w:right w:val="single" w:color="000000" w:sz="4"/>
            </w:tcBorders>
            <w:shd w:color="auto" w:fill="b4c6e7" w:val="clear"/>
            <w:tcMar>
              <w:left w:w="108" w:type="dxa"/>
              <w:right w:w="108" w:type="dxa"/>
            </w:tcMar>
            <w:vAlign w:val="top"/>
          </w:tcPr>
          <w:p>
            <w:pPr>
              <w:spacing w:before="40" w:after="40" w:line="240"/>
              <w:ind w:right="0" w:left="0" w:firstLine="0"/>
              <w:jc w:val="center"/>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MS-1 /Klju</w:t>
            </w:r>
            <w:r>
              <w:rPr>
                <w:rFonts w:ascii="Calibri" w:hAnsi="Calibri" w:cs="Calibri" w:eastAsia="Calibri"/>
                <w:b/>
                <w:color w:val="auto"/>
                <w:spacing w:val="0"/>
                <w:position w:val="0"/>
                <w:sz w:val="18"/>
                <w:shd w:fill="auto" w:val="clear"/>
              </w:rPr>
              <w:t xml:space="preserve">čna mjera</w:t>
            </w:r>
          </w:p>
        </w:tc>
      </w:tr>
      <w:tr>
        <w:trPr>
          <w:trHeight w:val="227" w:hRule="auto"/>
          <w:jc w:val="left"/>
        </w:trPr>
        <w:tc>
          <w:tcPr>
            <w:tcW w:w="2093" w:type="dxa"/>
            <w:tcBorders>
              <w:top w:val="single" w:color="000000" w:sz="4"/>
              <w:left w:val="single" w:color="000000" w:sz="4"/>
              <w:bottom w:val="single" w:color="000000" w:sz="4"/>
              <w:right w:val="single" w:color="000000" w:sz="4"/>
            </w:tcBorders>
            <w:shd w:color="auto" w:fill="b4c6e7" w:val="clear"/>
            <w:tcMar>
              <w:left w:w="108" w:type="dxa"/>
              <w:right w:w="108" w:type="dxa"/>
            </w:tcMar>
            <w:vAlign w:val="top"/>
          </w:tcPr>
          <w:p>
            <w:pPr>
              <w:spacing w:before="0" w:after="200" w:line="276"/>
              <w:ind w:right="0" w:left="0" w:firstLine="0"/>
              <w:jc w:val="center"/>
              <w:rPr>
                <w:rFonts w:ascii="Calibri" w:hAnsi="Calibri" w:cs="Calibri" w:eastAsia="Calibri"/>
                <w:b/>
                <w:color w:val="auto"/>
                <w:spacing w:val="0"/>
                <w:position w:val="0"/>
                <w:sz w:val="18"/>
                <w:shd w:fill="auto" w:val="clear"/>
              </w:rPr>
            </w:pPr>
            <w:r>
              <w:rPr>
                <w:rFonts w:ascii="Calibri" w:hAnsi="Calibri" w:cs="Calibri" w:eastAsia="Calibri"/>
                <w:b/>
                <w:color w:val="auto"/>
                <w:spacing w:val="0"/>
                <w:position w:val="0"/>
                <w:sz w:val="18"/>
                <w:shd w:fill="auto" w:val="clear"/>
              </w:rPr>
              <w:t xml:space="preserve"> </w:t>
            </w:r>
          </w:p>
          <w:p>
            <w:pPr>
              <w:spacing w:before="40" w:after="40" w:line="240"/>
              <w:ind w:right="0" w:left="0" w:firstLine="0"/>
              <w:jc w:val="left"/>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Naziv mjere</w:t>
            </w:r>
          </w:p>
        </w:tc>
        <w:tc>
          <w:tcPr>
            <w:tcW w:w="7400" w:type="dxa"/>
            <w:tcBorders>
              <w:top w:val="single" w:color="000000" w:sz="4"/>
              <w:left w:val="single" w:color="000000" w:sz="4"/>
              <w:bottom w:val="single" w:color="000000" w:sz="4"/>
              <w:right w:val="single" w:color="000000" w:sz="4"/>
            </w:tcBorders>
            <w:shd w:color="auto" w:fill="b4c6e7" w:val="clear"/>
            <w:tcMar>
              <w:left w:w="108" w:type="dxa"/>
              <w:right w:w="108" w:type="dxa"/>
            </w:tcMar>
            <w:vAlign w:val="top"/>
          </w:tcPr>
          <w:p>
            <w:pPr>
              <w:spacing w:before="40" w:after="40" w:line="240"/>
              <w:ind w:right="0" w:left="0" w:firstLine="0"/>
              <w:jc w:val="center"/>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Kontinuirana edukacija relevantnih uposlenika Op</w:t>
            </w:r>
            <w:r>
              <w:rPr>
                <w:rFonts w:ascii="Calibri" w:hAnsi="Calibri" w:cs="Calibri" w:eastAsia="Calibri"/>
                <w:b/>
                <w:color w:val="auto"/>
                <w:spacing w:val="0"/>
                <w:position w:val="0"/>
                <w:sz w:val="18"/>
                <w:shd w:fill="auto" w:val="clear"/>
              </w:rPr>
              <w:t xml:space="preserve">ćine Doboj Istok i pripadajućih javnih preduzeća o zakonskim obavezama u oblasti sistemskog upravljanja energijom</w:t>
            </w:r>
          </w:p>
        </w:tc>
      </w:tr>
      <w:tr>
        <w:trPr>
          <w:trHeight w:val="227" w:hRule="auto"/>
          <w:jc w:val="left"/>
        </w:trPr>
        <w:tc>
          <w:tcPr>
            <w:tcW w:w="2093" w:type="dxa"/>
            <w:tcBorders>
              <w:top w:val="single" w:color="000000" w:sz="4"/>
              <w:left w:val="single" w:color="000000" w:sz="4"/>
              <w:bottom w:val="single" w:color="000000" w:sz="4"/>
              <w:right w:val="single" w:color="000000" w:sz="4"/>
            </w:tcBorders>
            <w:shd w:color="auto" w:fill="d9e2f3" w:val="clear"/>
            <w:tcMar>
              <w:left w:w="108" w:type="dxa"/>
              <w:right w:w="108" w:type="dxa"/>
            </w:tcMar>
            <w:vAlign w:val="top"/>
          </w:tcPr>
          <w:p>
            <w:pPr>
              <w:spacing w:before="40" w:after="40" w:line="240"/>
              <w:ind w:right="0" w:left="0" w:firstLine="0"/>
              <w:jc w:val="left"/>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Nosilac realizacije mjere</w:t>
            </w:r>
          </w:p>
        </w:tc>
        <w:tc>
          <w:tcPr>
            <w:tcW w:w="74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Op</w:t>
            </w:r>
            <w:r>
              <w:rPr>
                <w:rFonts w:ascii="Calibri" w:hAnsi="Calibri" w:cs="Calibri" w:eastAsia="Calibri"/>
                <w:color w:val="auto"/>
                <w:spacing w:val="0"/>
                <w:position w:val="0"/>
                <w:sz w:val="18"/>
                <w:shd w:fill="auto" w:val="clear"/>
              </w:rPr>
              <w:t xml:space="preserve">ćina Doboj Istok</w:t>
            </w:r>
          </w:p>
        </w:tc>
      </w:tr>
      <w:tr>
        <w:trPr>
          <w:trHeight w:val="227" w:hRule="auto"/>
          <w:jc w:val="left"/>
        </w:trPr>
        <w:tc>
          <w:tcPr>
            <w:tcW w:w="2093" w:type="dxa"/>
            <w:tcBorders>
              <w:top w:val="single" w:color="000000" w:sz="4"/>
              <w:left w:val="single" w:color="000000" w:sz="4"/>
              <w:bottom w:val="single" w:color="000000" w:sz="4"/>
              <w:right w:val="single" w:color="000000" w:sz="4"/>
            </w:tcBorders>
            <w:shd w:color="auto" w:fill="d9e2f3" w:val="clear"/>
            <w:tcMar>
              <w:left w:w="108" w:type="dxa"/>
              <w:right w:w="108" w:type="dxa"/>
            </w:tcMar>
            <w:vAlign w:val="top"/>
          </w:tcPr>
          <w:p>
            <w:pPr>
              <w:spacing w:before="40" w:after="40" w:line="240"/>
              <w:ind w:right="0" w:left="0" w:firstLine="0"/>
              <w:jc w:val="left"/>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Partneri u realizaciji</w:t>
            </w:r>
          </w:p>
        </w:tc>
        <w:tc>
          <w:tcPr>
            <w:tcW w:w="74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2474"/>
              </w:numPr>
              <w:spacing w:before="40" w:after="0" w:line="240"/>
              <w:ind w:right="0" w:left="482"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Fond za zaštitu okoliša Federacije BiH;</w:t>
            </w:r>
          </w:p>
          <w:p>
            <w:pPr>
              <w:numPr>
                <w:ilvl w:val="0"/>
                <w:numId w:val="2474"/>
              </w:numPr>
              <w:spacing w:before="0" w:after="40" w:line="240"/>
              <w:ind w:right="0" w:left="482" w:hanging="357"/>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Organizacije i kompanije licencirane za vršenje edukacija u ovoj oblasti</w:t>
            </w:r>
          </w:p>
        </w:tc>
      </w:tr>
      <w:tr>
        <w:trPr>
          <w:trHeight w:val="227" w:hRule="auto"/>
          <w:jc w:val="left"/>
        </w:trPr>
        <w:tc>
          <w:tcPr>
            <w:tcW w:w="2093" w:type="dxa"/>
            <w:tcBorders>
              <w:top w:val="single" w:color="000000" w:sz="4"/>
              <w:left w:val="single" w:color="000000" w:sz="4"/>
              <w:bottom w:val="single" w:color="000000" w:sz="4"/>
              <w:right w:val="single" w:color="000000" w:sz="4"/>
            </w:tcBorders>
            <w:shd w:color="auto" w:fill="d9e2f3" w:val="clear"/>
            <w:tcMar>
              <w:left w:w="108" w:type="dxa"/>
              <w:right w:w="108" w:type="dxa"/>
            </w:tcMar>
            <w:vAlign w:val="top"/>
          </w:tcPr>
          <w:p>
            <w:pPr>
              <w:spacing w:before="40" w:after="40" w:line="240"/>
              <w:ind w:right="0" w:left="0" w:firstLine="0"/>
              <w:jc w:val="left"/>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Period realizacije</w:t>
            </w:r>
          </w:p>
        </w:tc>
        <w:tc>
          <w:tcPr>
            <w:tcW w:w="74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72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2021. – 2030.</w:t>
            </w:r>
          </w:p>
        </w:tc>
      </w:tr>
      <w:tr>
        <w:trPr>
          <w:trHeight w:val="227" w:hRule="auto"/>
          <w:jc w:val="left"/>
        </w:trPr>
        <w:tc>
          <w:tcPr>
            <w:tcW w:w="2093" w:type="dxa"/>
            <w:tcBorders>
              <w:top w:val="single" w:color="000000" w:sz="4"/>
              <w:left w:val="single" w:color="000000" w:sz="4"/>
              <w:bottom w:val="single" w:color="000000" w:sz="4"/>
              <w:right w:val="single" w:color="000000" w:sz="4"/>
            </w:tcBorders>
            <w:shd w:color="auto" w:fill="d9e2f3" w:val="clear"/>
            <w:tcMar>
              <w:left w:w="108" w:type="dxa"/>
              <w:right w:w="108" w:type="dxa"/>
            </w:tcMar>
            <w:vAlign w:val="top"/>
          </w:tcPr>
          <w:p>
            <w:pPr>
              <w:spacing w:before="40" w:after="40" w:line="240"/>
              <w:ind w:right="0" w:left="0" w:firstLine="0"/>
              <w:jc w:val="left"/>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Ušteda (MWh)</w:t>
            </w:r>
          </w:p>
        </w:tc>
        <w:tc>
          <w:tcPr>
            <w:tcW w:w="74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72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n/a</w:t>
            </w:r>
          </w:p>
        </w:tc>
      </w:tr>
      <w:tr>
        <w:trPr>
          <w:trHeight w:val="227" w:hRule="auto"/>
          <w:jc w:val="left"/>
        </w:trPr>
        <w:tc>
          <w:tcPr>
            <w:tcW w:w="2093" w:type="dxa"/>
            <w:tcBorders>
              <w:top w:val="single" w:color="000000" w:sz="4"/>
              <w:left w:val="single" w:color="000000" w:sz="4"/>
              <w:bottom w:val="single" w:color="000000" w:sz="4"/>
              <w:right w:val="single" w:color="000000" w:sz="4"/>
            </w:tcBorders>
            <w:shd w:color="auto" w:fill="d9e2f3" w:val="clear"/>
            <w:tcMar>
              <w:left w:w="108" w:type="dxa"/>
              <w:right w:w="108" w:type="dxa"/>
            </w:tcMar>
            <w:vAlign w:val="top"/>
          </w:tcPr>
          <w:p>
            <w:pPr>
              <w:spacing w:before="40" w:after="40" w:line="240"/>
              <w:ind w:right="0" w:left="0" w:firstLine="0"/>
              <w:jc w:val="left"/>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Smanjenja emisije (tCO</w:t>
            </w:r>
            <w:r>
              <w:rPr>
                <w:rFonts w:ascii="Calibri" w:hAnsi="Calibri" w:cs="Calibri" w:eastAsia="Calibri"/>
                <w:b/>
                <w:color w:val="auto"/>
                <w:spacing w:val="0"/>
                <w:position w:val="0"/>
                <w:sz w:val="18"/>
                <w:shd w:fill="auto" w:val="clear"/>
                <w:vertAlign w:val="subscript"/>
              </w:rPr>
              <w:t xml:space="preserve">2</w:t>
            </w:r>
            <w:r>
              <w:rPr>
                <w:rFonts w:ascii="Calibri" w:hAnsi="Calibri" w:cs="Calibri" w:eastAsia="Calibri"/>
                <w:b/>
                <w:color w:val="auto"/>
                <w:spacing w:val="0"/>
                <w:position w:val="0"/>
                <w:sz w:val="18"/>
                <w:shd w:fill="auto" w:val="clear"/>
              </w:rPr>
              <w:t xml:space="preserve">)</w:t>
            </w:r>
          </w:p>
        </w:tc>
        <w:tc>
          <w:tcPr>
            <w:tcW w:w="74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72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n/a</w:t>
            </w:r>
          </w:p>
        </w:tc>
      </w:tr>
      <w:tr>
        <w:trPr>
          <w:trHeight w:val="227" w:hRule="auto"/>
          <w:jc w:val="left"/>
        </w:trPr>
        <w:tc>
          <w:tcPr>
            <w:tcW w:w="2093" w:type="dxa"/>
            <w:tcBorders>
              <w:top w:val="single" w:color="000000" w:sz="4"/>
              <w:left w:val="single" w:color="000000" w:sz="4"/>
              <w:bottom w:val="single" w:color="000000" w:sz="4"/>
              <w:right w:val="single" w:color="000000" w:sz="4"/>
            </w:tcBorders>
            <w:shd w:color="auto" w:fill="d9e2f3" w:val="clear"/>
            <w:tcMar>
              <w:left w:w="108" w:type="dxa"/>
              <w:right w:w="108" w:type="dxa"/>
            </w:tcMar>
            <w:vAlign w:val="top"/>
          </w:tcPr>
          <w:p>
            <w:pPr>
              <w:spacing w:before="40" w:after="40" w:line="240"/>
              <w:ind w:right="0" w:left="0" w:firstLine="0"/>
              <w:jc w:val="left"/>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Ukupna investicija (KM)</w:t>
            </w:r>
          </w:p>
        </w:tc>
        <w:tc>
          <w:tcPr>
            <w:tcW w:w="7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40" w:after="40" w:line="240"/>
              <w:ind w:right="0" w:left="72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50.000</w:t>
            </w:r>
          </w:p>
        </w:tc>
      </w:tr>
      <w:tr>
        <w:trPr>
          <w:trHeight w:val="751" w:hRule="auto"/>
          <w:jc w:val="left"/>
        </w:trPr>
        <w:tc>
          <w:tcPr>
            <w:tcW w:w="2093" w:type="dxa"/>
            <w:tcBorders>
              <w:top w:val="single" w:color="000000" w:sz="4"/>
              <w:left w:val="single" w:color="000000" w:sz="4"/>
              <w:bottom w:val="single" w:color="000000" w:sz="4"/>
              <w:right w:val="single" w:color="000000" w:sz="4"/>
            </w:tcBorders>
            <w:shd w:color="auto" w:fill="d9e2f3" w:val="clear"/>
            <w:tcMar>
              <w:left w:w="108" w:type="dxa"/>
              <w:right w:w="108" w:type="dxa"/>
            </w:tcMar>
            <w:vAlign w:val="top"/>
          </w:tcPr>
          <w:p>
            <w:pPr>
              <w:spacing w:before="40" w:after="40" w:line="240"/>
              <w:ind w:right="0" w:left="0" w:firstLine="0"/>
              <w:jc w:val="left"/>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Mogu</w:t>
            </w:r>
            <w:r>
              <w:rPr>
                <w:rFonts w:ascii="Calibri" w:hAnsi="Calibri" w:cs="Calibri" w:eastAsia="Calibri"/>
                <w:b/>
                <w:color w:val="auto"/>
                <w:spacing w:val="0"/>
                <w:position w:val="0"/>
                <w:sz w:val="18"/>
                <w:shd w:fill="auto" w:val="clear"/>
              </w:rPr>
              <w:t xml:space="preserve">ći izvor financijskih sredstava za realizaciju mjere</w:t>
            </w:r>
          </w:p>
        </w:tc>
        <w:tc>
          <w:tcPr>
            <w:tcW w:w="74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2492"/>
              </w:numPr>
              <w:spacing w:before="40" w:after="0" w:line="240"/>
              <w:ind w:right="0" w:left="482"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Budžet Op</w:t>
            </w:r>
            <w:r>
              <w:rPr>
                <w:rFonts w:ascii="Calibri" w:hAnsi="Calibri" w:cs="Calibri" w:eastAsia="Calibri"/>
                <w:color w:val="auto"/>
                <w:spacing w:val="0"/>
                <w:position w:val="0"/>
                <w:sz w:val="18"/>
                <w:shd w:fill="auto" w:val="clear"/>
              </w:rPr>
              <w:t xml:space="preserve">ćine Doboj Istok;</w:t>
            </w:r>
          </w:p>
          <w:p>
            <w:pPr>
              <w:numPr>
                <w:ilvl w:val="0"/>
                <w:numId w:val="2492"/>
              </w:numPr>
              <w:spacing w:before="0" w:after="0" w:line="240"/>
              <w:ind w:right="0" w:left="482"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Budžet Tuzlanskog kantona;</w:t>
            </w:r>
          </w:p>
          <w:p>
            <w:pPr>
              <w:numPr>
                <w:ilvl w:val="0"/>
                <w:numId w:val="2492"/>
              </w:numPr>
              <w:spacing w:before="0" w:after="40" w:line="240"/>
              <w:ind w:right="0" w:left="482" w:hanging="357"/>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Me</w:t>
            </w:r>
            <w:r>
              <w:rPr>
                <w:rFonts w:ascii="Calibri" w:hAnsi="Calibri" w:cs="Calibri" w:eastAsia="Calibri"/>
                <w:color w:val="auto"/>
                <w:spacing w:val="0"/>
                <w:position w:val="0"/>
                <w:sz w:val="18"/>
                <w:shd w:fill="auto" w:val="clear"/>
              </w:rPr>
              <w:t xml:space="preserve">đunarodne razvojne organizacije (UNDP, EU, vlade i ambasade pojedinih zemalja, itd)</w:t>
            </w:r>
          </w:p>
        </w:tc>
      </w:tr>
      <w:tr>
        <w:trPr>
          <w:trHeight w:val="2060" w:hRule="auto"/>
          <w:jc w:val="left"/>
        </w:trPr>
        <w:tc>
          <w:tcPr>
            <w:tcW w:w="2093" w:type="dxa"/>
            <w:tcBorders>
              <w:top w:val="single" w:color="000000" w:sz="4"/>
              <w:left w:val="single" w:color="000000" w:sz="4"/>
              <w:bottom w:val="single" w:color="000000" w:sz="4"/>
              <w:right w:val="single" w:color="000000" w:sz="4"/>
            </w:tcBorders>
            <w:shd w:color="auto" w:fill="d9e2f3" w:val="clear"/>
            <w:tcMar>
              <w:left w:w="108" w:type="dxa"/>
              <w:right w:w="108" w:type="dxa"/>
            </w:tcMar>
            <w:vAlign w:val="top"/>
          </w:tcPr>
          <w:p>
            <w:pPr>
              <w:spacing w:before="40" w:after="40" w:line="240"/>
              <w:ind w:right="0" w:left="0" w:firstLine="0"/>
              <w:jc w:val="left"/>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Kratki opis mjere /komentari</w:t>
            </w:r>
          </w:p>
        </w:tc>
        <w:tc>
          <w:tcPr>
            <w:tcW w:w="74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0" w:line="240"/>
              <w:ind w:right="0" w:left="0" w:firstLine="0"/>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Cilj mjere je kontinuirano ja</w:t>
            </w:r>
            <w:r>
              <w:rPr>
                <w:rFonts w:ascii="Calibri" w:hAnsi="Calibri" w:cs="Calibri" w:eastAsia="Calibri"/>
                <w:color w:val="auto"/>
                <w:spacing w:val="0"/>
                <w:position w:val="0"/>
                <w:sz w:val="18"/>
                <w:shd w:fill="auto" w:val="clear"/>
              </w:rPr>
              <w:t xml:space="preserve">čanje postojećih institucionalnih kapaciteta Općine Doboj Istok i javnih preduzeća čiji osnivač je Općina Doboj Istok, za sistemsko upravljanje energijom u svim sektorima potrošnje finalne energije na području grada (zgradarstvo, javna rasvjeta, vodosnabdijevanje, saobraćaj, upravljanje otpadom, itd). Teme edukacije odnose se na zakonske obaveze jedinica lokalne samouprave, propisane </w:t>
            </w:r>
            <w:r>
              <w:rPr>
                <w:rFonts w:ascii="Calibri" w:hAnsi="Calibri" w:cs="Calibri" w:eastAsia="Calibri"/>
                <w:i/>
                <w:color w:val="auto"/>
                <w:spacing w:val="0"/>
                <w:position w:val="0"/>
                <w:sz w:val="18"/>
                <w:shd w:fill="auto" w:val="clear"/>
              </w:rPr>
              <w:t xml:space="preserve">Pravilnikom o informacionom sistemu energijske efikasnosti Federacije BiH</w:t>
            </w:r>
            <w:r>
              <w:rPr>
                <w:rFonts w:ascii="Calibri" w:hAnsi="Calibri" w:cs="Calibri" w:eastAsia="Calibri"/>
                <w:color w:val="auto"/>
                <w:spacing w:val="0"/>
                <w:position w:val="0"/>
                <w:sz w:val="18"/>
                <w:shd w:fill="auto" w:val="clear"/>
              </w:rPr>
              <w:t xml:space="preserve"> (Sl. novine Federacije BiH, br. 2/19) kojim se uređuju:</w:t>
            </w:r>
          </w:p>
          <w:p>
            <w:pPr>
              <w:numPr>
                <w:ilvl w:val="0"/>
                <w:numId w:val="2499"/>
              </w:numPr>
              <w:spacing w:before="0" w:after="0" w:line="240"/>
              <w:ind w:right="0" w:left="360" w:hanging="360"/>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Struktura, sadržaj i karakteristike sveobuhvatnog </w:t>
            </w:r>
            <w:r>
              <w:rPr>
                <w:rFonts w:ascii="Calibri" w:hAnsi="Calibri" w:cs="Calibri" w:eastAsia="Calibri"/>
                <w:i/>
                <w:color w:val="auto"/>
                <w:spacing w:val="0"/>
                <w:position w:val="0"/>
                <w:sz w:val="18"/>
                <w:shd w:fill="auto" w:val="clear"/>
              </w:rPr>
              <w:t xml:space="preserve">Informacionog sistema energijske efikasnosti Federacije BiH (ISEE), </w:t>
            </w:r>
            <w:r>
              <w:rPr>
                <w:rFonts w:ascii="Calibri" w:hAnsi="Calibri" w:cs="Calibri" w:eastAsia="Calibri"/>
                <w:color w:val="auto"/>
                <w:spacing w:val="0"/>
                <w:position w:val="0"/>
                <w:sz w:val="18"/>
                <w:shd w:fill="auto" w:val="clear"/>
              </w:rPr>
              <w:t xml:space="preserve">definiranog kao obavezan alat za upravljanje energijom</w:t>
            </w:r>
            <w:r>
              <w:rPr>
                <w:rFonts w:ascii="Calibri" w:hAnsi="Calibri" w:cs="Calibri" w:eastAsia="Calibri"/>
                <w:i/>
                <w:color w:val="auto"/>
                <w:spacing w:val="0"/>
                <w:position w:val="0"/>
                <w:sz w:val="18"/>
                <w:shd w:fill="auto" w:val="clear"/>
              </w:rPr>
              <w:t xml:space="preserve">;</w:t>
            </w:r>
          </w:p>
          <w:p>
            <w:pPr>
              <w:numPr>
                <w:ilvl w:val="0"/>
                <w:numId w:val="2499"/>
              </w:numPr>
              <w:spacing w:before="40" w:after="0" w:line="240"/>
              <w:ind w:right="0" w:left="360" w:hanging="360"/>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Obaveza prikupljanja, unosa, obrade i dostavljanja podataka za razne kategorije nosilaca podataka uklju</w:t>
            </w:r>
            <w:r>
              <w:rPr>
                <w:rFonts w:ascii="Calibri" w:hAnsi="Calibri" w:cs="Calibri" w:eastAsia="Calibri"/>
                <w:color w:val="auto"/>
                <w:spacing w:val="0"/>
                <w:position w:val="0"/>
                <w:sz w:val="18"/>
                <w:shd w:fill="auto" w:val="clear"/>
              </w:rPr>
              <w:t xml:space="preserve">čujući jedinice lokalne samouprave, te načine izvještavanja;</w:t>
            </w:r>
          </w:p>
          <w:p>
            <w:pPr>
              <w:numPr>
                <w:ilvl w:val="0"/>
                <w:numId w:val="2499"/>
              </w:numPr>
              <w:spacing w:before="40" w:after="0" w:line="240"/>
              <w:ind w:right="0" w:left="360" w:hanging="360"/>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Odgovorna lica nosilaca podataka (pri </w:t>
            </w:r>
            <w:r>
              <w:rPr>
                <w:rFonts w:ascii="Calibri" w:hAnsi="Calibri" w:cs="Calibri" w:eastAsia="Calibri"/>
                <w:color w:val="auto"/>
                <w:spacing w:val="0"/>
                <w:position w:val="0"/>
                <w:sz w:val="18"/>
                <w:shd w:fill="auto" w:val="clear"/>
              </w:rPr>
              <w:t xml:space="preserve">čemu je odgovorno lice jedinica lokalne samouprave gradonačelnik /načelnik), te obaveza imenovanja i dužnosti energijskih saradnika, energijskih menadžera i energijskih menadžera koordinatora.</w:t>
            </w:r>
          </w:p>
          <w:p>
            <w:pPr>
              <w:spacing w:before="40" w:after="0" w:line="240"/>
              <w:ind w:right="0" w:left="0" w:firstLine="0"/>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Pravilnik uklju</w:t>
            </w:r>
            <w:r>
              <w:rPr>
                <w:rFonts w:ascii="Calibri" w:hAnsi="Calibri" w:cs="Calibri" w:eastAsia="Calibri"/>
                <w:color w:val="auto"/>
                <w:spacing w:val="0"/>
                <w:position w:val="0"/>
                <w:sz w:val="18"/>
                <w:shd w:fill="auto" w:val="clear"/>
              </w:rPr>
              <w:t xml:space="preserve">čuje slijedeće priloge: </w:t>
            </w:r>
            <w:r>
              <w:rPr>
                <w:rFonts w:ascii="Calibri" w:hAnsi="Calibri" w:cs="Calibri" w:eastAsia="Calibri"/>
                <w:i/>
                <w:color w:val="auto"/>
                <w:spacing w:val="0"/>
                <w:position w:val="0"/>
                <w:sz w:val="18"/>
                <w:shd w:fill="auto" w:val="clear"/>
              </w:rPr>
              <w:t xml:space="preserve">Prilog 1 - Uštede energije sa Metodologijom za izračun ušteda energije u krajnjoj potrošnji primjenom metode „odozdo prema gore“; Prilog 2 - Potrošnja energije sa Metodologijom sistemskog upravljanja energijom; Prilog 3 – Energijski certifikati zgrada; Prilog 4 – Tehnički sistemi grijanja i klimatizacije; Prilog 5 – Organizaciona shema upravljanja energijom u Federaciji BiH; Prilog 6 – Metodologija za izračun ušteda energije u krajnjoj potrošnji primjenom metode „odozgo prema dole“; Prilog 7 – Metodologija za mjerenje i verifikaciju ušteda energije metodom istraživanja tržišta prodatih materijala i opreme; i Prilog 8 – IOPISEE Aplikacija /Integralna obrada i analiza podataka informacionog sistema energijske efikasnosti.</w:t>
            </w:r>
          </w:p>
          <w:p>
            <w:pPr>
              <w:spacing w:before="40" w:after="0" w:line="240"/>
              <w:ind w:right="0" w:left="0" w:firstLine="0"/>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U </w:t>
            </w:r>
            <w:r>
              <w:rPr>
                <w:rFonts w:ascii="Calibri" w:hAnsi="Calibri" w:cs="Calibri" w:eastAsia="Calibri"/>
                <w:i/>
                <w:color w:val="auto"/>
                <w:spacing w:val="0"/>
                <w:position w:val="0"/>
                <w:sz w:val="18"/>
                <w:shd w:fill="auto" w:val="clear"/>
              </w:rPr>
              <w:t xml:space="preserve">Prilogu 2</w:t>
            </w:r>
            <w:r>
              <w:rPr>
                <w:rFonts w:ascii="Calibri" w:hAnsi="Calibri" w:cs="Calibri" w:eastAsia="Calibri"/>
                <w:color w:val="auto"/>
                <w:spacing w:val="0"/>
                <w:position w:val="0"/>
                <w:sz w:val="18"/>
                <w:shd w:fill="auto" w:val="clear"/>
              </w:rPr>
              <w:t xml:space="preserve"> se npr. odre</w:t>
            </w:r>
            <w:r>
              <w:rPr>
                <w:rFonts w:ascii="Calibri" w:hAnsi="Calibri" w:cs="Calibri" w:eastAsia="Calibri"/>
                <w:color w:val="auto"/>
                <w:spacing w:val="0"/>
                <w:position w:val="0"/>
                <w:sz w:val="18"/>
                <w:shd w:fill="auto" w:val="clear"/>
              </w:rPr>
              <w:t xml:space="preserve">đuju: sistem za upravljanje energijom, koji ima dvije cjeline – baze podataka i aplikacije; vrste, funkcije i način određivanja energijskih troškovnih centara; uloge i obaveze svih korisnika i odgovornih lica; načini praćenja i analize potrošnje energije u raznim sektorima; planiranje, provedba i analiza mjera povećanja energetske efikasnosti; način slanja računa i očitanja daljinskim putem; Izrada izvještaja o godišnjoj potrošnji energenata i vode za javni sektor.</w:t>
            </w:r>
          </w:p>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Navedena edukacija </w:t>
            </w:r>
            <w:r>
              <w:rPr>
                <w:rFonts w:ascii="Calibri" w:hAnsi="Calibri" w:cs="Calibri" w:eastAsia="Calibri"/>
                <w:color w:val="auto"/>
                <w:spacing w:val="0"/>
                <w:position w:val="0"/>
                <w:sz w:val="18"/>
                <w:shd w:fill="auto" w:val="clear"/>
              </w:rPr>
              <w:t xml:space="preserve">će se provoditi kroz prisustvo imenovanih energijskih menadžera koordinatora, menadžera i saradnika na obaveznim edukacijama koje organizira Fond za zaštitu okoliša Federacije BiH, Federalno ministarstvo energije, rudarstva i industrije i Federalno ministarstvo prostornog uređenja, kao i organiziranje edukacija od strane Općine koje će za relevantne uposlenike Općine i javnih preduzeća vršiti licencirane kompanije.</w:t>
            </w:r>
          </w:p>
        </w:tc>
      </w:tr>
    </w:tbl>
    <w:p>
      <w:pPr>
        <w:keepNext w:val="true"/>
        <w:keepLines w:val="true"/>
        <w:numPr>
          <w:ilvl w:val="0"/>
          <w:numId w:val="2504"/>
        </w:numPr>
        <w:spacing w:before="240" w:after="0" w:line="240"/>
        <w:ind w:right="0" w:left="720" w:hanging="72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Mjere za smanjenje emisija CO</w:t>
      </w:r>
      <w:r>
        <w:rPr>
          <w:rFonts w:ascii="Calibri" w:hAnsi="Calibri" w:cs="Calibri" w:eastAsia="Calibri"/>
          <w:b/>
          <w:color w:val="auto"/>
          <w:spacing w:val="0"/>
          <w:position w:val="0"/>
          <w:sz w:val="24"/>
          <w:shd w:fill="auto" w:val="clear"/>
          <w:vertAlign w:val="subscript"/>
        </w:rPr>
        <w:t xml:space="preserve">2</w:t>
      </w:r>
      <w:r>
        <w:rPr>
          <w:rFonts w:ascii="Calibri" w:hAnsi="Calibri" w:cs="Calibri" w:eastAsia="Calibri"/>
          <w:b/>
          <w:color w:val="auto"/>
          <w:spacing w:val="0"/>
          <w:position w:val="0"/>
          <w:sz w:val="24"/>
          <w:shd w:fill="auto" w:val="clear"/>
        </w:rPr>
        <w:t xml:space="preserve"> iz sektora zgradarstva</w:t>
      </w:r>
    </w:p>
    <w:p>
      <w:pPr>
        <w:keepNext w:val="true"/>
        <w:keepLines w:val="true"/>
        <w:numPr>
          <w:ilvl w:val="0"/>
          <w:numId w:val="2504"/>
        </w:numPr>
        <w:spacing w:before="120" w:after="120" w:line="240"/>
        <w:ind w:right="0" w:left="862" w:hanging="862"/>
        <w:jc w:val="both"/>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Mjere u podsektoru stambenih zgrada</w:t>
      </w:r>
    </w:p>
    <w:tbl>
      <w:tblPr/>
      <w:tblGrid>
        <w:gridCol w:w="2093"/>
        <w:gridCol w:w="7400"/>
      </w:tblGrid>
      <w:tr>
        <w:trPr>
          <w:trHeight w:val="227" w:hRule="auto"/>
          <w:jc w:val="left"/>
        </w:trPr>
        <w:tc>
          <w:tcPr>
            <w:tcW w:w="2093" w:type="dxa"/>
            <w:tcBorders>
              <w:top w:val="single" w:color="000000" w:sz="4"/>
              <w:left w:val="single" w:color="000000" w:sz="4"/>
              <w:bottom w:val="single" w:color="000000" w:sz="4"/>
              <w:right w:val="single" w:color="000000" w:sz="4"/>
            </w:tcBorders>
            <w:shd w:color="auto" w:fill="b4c6e7" w:val="clear"/>
            <w:tcMar>
              <w:left w:w="108" w:type="dxa"/>
              <w:right w:w="108" w:type="dxa"/>
            </w:tcMar>
            <w:vAlign w:val="top"/>
          </w:tcPr>
          <w:p>
            <w:pPr>
              <w:spacing w:before="40" w:after="40" w:line="240"/>
              <w:ind w:right="0" w:left="0" w:firstLine="0"/>
              <w:jc w:val="left"/>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Redni broj mjere</w:t>
            </w:r>
          </w:p>
        </w:tc>
        <w:tc>
          <w:tcPr>
            <w:tcW w:w="7400" w:type="dxa"/>
            <w:tcBorders>
              <w:top w:val="single" w:color="000000" w:sz="4"/>
              <w:left w:val="single" w:color="000000" w:sz="4"/>
              <w:bottom w:val="single" w:color="000000" w:sz="4"/>
              <w:right w:val="single" w:color="000000" w:sz="4"/>
            </w:tcBorders>
            <w:shd w:color="auto" w:fill="b4c6e7" w:val="clear"/>
            <w:tcMar>
              <w:left w:w="108" w:type="dxa"/>
              <w:right w:w="108" w:type="dxa"/>
            </w:tcMar>
            <w:vAlign w:val="top"/>
          </w:tcPr>
          <w:p>
            <w:pPr>
              <w:spacing w:before="40" w:after="40" w:line="240"/>
              <w:ind w:right="0" w:left="0" w:firstLine="0"/>
              <w:jc w:val="center"/>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SZ-1 /Klju</w:t>
            </w:r>
            <w:r>
              <w:rPr>
                <w:rFonts w:ascii="Calibri" w:hAnsi="Calibri" w:cs="Calibri" w:eastAsia="Calibri"/>
                <w:b/>
                <w:color w:val="auto"/>
                <w:spacing w:val="0"/>
                <w:position w:val="0"/>
                <w:sz w:val="18"/>
                <w:shd w:fill="auto" w:val="clear"/>
              </w:rPr>
              <w:t xml:space="preserve">čna mjera</w:t>
            </w:r>
          </w:p>
        </w:tc>
      </w:tr>
      <w:tr>
        <w:trPr>
          <w:trHeight w:val="227" w:hRule="auto"/>
          <w:jc w:val="left"/>
        </w:trPr>
        <w:tc>
          <w:tcPr>
            <w:tcW w:w="2093" w:type="dxa"/>
            <w:tcBorders>
              <w:top w:val="single" w:color="000000" w:sz="4"/>
              <w:left w:val="single" w:color="000000" w:sz="4"/>
              <w:bottom w:val="single" w:color="000000" w:sz="4"/>
              <w:right w:val="single" w:color="000000" w:sz="4"/>
            </w:tcBorders>
            <w:shd w:color="auto" w:fill="b4c6e7" w:val="clear"/>
            <w:tcMar>
              <w:left w:w="108" w:type="dxa"/>
              <w:right w:w="108" w:type="dxa"/>
            </w:tcMar>
            <w:vAlign w:val="top"/>
          </w:tcPr>
          <w:p>
            <w:pPr>
              <w:spacing w:before="0" w:after="200" w:line="276"/>
              <w:ind w:right="0" w:left="0" w:firstLine="0"/>
              <w:jc w:val="center"/>
              <w:rPr>
                <w:rFonts w:ascii="Calibri" w:hAnsi="Calibri" w:cs="Calibri" w:eastAsia="Calibri"/>
                <w:b/>
                <w:color w:val="auto"/>
                <w:spacing w:val="0"/>
                <w:position w:val="0"/>
                <w:sz w:val="18"/>
                <w:shd w:fill="auto" w:val="clear"/>
              </w:rPr>
            </w:pPr>
            <w:r>
              <w:rPr>
                <w:rFonts w:ascii="Calibri" w:hAnsi="Calibri" w:cs="Calibri" w:eastAsia="Calibri"/>
                <w:b/>
                <w:color w:val="auto"/>
                <w:spacing w:val="0"/>
                <w:position w:val="0"/>
                <w:sz w:val="18"/>
                <w:shd w:fill="auto" w:val="clear"/>
              </w:rPr>
              <w:t xml:space="preserve"> </w:t>
            </w:r>
          </w:p>
          <w:p>
            <w:pPr>
              <w:spacing w:before="40" w:after="40" w:line="240"/>
              <w:ind w:right="0" w:left="0" w:firstLine="0"/>
              <w:jc w:val="left"/>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Naziv mjere</w:t>
            </w:r>
          </w:p>
        </w:tc>
        <w:tc>
          <w:tcPr>
            <w:tcW w:w="7400" w:type="dxa"/>
            <w:tcBorders>
              <w:top w:val="single" w:color="000000" w:sz="4"/>
              <w:left w:val="single" w:color="000000" w:sz="4"/>
              <w:bottom w:val="single" w:color="000000" w:sz="4"/>
              <w:right w:val="single" w:color="000000" w:sz="4"/>
            </w:tcBorders>
            <w:shd w:color="auto" w:fill="b4c6e7" w:val="clear"/>
            <w:tcMar>
              <w:left w:w="108" w:type="dxa"/>
              <w:right w:w="108" w:type="dxa"/>
            </w:tcMar>
            <w:vAlign w:val="top"/>
          </w:tcPr>
          <w:p>
            <w:pPr>
              <w:spacing w:before="40" w:after="40" w:line="240"/>
              <w:ind w:right="0" w:left="0" w:firstLine="0"/>
              <w:jc w:val="center"/>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Informiranje javnosti o neophodnosti ublažavanja klimatskih promjena i kontinuirana edukacija gra</w:t>
            </w:r>
            <w:r>
              <w:rPr>
                <w:rFonts w:ascii="Calibri" w:hAnsi="Calibri" w:cs="Calibri" w:eastAsia="Calibri"/>
                <w:b/>
                <w:color w:val="auto"/>
                <w:spacing w:val="0"/>
                <w:position w:val="0"/>
                <w:sz w:val="18"/>
                <w:shd w:fill="auto" w:val="clear"/>
              </w:rPr>
              <w:t xml:space="preserve">đana o praktičnim aspektima energetske efikasnosti</w:t>
            </w:r>
          </w:p>
        </w:tc>
      </w:tr>
      <w:tr>
        <w:trPr>
          <w:trHeight w:val="227" w:hRule="auto"/>
          <w:jc w:val="left"/>
        </w:trPr>
        <w:tc>
          <w:tcPr>
            <w:tcW w:w="2093" w:type="dxa"/>
            <w:tcBorders>
              <w:top w:val="single" w:color="000000" w:sz="4"/>
              <w:left w:val="single" w:color="000000" w:sz="4"/>
              <w:bottom w:val="single" w:color="000000" w:sz="4"/>
              <w:right w:val="single" w:color="000000" w:sz="4"/>
            </w:tcBorders>
            <w:shd w:color="auto" w:fill="d9e2f3" w:val="clear"/>
            <w:tcMar>
              <w:left w:w="108" w:type="dxa"/>
              <w:right w:w="108" w:type="dxa"/>
            </w:tcMar>
            <w:vAlign w:val="top"/>
          </w:tcPr>
          <w:p>
            <w:pPr>
              <w:spacing w:before="40" w:after="40" w:line="240"/>
              <w:ind w:right="0" w:left="0" w:firstLine="0"/>
              <w:jc w:val="left"/>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Nosilac realizacije mjere</w:t>
            </w:r>
          </w:p>
        </w:tc>
        <w:tc>
          <w:tcPr>
            <w:tcW w:w="74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Služba za prostorno ure</w:t>
            </w:r>
            <w:r>
              <w:rPr>
                <w:rFonts w:ascii="Calibri" w:hAnsi="Calibri" w:cs="Calibri" w:eastAsia="Calibri"/>
                <w:color w:val="auto"/>
                <w:spacing w:val="0"/>
                <w:position w:val="0"/>
                <w:sz w:val="18"/>
                <w:shd w:fill="auto" w:val="clear"/>
              </w:rPr>
              <w:t xml:space="preserve">đenje Općine Doboj Istok</w:t>
            </w:r>
          </w:p>
        </w:tc>
      </w:tr>
      <w:tr>
        <w:trPr>
          <w:trHeight w:val="350" w:hRule="auto"/>
          <w:jc w:val="left"/>
        </w:trPr>
        <w:tc>
          <w:tcPr>
            <w:tcW w:w="2093" w:type="dxa"/>
            <w:tcBorders>
              <w:top w:val="single" w:color="000000" w:sz="4"/>
              <w:left w:val="single" w:color="000000" w:sz="4"/>
              <w:bottom w:val="single" w:color="000000" w:sz="4"/>
              <w:right w:val="single" w:color="000000" w:sz="4"/>
            </w:tcBorders>
            <w:shd w:color="auto" w:fill="d9e2f3" w:val="clear"/>
            <w:tcMar>
              <w:left w:w="108" w:type="dxa"/>
              <w:right w:w="108" w:type="dxa"/>
            </w:tcMar>
            <w:vAlign w:val="top"/>
          </w:tcPr>
          <w:p>
            <w:pPr>
              <w:spacing w:before="40" w:after="40" w:line="240"/>
              <w:ind w:right="0" w:left="0" w:firstLine="0"/>
              <w:jc w:val="left"/>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Partneri u realizaciji</w:t>
            </w:r>
          </w:p>
        </w:tc>
        <w:tc>
          <w:tcPr>
            <w:tcW w:w="74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2521"/>
              </w:numPr>
              <w:spacing w:before="40" w:after="0" w:line="240"/>
              <w:ind w:right="0" w:left="482"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Ostale relevantne službe Op</w:t>
            </w:r>
            <w:r>
              <w:rPr>
                <w:rFonts w:ascii="Calibri" w:hAnsi="Calibri" w:cs="Calibri" w:eastAsia="Calibri"/>
                <w:color w:val="auto"/>
                <w:spacing w:val="0"/>
                <w:position w:val="0"/>
                <w:sz w:val="18"/>
                <w:shd w:fill="auto" w:val="clear"/>
              </w:rPr>
              <w:t xml:space="preserve">ćine Doboj Istok;</w:t>
            </w:r>
          </w:p>
          <w:p>
            <w:pPr>
              <w:numPr>
                <w:ilvl w:val="0"/>
                <w:numId w:val="2521"/>
              </w:numPr>
              <w:spacing w:before="0" w:after="0" w:line="240"/>
              <w:ind w:right="0" w:left="482"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Organizacije civilnog društva;</w:t>
            </w:r>
          </w:p>
          <w:p>
            <w:pPr>
              <w:numPr>
                <w:ilvl w:val="0"/>
                <w:numId w:val="2521"/>
              </w:numPr>
              <w:spacing w:before="0" w:after="0" w:line="240"/>
              <w:ind w:right="0" w:left="482"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Mjesne zajednice op</w:t>
            </w:r>
            <w:r>
              <w:rPr>
                <w:rFonts w:ascii="Calibri" w:hAnsi="Calibri" w:cs="Calibri" w:eastAsia="Calibri"/>
                <w:color w:val="auto"/>
                <w:spacing w:val="0"/>
                <w:position w:val="0"/>
                <w:sz w:val="18"/>
                <w:shd w:fill="auto" w:val="clear"/>
              </w:rPr>
              <w:t xml:space="preserve">ćine Doboj Istok;</w:t>
            </w:r>
          </w:p>
          <w:p>
            <w:pPr>
              <w:numPr>
                <w:ilvl w:val="0"/>
                <w:numId w:val="2521"/>
              </w:numPr>
              <w:spacing w:before="0" w:after="40" w:line="240"/>
              <w:ind w:right="0" w:left="482" w:hanging="357"/>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Ministarstvo prostornog ure</w:t>
            </w:r>
            <w:r>
              <w:rPr>
                <w:rFonts w:ascii="Calibri" w:hAnsi="Calibri" w:cs="Calibri" w:eastAsia="Calibri"/>
                <w:color w:val="auto"/>
                <w:spacing w:val="0"/>
                <w:position w:val="0"/>
                <w:sz w:val="18"/>
                <w:shd w:fill="auto" w:val="clear"/>
              </w:rPr>
              <w:t xml:space="preserve">đenja i zaštite okolice Tuzlanskog kantona </w:t>
            </w:r>
          </w:p>
        </w:tc>
      </w:tr>
      <w:tr>
        <w:trPr>
          <w:trHeight w:val="227" w:hRule="auto"/>
          <w:jc w:val="left"/>
        </w:trPr>
        <w:tc>
          <w:tcPr>
            <w:tcW w:w="2093" w:type="dxa"/>
            <w:tcBorders>
              <w:top w:val="single" w:color="000000" w:sz="4"/>
              <w:left w:val="single" w:color="000000" w:sz="4"/>
              <w:bottom w:val="single" w:color="000000" w:sz="4"/>
              <w:right w:val="single" w:color="000000" w:sz="4"/>
            </w:tcBorders>
            <w:shd w:color="auto" w:fill="d9e2f3" w:val="clear"/>
            <w:tcMar>
              <w:left w:w="108" w:type="dxa"/>
              <w:right w:w="108" w:type="dxa"/>
            </w:tcMar>
            <w:vAlign w:val="top"/>
          </w:tcPr>
          <w:p>
            <w:pPr>
              <w:spacing w:before="40" w:after="40" w:line="240"/>
              <w:ind w:right="0" w:left="0" w:firstLine="0"/>
              <w:jc w:val="left"/>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Period realizacije</w:t>
            </w:r>
          </w:p>
        </w:tc>
        <w:tc>
          <w:tcPr>
            <w:tcW w:w="74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72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2021. – 2030.</w:t>
            </w:r>
          </w:p>
        </w:tc>
      </w:tr>
      <w:tr>
        <w:trPr>
          <w:trHeight w:val="227" w:hRule="auto"/>
          <w:jc w:val="left"/>
        </w:trPr>
        <w:tc>
          <w:tcPr>
            <w:tcW w:w="2093" w:type="dxa"/>
            <w:tcBorders>
              <w:top w:val="single" w:color="000000" w:sz="4"/>
              <w:left w:val="single" w:color="000000" w:sz="4"/>
              <w:bottom w:val="single" w:color="000000" w:sz="4"/>
              <w:right w:val="single" w:color="000000" w:sz="4"/>
            </w:tcBorders>
            <w:shd w:color="auto" w:fill="d9e2f3" w:val="clear"/>
            <w:tcMar>
              <w:left w:w="108" w:type="dxa"/>
              <w:right w:w="108" w:type="dxa"/>
            </w:tcMar>
            <w:vAlign w:val="top"/>
          </w:tcPr>
          <w:p>
            <w:pPr>
              <w:spacing w:before="40" w:after="40" w:line="240"/>
              <w:ind w:right="0" w:left="0" w:firstLine="0"/>
              <w:jc w:val="left"/>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Ušteda (MWh)</w:t>
            </w:r>
          </w:p>
        </w:tc>
        <w:tc>
          <w:tcPr>
            <w:tcW w:w="74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72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n/a</w:t>
            </w:r>
          </w:p>
        </w:tc>
      </w:tr>
      <w:tr>
        <w:trPr>
          <w:trHeight w:val="227" w:hRule="auto"/>
          <w:jc w:val="left"/>
        </w:trPr>
        <w:tc>
          <w:tcPr>
            <w:tcW w:w="2093" w:type="dxa"/>
            <w:tcBorders>
              <w:top w:val="single" w:color="000000" w:sz="4"/>
              <w:left w:val="single" w:color="000000" w:sz="4"/>
              <w:bottom w:val="single" w:color="000000" w:sz="4"/>
              <w:right w:val="single" w:color="000000" w:sz="4"/>
            </w:tcBorders>
            <w:shd w:color="auto" w:fill="d9e2f3" w:val="clear"/>
            <w:tcMar>
              <w:left w:w="108" w:type="dxa"/>
              <w:right w:w="108" w:type="dxa"/>
            </w:tcMar>
            <w:vAlign w:val="top"/>
          </w:tcPr>
          <w:p>
            <w:pPr>
              <w:spacing w:before="40" w:after="40" w:line="240"/>
              <w:ind w:right="0" w:left="0" w:firstLine="0"/>
              <w:jc w:val="left"/>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Smanjenja emisije (tCO</w:t>
            </w:r>
            <w:r>
              <w:rPr>
                <w:rFonts w:ascii="Calibri" w:hAnsi="Calibri" w:cs="Calibri" w:eastAsia="Calibri"/>
                <w:b/>
                <w:color w:val="auto"/>
                <w:spacing w:val="0"/>
                <w:position w:val="0"/>
                <w:sz w:val="18"/>
                <w:shd w:fill="auto" w:val="clear"/>
                <w:vertAlign w:val="subscript"/>
              </w:rPr>
              <w:t xml:space="preserve">2</w:t>
            </w:r>
            <w:r>
              <w:rPr>
                <w:rFonts w:ascii="Calibri" w:hAnsi="Calibri" w:cs="Calibri" w:eastAsia="Calibri"/>
                <w:b/>
                <w:color w:val="auto"/>
                <w:spacing w:val="0"/>
                <w:position w:val="0"/>
                <w:sz w:val="18"/>
                <w:shd w:fill="auto" w:val="clear"/>
              </w:rPr>
              <w:t xml:space="preserve">)</w:t>
            </w:r>
          </w:p>
        </w:tc>
        <w:tc>
          <w:tcPr>
            <w:tcW w:w="74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72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n/a</w:t>
            </w:r>
          </w:p>
        </w:tc>
      </w:tr>
      <w:tr>
        <w:trPr>
          <w:trHeight w:val="227" w:hRule="auto"/>
          <w:jc w:val="left"/>
        </w:trPr>
        <w:tc>
          <w:tcPr>
            <w:tcW w:w="2093" w:type="dxa"/>
            <w:tcBorders>
              <w:top w:val="single" w:color="000000" w:sz="4"/>
              <w:left w:val="single" w:color="000000" w:sz="4"/>
              <w:bottom w:val="single" w:color="000000" w:sz="4"/>
              <w:right w:val="single" w:color="000000" w:sz="4"/>
            </w:tcBorders>
            <w:shd w:color="auto" w:fill="d9e2f3" w:val="clear"/>
            <w:tcMar>
              <w:left w:w="108" w:type="dxa"/>
              <w:right w:w="108" w:type="dxa"/>
            </w:tcMar>
            <w:vAlign w:val="top"/>
          </w:tcPr>
          <w:p>
            <w:pPr>
              <w:spacing w:before="40" w:after="40" w:line="240"/>
              <w:ind w:right="0" w:left="0" w:firstLine="0"/>
              <w:jc w:val="left"/>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Ukupna investicija (KM)</w:t>
            </w:r>
          </w:p>
        </w:tc>
        <w:tc>
          <w:tcPr>
            <w:tcW w:w="7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40" w:after="40" w:line="240"/>
              <w:ind w:right="0" w:left="72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50.000</w:t>
            </w:r>
          </w:p>
        </w:tc>
      </w:tr>
      <w:tr>
        <w:trPr>
          <w:trHeight w:val="999" w:hRule="auto"/>
          <w:jc w:val="left"/>
        </w:trPr>
        <w:tc>
          <w:tcPr>
            <w:tcW w:w="2093" w:type="dxa"/>
            <w:tcBorders>
              <w:top w:val="single" w:color="000000" w:sz="4"/>
              <w:left w:val="single" w:color="000000" w:sz="4"/>
              <w:bottom w:val="single" w:color="000000" w:sz="4"/>
              <w:right w:val="single" w:color="000000" w:sz="4"/>
            </w:tcBorders>
            <w:shd w:color="auto" w:fill="d9e2f3" w:val="clear"/>
            <w:tcMar>
              <w:left w:w="108" w:type="dxa"/>
              <w:right w:w="108" w:type="dxa"/>
            </w:tcMar>
            <w:vAlign w:val="top"/>
          </w:tcPr>
          <w:p>
            <w:pPr>
              <w:spacing w:before="40" w:after="40" w:line="240"/>
              <w:ind w:right="0" w:left="0" w:firstLine="0"/>
              <w:jc w:val="left"/>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Mogu</w:t>
            </w:r>
            <w:r>
              <w:rPr>
                <w:rFonts w:ascii="Calibri" w:hAnsi="Calibri" w:cs="Calibri" w:eastAsia="Calibri"/>
                <w:b/>
                <w:color w:val="auto"/>
                <w:spacing w:val="0"/>
                <w:position w:val="0"/>
                <w:sz w:val="18"/>
                <w:shd w:fill="auto" w:val="clear"/>
              </w:rPr>
              <w:t xml:space="preserve">ći izvor financijskih sredstava za realizaciju mjere</w:t>
            </w:r>
          </w:p>
        </w:tc>
        <w:tc>
          <w:tcPr>
            <w:tcW w:w="74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2541"/>
              </w:numPr>
              <w:spacing w:before="40" w:after="0" w:line="240"/>
              <w:ind w:right="0" w:left="482"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Budžet Op</w:t>
            </w:r>
            <w:r>
              <w:rPr>
                <w:rFonts w:ascii="Calibri" w:hAnsi="Calibri" w:cs="Calibri" w:eastAsia="Calibri"/>
                <w:color w:val="auto"/>
                <w:spacing w:val="0"/>
                <w:position w:val="0"/>
                <w:sz w:val="18"/>
                <w:shd w:fill="auto" w:val="clear"/>
              </w:rPr>
              <w:t xml:space="preserve">ćine Doboj Istok;</w:t>
            </w:r>
          </w:p>
          <w:p>
            <w:pPr>
              <w:numPr>
                <w:ilvl w:val="0"/>
                <w:numId w:val="2541"/>
              </w:numPr>
              <w:spacing w:before="0" w:after="0" w:line="240"/>
              <w:ind w:right="0" w:left="482"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Budžet Tuzlanskog kantona;</w:t>
            </w:r>
          </w:p>
          <w:p>
            <w:pPr>
              <w:numPr>
                <w:ilvl w:val="0"/>
                <w:numId w:val="2541"/>
              </w:numPr>
              <w:spacing w:before="0" w:after="0" w:line="240"/>
              <w:ind w:right="0" w:left="482"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Fond za zaštitu okoliša Federacije BiH;</w:t>
            </w:r>
          </w:p>
          <w:p>
            <w:pPr>
              <w:numPr>
                <w:ilvl w:val="0"/>
                <w:numId w:val="2541"/>
              </w:numPr>
              <w:spacing w:before="0" w:after="0" w:line="240"/>
              <w:ind w:right="0" w:left="482" w:hanging="357"/>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Me</w:t>
            </w:r>
            <w:r>
              <w:rPr>
                <w:rFonts w:ascii="Calibri" w:hAnsi="Calibri" w:cs="Calibri" w:eastAsia="Calibri"/>
                <w:color w:val="auto"/>
                <w:spacing w:val="0"/>
                <w:position w:val="0"/>
                <w:sz w:val="18"/>
                <w:shd w:fill="auto" w:val="clear"/>
              </w:rPr>
              <w:t xml:space="preserve">đunarodne razvojne organizacije (UNDP, EU, vlade i ambasade pojedinih zemalja, itd)</w:t>
            </w:r>
          </w:p>
        </w:tc>
      </w:tr>
      <w:tr>
        <w:trPr>
          <w:trHeight w:val="423" w:hRule="auto"/>
          <w:jc w:val="left"/>
        </w:trPr>
        <w:tc>
          <w:tcPr>
            <w:tcW w:w="2093" w:type="dxa"/>
            <w:tcBorders>
              <w:top w:val="single" w:color="000000" w:sz="4"/>
              <w:left w:val="single" w:color="000000" w:sz="4"/>
              <w:bottom w:val="single" w:color="000000" w:sz="4"/>
              <w:right w:val="single" w:color="000000" w:sz="4"/>
            </w:tcBorders>
            <w:shd w:color="auto" w:fill="d9e2f3" w:val="clear"/>
            <w:tcMar>
              <w:left w:w="108" w:type="dxa"/>
              <w:right w:w="108" w:type="dxa"/>
            </w:tcMar>
            <w:vAlign w:val="top"/>
          </w:tcPr>
          <w:p>
            <w:pPr>
              <w:spacing w:before="40" w:after="40" w:line="240"/>
              <w:ind w:right="0" w:left="0" w:firstLine="0"/>
              <w:jc w:val="left"/>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Kratki opis mjere /komentari</w:t>
            </w:r>
          </w:p>
        </w:tc>
        <w:tc>
          <w:tcPr>
            <w:tcW w:w="74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0" w:line="240"/>
              <w:ind w:right="0" w:left="0" w:firstLine="0"/>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Mjera obuhvata informiranje javnosti o zna</w:t>
            </w:r>
            <w:r>
              <w:rPr>
                <w:rFonts w:ascii="Calibri" w:hAnsi="Calibri" w:cs="Calibri" w:eastAsia="Calibri"/>
                <w:color w:val="auto"/>
                <w:spacing w:val="0"/>
                <w:position w:val="0"/>
                <w:sz w:val="18"/>
                <w:shd w:fill="auto" w:val="clear"/>
              </w:rPr>
              <w:t xml:space="preserve">čaju energetske efikasnosti kao sredstva za ublažavanje klimatskih promjena, i poticanje građana na provođenje mjera energetske efikasnosti u svojim stambenim jedinicama. Ova mjera ima dvostruki cilj, i to:</w:t>
            </w:r>
          </w:p>
          <w:p>
            <w:pPr>
              <w:numPr>
                <w:ilvl w:val="0"/>
                <w:numId w:val="2547"/>
              </w:numPr>
              <w:spacing w:before="0" w:after="0" w:line="240"/>
              <w:ind w:right="0" w:left="357"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Motiviranje gra</w:t>
            </w:r>
            <w:r>
              <w:rPr>
                <w:rFonts w:ascii="Calibri" w:hAnsi="Calibri" w:cs="Calibri" w:eastAsia="Calibri"/>
                <w:color w:val="auto"/>
                <w:spacing w:val="0"/>
                <w:position w:val="0"/>
                <w:sz w:val="18"/>
                <w:shd w:fill="auto" w:val="clear"/>
              </w:rPr>
              <w:t xml:space="preserve">đana za učešće u javnim pozivima Općine Doboj Istok u okviru mjera energetske obnove stambenih zgrada individualnog stanovanja planiranih ovim dokumentom u podsektoru stambenih zgrada, i tehnička podrška aplikantima i odabranim korisnicima; i</w:t>
            </w:r>
          </w:p>
          <w:p>
            <w:pPr>
              <w:numPr>
                <w:ilvl w:val="0"/>
                <w:numId w:val="2547"/>
              </w:numPr>
              <w:spacing w:before="0" w:after="0" w:line="240"/>
              <w:ind w:right="0" w:left="357"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Motiviranje gra</w:t>
            </w:r>
            <w:r>
              <w:rPr>
                <w:rFonts w:ascii="Calibri" w:hAnsi="Calibri" w:cs="Calibri" w:eastAsia="Calibri"/>
                <w:color w:val="auto"/>
                <w:spacing w:val="0"/>
                <w:position w:val="0"/>
                <w:sz w:val="18"/>
                <w:shd w:fill="auto" w:val="clear"/>
              </w:rPr>
              <w:t xml:space="preserve">đana za samostalno provođenje mjera energetske efikasnosti u svojim stambenim jedinicama, kako u stambenim zgradama individualnog stanovanja tako i u stanovima u etažnom vlasništvu odnosno zgradama kolektivnog stanovanja.</w:t>
            </w:r>
          </w:p>
          <w:p>
            <w:pPr>
              <w:spacing w:before="40" w:after="0" w:line="240"/>
              <w:ind w:right="0" w:left="0" w:firstLine="0"/>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Najvažnije teme predvi</w:t>
            </w:r>
            <w:r>
              <w:rPr>
                <w:rFonts w:ascii="Calibri" w:hAnsi="Calibri" w:cs="Calibri" w:eastAsia="Calibri"/>
                <w:color w:val="auto"/>
                <w:spacing w:val="0"/>
                <w:position w:val="0"/>
                <w:sz w:val="18"/>
                <w:shd w:fill="auto" w:val="clear"/>
              </w:rPr>
              <w:t xml:space="preserve">đene edukacije su: moguće mjere energetske efikasnosti u stambenim zgradama (mjere na ovojnici zgrade; energetski efikasno grijanje, hlađenje, klimatizacija i rasvjeta; proizvodnja energije iz obnovljivih izvora; energetski efikasni uređaji); energetski i financijski efekti mjera energetske efikasnosti u stambenim zgradama; raspoloživost potrebnih materijala i opreme na domaćem tržištu; mogućnosti i uslovi financiranja mjera energetske efikasnosti za građane; svrha energetskih audita i certificiranja te raspoloživost ovih usluga; itd. Sve teme će biti objašnjene na građanima pristupačan i lako razumljiv način, i to kroz aktivnosti kao npr:  </w:t>
            </w:r>
          </w:p>
          <w:p>
            <w:pPr>
              <w:numPr>
                <w:ilvl w:val="0"/>
                <w:numId w:val="2549"/>
              </w:numPr>
              <w:spacing w:before="0" w:after="0" w:line="240"/>
              <w:ind w:right="0" w:left="714"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TV i radio emisije (edukativni serijali o energetskoj efikasnosti, kontakt-programi uz gostovanje stru</w:t>
            </w:r>
            <w:r>
              <w:rPr>
                <w:rFonts w:ascii="Calibri" w:hAnsi="Calibri" w:cs="Calibri" w:eastAsia="Calibri"/>
                <w:color w:val="auto"/>
                <w:spacing w:val="0"/>
                <w:position w:val="0"/>
                <w:sz w:val="18"/>
                <w:shd w:fill="auto" w:val="clear"/>
              </w:rPr>
              <w:t xml:space="preserve">čnjaka u navedenim oblastima, i slično);</w:t>
            </w:r>
          </w:p>
          <w:p>
            <w:pPr>
              <w:numPr>
                <w:ilvl w:val="0"/>
                <w:numId w:val="2549"/>
              </w:numPr>
              <w:spacing w:before="0" w:after="0" w:line="240"/>
              <w:ind w:right="0" w:left="714"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Aktivna komunikacija sa gra</w:t>
            </w:r>
            <w:r>
              <w:rPr>
                <w:rFonts w:ascii="Calibri" w:hAnsi="Calibri" w:cs="Calibri" w:eastAsia="Calibri"/>
                <w:color w:val="auto"/>
                <w:spacing w:val="0"/>
                <w:position w:val="0"/>
                <w:sz w:val="18"/>
                <w:shd w:fill="auto" w:val="clear"/>
              </w:rPr>
              <w:t xml:space="preserve">đanima putem web-portala Općine Doboj Istok, na kojem će se uspostaviti odjeljak „energetska efikasnost za građane“, i prateća facebook stranica; </w:t>
            </w:r>
          </w:p>
          <w:p>
            <w:pPr>
              <w:numPr>
                <w:ilvl w:val="0"/>
                <w:numId w:val="2549"/>
              </w:numPr>
              <w:spacing w:before="0" w:after="0" w:line="240"/>
              <w:ind w:right="0" w:left="714"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Održavanje edukativnih radionica za gra</w:t>
            </w:r>
            <w:r>
              <w:rPr>
                <w:rFonts w:ascii="Calibri" w:hAnsi="Calibri" w:cs="Calibri" w:eastAsia="Calibri"/>
                <w:color w:val="auto"/>
                <w:spacing w:val="0"/>
                <w:position w:val="0"/>
                <w:sz w:val="18"/>
                <w:shd w:fill="auto" w:val="clear"/>
              </w:rPr>
              <w:t xml:space="preserve">đane; </w:t>
            </w:r>
          </w:p>
          <w:p>
            <w:pPr>
              <w:numPr>
                <w:ilvl w:val="0"/>
                <w:numId w:val="2549"/>
              </w:numPr>
              <w:spacing w:before="0" w:after="0" w:line="240"/>
              <w:ind w:right="0" w:left="714"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Redovno održavanje manifestacije „Dani energetske efikasnosti op</w:t>
            </w:r>
            <w:r>
              <w:rPr>
                <w:rFonts w:ascii="Calibri" w:hAnsi="Calibri" w:cs="Calibri" w:eastAsia="Calibri"/>
                <w:color w:val="auto"/>
                <w:spacing w:val="0"/>
                <w:position w:val="0"/>
                <w:sz w:val="18"/>
                <w:shd w:fill="auto" w:val="clear"/>
              </w:rPr>
              <w:t xml:space="preserve">ćine Doboj Istok“ na javnim prostorima, sa predstavljanjem novih tehnologija i aktuelnih mogućnosti za građane; </w:t>
            </w:r>
          </w:p>
          <w:p>
            <w:pPr>
              <w:numPr>
                <w:ilvl w:val="0"/>
                <w:numId w:val="2549"/>
              </w:numPr>
              <w:spacing w:before="0" w:after="40" w:line="240"/>
              <w:ind w:right="0" w:left="714" w:hanging="357"/>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Izrada informativnih brošura i letaka, i njihovo postavljanje  na šalterima i info pultovima relevantnih službi Op</w:t>
            </w:r>
            <w:r>
              <w:rPr>
                <w:rFonts w:ascii="Calibri" w:hAnsi="Calibri" w:cs="Calibri" w:eastAsia="Calibri"/>
                <w:color w:val="auto"/>
                <w:spacing w:val="0"/>
                <w:position w:val="0"/>
                <w:sz w:val="18"/>
                <w:shd w:fill="auto" w:val="clear"/>
              </w:rPr>
              <w:t xml:space="preserve">ćine i javnih institucija.</w:t>
            </w:r>
          </w:p>
        </w:tc>
      </w:tr>
    </w:tbl>
    <w:p>
      <w:pPr>
        <w:spacing w:before="120" w:after="120" w:line="240"/>
        <w:ind w:right="0" w:left="0" w:firstLine="0"/>
        <w:jc w:val="both"/>
        <w:rPr>
          <w:rFonts w:ascii="Calibri" w:hAnsi="Calibri" w:cs="Calibri" w:eastAsia="Calibri"/>
          <w:color w:val="auto"/>
          <w:spacing w:val="0"/>
          <w:position w:val="0"/>
          <w:sz w:val="22"/>
          <w:shd w:fill="auto" w:val="clear"/>
        </w:rPr>
      </w:pPr>
    </w:p>
    <w:tbl>
      <w:tblPr/>
      <w:tblGrid>
        <w:gridCol w:w="2093"/>
        <w:gridCol w:w="7398"/>
      </w:tblGrid>
      <w:tr>
        <w:trPr>
          <w:trHeight w:val="227" w:hRule="auto"/>
          <w:jc w:val="left"/>
        </w:trPr>
        <w:tc>
          <w:tcPr>
            <w:tcW w:w="2093" w:type="dxa"/>
            <w:tcBorders>
              <w:top w:val="single" w:color="000000" w:sz="4"/>
              <w:left w:val="single" w:color="000000" w:sz="4"/>
              <w:bottom w:val="single" w:color="000000" w:sz="4"/>
              <w:right w:val="single" w:color="000000" w:sz="4"/>
            </w:tcBorders>
            <w:shd w:color="auto" w:fill="b4c6e7"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Redni broj mjere</w:t>
            </w:r>
          </w:p>
        </w:tc>
        <w:tc>
          <w:tcPr>
            <w:tcW w:w="7398" w:type="dxa"/>
            <w:tcBorders>
              <w:top w:val="single" w:color="000000" w:sz="4"/>
              <w:left w:val="single" w:color="000000" w:sz="4"/>
              <w:bottom w:val="single" w:color="000000" w:sz="4"/>
              <w:right w:val="single" w:color="000000" w:sz="4"/>
            </w:tcBorders>
            <w:shd w:color="auto" w:fill="b4c6e7" w:val="clear"/>
            <w:tcMar>
              <w:left w:w="108" w:type="dxa"/>
              <w:right w:w="108" w:type="dxa"/>
            </w:tcMar>
            <w:vAlign w:val="top"/>
          </w:tcPr>
          <w:p>
            <w:pPr>
              <w:spacing w:before="40" w:after="40" w:line="240"/>
              <w:ind w:right="0" w:left="0" w:firstLine="0"/>
              <w:jc w:val="center"/>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SZ-2 /Klju</w:t>
            </w:r>
            <w:r>
              <w:rPr>
                <w:rFonts w:ascii="Calibri" w:hAnsi="Calibri" w:cs="Calibri" w:eastAsia="Calibri"/>
                <w:b/>
                <w:color w:val="auto"/>
                <w:spacing w:val="0"/>
                <w:position w:val="0"/>
                <w:sz w:val="18"/>
                <w:shd w:fill="auto" w:val="clear"/>
              </w:rPr>
              <w:t xml:space="preserve">čna mjera</w:t>
            </w:r>
          </w:p>
        </w:tc>
      </w:tr>
      <w:tr>
        <w:trPr>
          <w:trHeight w:val="332" w:hRule="auto"/>
          <w:jc w:val="left"/>
        </w:trPr>
        <w:tc>
          <w:tcPr>
            <w:tcW w:w="2093" w:type="dxa"/>
            <w:tcBorders>
              <w:top w:val="single" w:color="000000" w:sz="4"/>
              <w:left w:val="single" w:color="000000" w:sz="4"/>
              <w:bottom w:val="single" w:color="000000" w:sz="4"/>
              <w:right w:val="single" w:color="000000" w:sz="4"/>
            </w:tcBorders>
            <w:shd w:color="auto" w:fill="b4c6e7"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 </w:t>
            </w:r>
          </w:p>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Naziv mjere</w:t>
            </w:r>
          </w:p>
        </w:tc>
        <w:tc>
          <w:tcPr>
            <w:tcW w:w="7398" w:type="dxa"/>
            <w:tcBorders>
              <w:top w:val="single" w:color="000000" w:sz="4"/>
              <w:left w:val="single" w:color="000000" w:sz="4"/>
              <w:bottom w:val="single" w:color="000000" w:sz="4"/>
              <w:right w:val="single" w:color="000000" w:sz="4"/>
            </w:tcBorders>
            <w:shd w:color="auto" w:fill="b4c6e7" w:val="clear"/>
            <w:tcMar>
              <w:left w:w="108" w:type="dxa"/>
              <w:right w:w="108" w:type="dxa"/>
            </w:tcMar>
            <w:vAlign w:val="top"/>
          </w:tcPr>
          <w:p>
            <w:pPr>
              <w:spacing w:before="40" w:after="40" w:line="240"/>
              <w:ind w:right="0" w:left="0" w:firstLine="0"/>
              <w:jc w:val="center"/>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Energetska obnova vanjske ovojnice stambenih zgrada individualnog stanovanja</w:t>
            </w:r>
          </w:p>
        </w:tc>
      </w:tr>
      <w:tr>
        <w:trPr>
          <w:trHeight w:val="227" w:hRule="auto"/>
          <w:jc w:val="left"/>
        </w:trPr>
        <w:tc>
          <w:tcPr>
            <w:tcW w:w="2093" w:type="dxa"/>
            <w:tcBorders>
              <w:top w:val="single" w:color="000000" w:sz="4"/>
              <w:left w:val="single" w:color="000000" w:sz="4"/>
              <w:bottom w:val="single" w:color="000000" w:sz="4"/>
              <w:right w:val="single" w:color="000000" w:sz="4"/>
            </w:tcBorders>
            <w:shd w:color="auto" w:fill="d9e2f3" w:val="clear"/>
            <w:tcMar>
              <w:left w:w="108" w:type="dxa"/>
              <w:right w:w="108" w:type="dxa"/>
            </w:tcMar>
            <w:vAlign w:val="top"/>
          </w:tcPr>
          <w:p>
            <w:pPr>
              <w:spacing w:before="40" w:after="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Nosilac realizacije mjere</w:t>
            </w:r>
          </w:p>
        </w:tc>
        <w:tc>
          <w:tcPr>
            <w:tcW w:w="739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Služba za prostorno ure</w:t>
            </w:r>
            <w:r>
              <w:rPr>
                <w:rFonts w:ascii="Calibri" w:hAnsi="Calibri" w:cs="Calibri" w:eastAsia="Calibri"/>
                <w:color w:val="auto"/>
                <w:spacing w:val="0"/>
                <w:position w:val="0"/>
                <w:sz w:val="18"/>
                <w:shd w:fill="auto" w:val="clear"/>
              </w:rPr>
              <w:t xml:space="preserve">đenje Općine Doboj Istok</w:t>
            </w:r>
          </w:p>
        </w:tc>
      </w:tr>
      <w:tr>
        <w:trPr>
          <w:trHeight w:val="692" w:hRule="auto"/>
          <w:jc w:val="left"/>
        </w:trPr>
        <w:tc>
          <w:tcPr>
            <w:tcW w:w="2093" w:type="dxa"/>
            <w:tcBorders>
              <w:top w:val="single" w:color="000000" w:sz="4"/>
              <w:left w:val="single" w:color="000000" w:sz="4"/>
              <w:bottom w:val="single" w:color="000000" w:sz="4"/>
              <w:right w:val="single" w:color="000000" w:sz="4"/>
            </w:tcBorders>
            <w:shd w:color="auto" w:fill="d9e2f3" w:val="clear"/>
            <w:tcMar>
              <w:left w:w="108" w:type="dxa"/>
              <w:right w:w="108" w:type="dxa"/>
            </w:tcMar>
            <w:vAlign w:val="top"/>
          </w:tcPr>
          <w:p>
            <w:pPr>
              <w:spacing w:before="40" w:after="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Partneri u realizaciji</w:t>
            </w:r>
          </w:p>
        </w:tc>
        <w:tc>
          <w:tcPr>
            <w:tcW w:w="739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2568"/>
              </w:numPr>
              <w:spacing w:before="40" w:after="0" w:line="240"/>
              <w:ind w:right="0" w:left="482"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Ostale relevantne službe Op</w:t>
            </w:r>
            <w:r>
              <w:rPr>
                <w:rFonts w:ascii="Calibri" w:hAnsi="Calibri" w:cs="Calibri" w:eastAsia="Calibri"/>
                <w:color w:val="auto"/>
                <w:spacing w:val="0"/>
                <w:position w:val="0"/>
                <w:sz w:val="18"/>
                <w:shd w:fill="auto" w:val="clear"/>
              </w:rPr>
              <w:t xml:space="preserve">ćine Doboj Istok;</w:t>
            </w:r>
          </w:p>
          <w:p>
            <w:pPr>
              <w:numPr>
                <w:ilvl w:val="0"/>
                <w:numId w:val="2568"/>
              </w:numPr>
              <w:spacing w:before="0" w:after="0" w:line="240"/>
              <w:ind w:right="0" w:left="482"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Vlasnici stambenih zgrada individualnog stanovanja (porodi</w:t>
            </w:r>
            <w:r>
              <w:rPr>
                <w:rFonts w:ascii="Calibri" w:hAnsi="Calibri" w:cs="Calibri" w:eastAsia="Calibri"/>
                <w:color w:val="auto"/>
                <w:spacing w:val="0"/>
                <w:position w:val="0"/>
                <w:sz w:val="18"/>
                <w:shd w:fill="auto" w:val="clear"/>
              </w:rPr>
              <w:t xml:space="preserve">čnih kuća) uključenih u mjeru;</w:t>
            </w:r>
          </w:p>
          <w:p>
            <w:pPr>
              <w:numPr>
                <w:ilvl w:val="0"/>
                <w:numId w:val="2568"/>
              </w:numPr>
              <w:spacing w:before="0" w:after="0" w:line="240"/>
              <w:ind w:right="0" w:left="482"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Organizacije civilnog društva;</w:t>
            </w:r>
          </w:p>
          <w:p>
            <w:pPr>
              <w:numPr>
                <w:ilvl w:val="0"/>
                <w:numId w:val="2568"/>
              </w:numPr>
              <w:spacing w:before="0" w:after="0" w:line="240"/>
              <w:ind w:right="0" w:left="482"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Mjesne zajednice op</w:t>
            </w:r>
            <w:r>
              <w:rPr>
                <w:rFonts w:ascii="Calibri" w:hAnsi="Calibri" w:cs="Calibri" w:eastAsia="Calibri"/>
                <w:color w:val="auto"/>
                <w:spacing w:val="0"/>
                <w:position w:val="0"/>
                <w:sz w:val="18"/>
                <w:shd w:fill="auto" w:val="clear"/>
              </w:rPr>
              <w:t xml:space="preserve">ćine Doboj Istok;</w:t>
            </w:r>
          </w:p>
          <w:p>
            <w:pPr>
              <w:numPr>
                <w:ilvl w:val="0"/>
                <w:numId w:val="2568"/>
              </w:numPr>
              <w:spacing w:before="0" w:after="40" w:line="240"/>
              <w:ind w:right="0" w:left="482" w:hanging="357"/>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Ministarstvo prostornog ure</w:t>
            </w:r>
            <w:r>
              <w:rPr>
                <w:rFonts w:ascii="Calibri" w:hAnsi="Calibri" w:cs="Calibri" w:eastAsia="Calibri"/>
                <w:color w:val="auto"/>
                <w:spacing w:val="0"/>
                <w:position w:val="0"/>
                <w:sz w:val="18"/>
                <w:shd w:fill="auto" w:val="clear"/>
              </w:rPr>
              <w:t xml:space="preserve">đenja i zaštite okolice Tuzlanskog kantona</w:t>
            </w:r>
          </w:p>
        </w:tc>
      </w:tr>
      <w:tr>
        <w:trPr>
          <w:trHeight w:val="227" w:hRule="auto"/>
          <w:jc w:val="left"/>
        </w:trPr>
        <w:tc>
          <w:tcPr>
            <w:tcW w:w="2093" w:type="dxa"/>
            <w:tcBorders>
              <w:top w:val="single" w:color="000000" w:sz="4"/>
              <w:left w:val="single" w:color="000000" w:sz="4"/>
              <w:bottom w:val="single" w:color="000000" w:sz="4"/>
              <w:right w:val="single" w:color="000000" w:sz="4"/>
            </w:tcBorders>
            <w:shd w:color="auto" w:fill="d9e2f3"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Period realizacije</w:t>
            </w:r>
          </w:p>
        </w:tc>
        <w:tc>
          <w:tcPr>
            <w:tcW w:w="739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72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2021-2030.</w:t>
            </w:r>
          </w:p>
        </w:tc>
      </w:tr>
      <w:tr>
        <w:trPr>
          <w:trHeight w:val="227" w:hRule="auto"/>
          <w:jc w:val="left"/>
        </w:trPr>
        <w:tc>
          <w:tcPr>
            <w:tcW w:w="2093" w:type="dxa"/>
            <w:tcBorders>
              <w:top w:val="single" w:color="000000" w:sz="4"/>
              <w:left w:val="single" w:color="000000" w:sz="4"/>
              <w:bottom w:val="single" w:color="000000" w:sz="4"/>
              <w:right w:val="single" w:color="000000" w:sz="4"/>
            </w:tcBorders>
            <w:shd w:color="auto" w:fill="d9e2f3"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Ušteda (MWh)</w:t>
            </w:r>
          </w:p>
        </w:tc>
        <w:tc>
          <w:tcPr>
            <w:tcW w:w="739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72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2.833,11</w:t>
            </w:r>
          </w:p>
        </w:tc>
      </w:tr>
      <w:tr>
        <w:trPr>
          <w:trHeight w:val="227" w:hRule="auto"/>
          <w:jc w:val="left"/>
        </w:trPr>
        <w:tc>
          <w:tcPr>
            <w:tcW w:w="2093" w:type="dxa"/>
            <w:tcBorders>
              <w:top w:val="single" w:color="000000" w:sz="4"/>
              <w:left w:val="single" w:color="000000" w:sz="4"/>
              <w:bottom w:val="single" w:color="000000" w:sz="4"/>
              <w:right w:val="single" w:color="000000" w:sz="4"/>
            </w:tcBorders>
            <w:shd w:color="auto" w:fill="d9e2f3"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Smanjenja emisije (tCO</w:t>
            </w:r>
            <w:r>
              <w:rPr>
                <w:rFonts w:ascii="Calibri" w:hAnsi="Calibri" w:cs="Calibri" w:eastAsia="Calibri"/>
                <w:b/>
                <w:color w:val="auto"/>
                <w:spacing w:val="0"/>
                <w:position w:val="0"/>
                <w:sz w:val="18"/>
                <w:shd w:fill="auto" w:val="clear"/>
                <w:vertAlign w:val="subscript"/>
              </w:rPr>
              <w:t xml:space="preserve">2</w:t>
            </w:r>
            <w:r>
              <w:rPr>
                <w:rFonts w:ascii="Calibri" w:hAnsi="Calibri" w:cs="Calibri" w:eastAsia="Calibri"/>
                <w:b/>
                <w:color w:val="auto"/>
                <w:spacing w:val="0"/>
                <w:position w:val="0"/>
                <w:sz w:val="18"/>
                <w:shd w:fill="auto" w:val="clear"/>
              </w:rPr>
              <w:t xml:space="preserve">)</w:t>
            </w:r>
          </w:p>
        </w:tc>
        <w:tc>
          <w:tcPr>
            <w:tcW w:w="739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72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749,00</w:t>
            </w:r>
          </w:p>
        </w:tc>
      </w:tr>
      <w:tr>
        <w:trPr>
          <w:trHeight w:val="227" w:hRule="auto"/>
          <w:jc w:val="left"/>
        </w:trPr>
        <w:tc>
          <w:tcPr>
            <w:tcW w:w="2093" w:type="dxa"/>
            <w:tcBorders>
              <w:top w:val="single" w:color="000000" w:sz="4"/>
              <w:left w:val="single" w:color="000000" w:sz="4"/>
              <w:bottom w:val="single" w:color="000000" w:sz="4"/>
              <w:right w:val="single" w:color="000000" w:sz="4"/>
            </w:tcBorders>
            <w:shd w:color="auto" w:fill="d9e2f3"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Ukupna investicija (KM)</w:t>
            </w:r>
          </w:p>
        </w:tc>
        <w:tc>
          <w:tcPr>
            <w:tcW w:w="739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72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700.000</w:t>
            </w:r>
          </w:p>
        </w:tc>
      </w:tr>
      <w:tr>
        <w:trPr>
          <w:trHeight w:val="227" w:hRule="auto"/>
          <w:jc w:val="left"/>
        </w:trPr>
        <w:tc>
          <w:tcPr>
            <w:tcW w:w="2093" w:type="dxa"/>
            <w:tcBorders>
              <w:top w:val="single" w:color="000000" w:sz="4"/>
              <w:left w:val="single" w:color="000000" w:sz="4"/>
              <w:bottom w:val="single" w:color="000000" w:sz="4"/>
              <w:right w:val="single" w:color="000000" w:sz="4"/>
            </w:tcBorders>
            <w:shd w:color="auto" w:fill="d9e2f3" w:val="clear"/>
            <w:tcMar>
              <w:left w:w="108" w:type="dxa"/>
              <w:right w:w="108" w:type="dxa"/>
            </w:tcMar>
            <w:vAlign w:val="top"/>
          </w:tcPr>
          <w:p>
            <w:pPr>
              <w:spacing w:before="40" w:after="0" w:line="240"/>
              <w:ind w:right="0" w:left="0" w:firstLine="0"/>
              <w:jc w:val="left"/>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Mogu</w:t>
            </w:r>
            <w:r>
              <w:rPr>
                <w:rFonts w:ascii="Calibri" w:hAnsi="Calibri" w:cs="Calibri" w:eastAsia="Calibri"/>
                <w:b/>
                <w:color w:val="auto"/>
                <w:spacing w:val="0"/>
                <w:position w:val="0"/>
                <w:sz w:val="18"/>
                <w:shd w:fill="auto" w:val="clear"/>
              </w:rPr>
              <w:t xml:space="preserve">ći izvor financijskih sredstava za realizaciju mjere</w:t>
            </w:r>
          </w:p>
        </w:tc>
        <w:tc>
          <w:tcPr>
            <w:tcW w:w="739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2586"/>
              </w:numPr>
              <w:spacing w:before="40" w:after="0" w:line="240"/>
              <w:ind w:right="0" w:left="482"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Budžet Op</w:t>
            </w:r>
            <w:r>
              <w:rPr>
                <w:rFonts w:ascii="Calibri" w:hAnsi="Calibri" w:cs="Calibri" w:eastAsia="Calibri"/>
                <w:color w:val="auto"/>
                <w:spacing w:val="0"/>
                <w:position w:val="0"/>
                <w:sz w:val="18"/>
                <w:shd w:fill="auto" w:val="clear"/>
              </w:rPr>
              <w:t xml:space="preserve">ćine Doboj Istok;</w:t>
            </w:r>
          </w:p>
          <w:p>
            <w:pPr>
              <w:numPr>
                <w:ilvl w:val="0"/>
                <w:numId w:val="2586"/>
              </w:numPr>
              <w:spacing w:before="0" w:after="0" w:line="240"/>
              <w:ind w:right="0" w:left="482"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Budžet Tuzlanskog kantona;</w:t>
            </w:r>
          </w:p>
          <w:p>
            <w:pPr>
              <w:numPr>
                <w:ilvl w:val="0"/>
                <w:numId w:val="2586"/>
              </w:numPr>
              <w:spacing w:before="0" w:after="0" w:line="240"/>
              <w:ind w:right="0" w:left="482"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Fond za zaštitu okoliša Federacije BiH;</w:t>
            </w:r>
          </w:p>
          <w:p>
            <w:pPr>
              <w:numPr>
                <w:ilvl w:val="0"/>
                <w:numId w:val="2586"/>
              </w:numPr>
              <w:spacing w:before="0" w:after="0" w:line="240"/>
              <w:ind w:right="0" w:left="482"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Me</w:t>
            </w:r>
            <w:r>
              <w:rPr>
                <w:rFonts w:ascii="Calibri" w:hAnsi="Calibri" w:cs="Calibri" w:eastAsia="Calibri"/>
                <w:color w:val="auto"/>
                <w:spacing w:val="0"/>
                <w:position w:val="0"/>
                <w:sz w:val="18"/>
                <w:shd w:fill="auto" w:val="clear"/>
              </w:rPr>
              <w:t xml:space="preserve">đunarodne razvojne organizacije (UNDP, EU, vlade i ambasade pojedinih zemalja, itd);</w:t>
            </w:r>
          </w:p>
          <w:p>
            <w:pPr>
              <w:numPr>
                <w:ilvl w:val="0"/>
                <w:numId w:val="2586"/>
              </w:numPr>
              <w:spacing w:before="0" w:after="0" w:line="240"/>
              <w:ind w:right="0" w:left="482"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Me</w:t>
            </w:r>
            <w:r>
              <w:rPr>
                <w:rFonts w:ascii="Calibri" w:hAnsi="Calibri" w:cs="Calibri" w:eastAsia="Calibri"/>
                <w:color w:val="auto"/>
                <w:spacing w:val="0"/>
                <w:position w:val="0"/>
                <w:sz w:val="18"/>
                <w:shd w:fill="auto" w:val="clear"/>
              </w:rPr>
              <w:t xml:space="preserve">đunarodne i domaće financijske institucije (EBRD, KfW, EIB, itd);</w:t>
            </w:r>
          </w:p>
          <w:p>
            <w:pPr>
              <w:numPr>
                <w:ilvl w:val="0"/>
                <w:numId w:val="2586"/>
              </w:numPr>
              <w:spacing w:before="0" w:after="40" w:line="240"/>
              <w:ind w:right="0" w:left="482" w:hanging="357"/>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Vlastita sredstva vlasnika stambenih zgrada individualnog stanovanja uklju</w:t>
            </w:r>
            <w:r>
              <w:rPr>
                <w:rFonts w:ascii="Calibri" w:hAnsi="Calibri" w:cs="Calibri" w:eastAsia="Calibri"/>
                <w:color w:val="auto"/>
                <w:spacing w:val="0"/>
                <w:position w:val="0"/>
                <w:sz w:val="18"/>
                <w:shd w:fill="auto" w:val="clear"/>
              </w:rPr>
              <w:t xml:space="preserve">čenih u mjeru</w:t>
            </w:r>
          </w:p>
        </w:tc>
      </w:tr>
      <w:tr>
        <w:trPr>
          <w:trHeight w:val="2332" w:hRule="auto"/>
          <w:jc w:val="left"/>
        </w:trPr>
        <w:tc>
          <w:tcPr>
            <w:tcW w:w="2093" w:type="dxa"/>
            <w:tcBorders>
              <w:top w:val="single" w:color="000000" w:sz="4"/>
              <w:left w:val="single" w:color="000000" w:sz="4"/>
              <w:bottom w:val="single" w:color="000000" w:sz="4"/>
              <w:right w:val="single" w:color="000000" w:sz="4"/>
            </w:tcBorders>
            <w:shd w:color="auto" w:fill="d9e2f3" w:val="clear"/>
            <w:tcMar>
              <w:left w:w="108" w:type="dxa"/>
              <w:right w:w="108" w:type="dxa"/>
            </w:tcMar>
            <w:vAlign w:val="top"/>
          </w:tcPr>
          <w:p>
            <w:pPr>
              <w:spacing w:before="40" w:after="0" w:line="240"/>
              <w:ind w:right="0" w:left="0" w:firstLine="0"/>
              <w:jc w:val="left"/>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Kratki opis mjere /komentari</w:t>
            </w:r>
          </w:p>
        </w:tc>
        <w:tc>
          <w:tcPr>
            <w:tcW w:w="739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0" w:line="240"/>
              <w:ind w:right="0" w:left="46" w:firstLine="0"/>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Cilj mjere je smanjenje ukupne potrošnje energije i pripadaju</w:t>
            </w:r>
            <w:r>
              <w:rPr>
                <w:rFonts w:ascii="Calibri" w:hAnsi="Calibri" w:cs="Calibri" w:eastAsia="Calibri"/>
                <w:color w:val="auto"/>
                <w:spacing w:val="0"/>
                <w:position w:val="0"/>
                <w:sz w:val="18"/>
                <w:shd w:fill="auto" w:val="clear"/>
              </w:rPr>
              <w:t xml:space="preserve">ćih emisija CO</w:t>
            </w:r>
            <w:r>
              <w:rPr>
                <w:rFonts w:ascii="Calibri" w:hAnsi="Calibri" w:cs="Calibri" w:eastAsia="Calibri"/>
                <w:color w:val="auto"/>
                <w:spacing w:val="0"/>
                <w:position w:val="0"/>
                <w:sz w:val="18"/>
                <w:shd w:fill="auto" w:val="clear"/>
                <w:vertAlign w:val="subscript"/>
              </w:rPr>
              <w:t xml:space="preserve">2</w:t>
            </w:r>
            <w:r>
              <w:rPr>
                <w:rFonts w:ascii="Calibri" w:hAnsi="Calibri" w:cs="Calibri" w:eastAsia="Calibri"/>
                <w:color w:val="auto"/>
                <w:spacing w:val="0"/>
                <w:position w:val="0"/>
                <w:sz w:val="18"/>
                <w:shd w:fill="auto" w:val="clear"/>
              </w:rPr>
              <w:t xml:space="preserve"> u individualnim stambenim zgradama kroz poboljšanje njihovih toplotno-izolacijskih karakteristika. Mjera može uključivati slijedeće aktivnosti (pojedinačno ili u odgovarajućim kombinacijama):</w:t>
            </w:r>
          </w:p>
          <w:p>
            <w:pPr>
              <w:numPr>
                <w:ilvl w:val="0"/>
                <w:numId w:val="2593"/>
              </w:numPr>
              <w:spacing w:before="0" w:after="0" w:line="240"/>
              <w:ind w:right="0" w:left="765"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Postavljanje toplotne izolacije vanjskih zidova;</w:t>
            </w:r>
          </w:p>
          <w:p>
            <w:pPr>
              <w:numPr>
                <w:ilvl w:val="0"/>
                <w:numId w:val="2593"/>
              </w:numPr>
              <w:spacing w:before="40" w:after="0" w:line="240"/>
              <w:ind w:right="0" w:left="766" w:hanging="360"/>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Postavljanje toplotne izolacije krova, i/ili stropa, i/ili podova;</w:t>
            </w:r>
          </w:p>
          <w:p>
            <w:pPr>
              <w:numPr>
                <w:ilvl w:val="0"/>
                <w:numId w:val="2593"/>
              </w:numPr>
              <w:spacing w:before="40" w:after="0" w:line="240"/>
              <w:ind w:right="0" w:left="766" w:hanging="360"/>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Zamjena postoje</w:t>
            </w:r>
            <w:r>
              <w:rPr>
                <w:rFonts w:ascii="Calibri" w:hAnsi="Calibri" w:cs="Calibri" w:eastAsia="Calibri"/>
                <w:color w:val="auto"/>
                <w:spacing w:val="0"/>
                <w:position w:val="0"/>
                <w:sz w:val="18"/>
                <w:shd w:fill="auto" w:val="clear"/>
              </w:rPr>
              <w:t xml:space="preserve">će vanjske stolarije (prozora i vrata) sa stolarijom visokih energetskih karakteristika.</w:t>
            </w:r>
          </w:p>
          <w:p>
            <w:pPr>
              <w:spacing w:before="40" w:after="40" w:line="240"/>
              <w:ind w:right="0" w:left="45"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Ova mjera na godišnjem nivou uklju</w:t>
            </w:r>
            <w:r>
              <w:rPr>
                <w:rFonts w:ascii="Calibri" w:hAnsi="Calibri" w:cs="Calibri" w:eastAsia="Calibri"/>
                <w:color w:val="auto"/>
                <w:spacing w:val="0"/>
                <w:position w:val="0"/>
                <w:sz w:val="18"/>
                <w:shd w:fill="auto" w:val="clear"/>
              </w:rPr>
              <w:t xml:space="preserve">čuje energetsku obnovu vanjske ovojnice 10 individualnih stambenih zgrada prosječne grijane površine oko 90m</w:t>
            </w:r>
            <w:r>
              <w:rPr>
                <w:rFonts w:ascii="Calibri" w:hAnsi="Calibri" w:cs="Calibri" w:eastAsia="Calibri"/>
                <w:color w:val="auto"/>
                <w:spacing w:val="0"/>
                <w:position w:val="0"/>
                <w:sz w:val="18"/>
                <w:shd w:fill="auto" w:val="clear"/>
                <w:vertAlign w:val="superscript"/>
              </w:rPr>
              <w:t xml:space="preserve">2</w:t>
            </w:r>
            <w:r>
              <w:rPr>
                <w:rFonts w:ascii="Calibri" w:hAnsi="Calibri" w:cs="Calibri" w:eastAsia="Calibri"/>
                <w:color w:val="auto"/>
                <w:spacing w:val="0"/>
                <w:position w:val="0"/>
                <w:sz w:val="18"/>
                <w:shd w:fill="auto" w:val="clear"/>
              </w:rPr>
              <w:t xml:space="preserve">/zgrada, odnosno ukupno 100 zgrada  do 2030. godine.</w:t>
            </w:r>
          </w:p>
        </w:tc>
      </w:tr>
    </w:tbl>
    <w:p>
      <w:pPr>
        <w:spacing w:before="120" w:after="120" w:line="240"/>
        <w:ind w:right="0" w:left="0" w:firstLine="0"/>
        <w:jc w:val="both"/>
        <w:rPr>
          <w:rFonts w:ascii="Calibri" w:hAnsi="Calibri" w:cs="Calibri" w:eastAsia="Calibri"/>
          <w:color w:val="auto"/>
          <w:spacing w:val="0"/>
          <w:position w:val="0"/>
          <w:sz w:val="22"/>
          <w:shd w:fill="auto" w:val="clear"/>
        </w:rPr>
      </w:pPr>
    </w:p>
    <w:tbl>
      <w:tblPr/>
      <w:tblGrid>
        <w:gridCol w:w="2093"/>
        <w:gridCol w:w="7398"/>
      </w:tblGrid>
      <w:tr>
        <w:trPr>
          <w:trHeight w:val="227" w:hRule="auto"/>
          <w:jc w:val="left"/>
        </w:trPr>
        <w:tc>
          <w:tcPr>
            <w:tcW w:w="2093" w:type="dxa"/>
            <w:tcBorders>
              <w:top w:val="single" w:color="000000" w:sz="4"/>
              <w:left w:val="single" w:color="000000" w:sz="4"/>
              <w:bottom w:val="single" w:color="000000" w:sz="4"/>
              <w:right w:val="single" w:color="000000" w:sz="4"/>
            </w:tcBorders>
            <w:shd w:color="auto" w:fill="b4c6e7"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Redni broj mjere</w:t>
            </w:r>
          </w:p>
        </w:tc>
        <w:tc>
          <w:tcPr>
            <w:tcW w:w="7398" w:type="dxa"/>
            <w:tcBorders>
              <w:top w:val="single" w:color="000000" w:sz="4"/>
              <w:left w:val="single" w:color="000000" w:sz="4"/>
              <w:bottom w:val="single" w:color="000000" w:sz="4"/>
              <w:right w:val="single" w:color="000000" w:sz="4"/>
            </w:tcBorders>
            <w:shd w:color="auto" w:fill="b4c6e7" w:val="clear"/>
            <w:tcMar>
              <w:left w:w="108" w:type="dxa"/>
              <w:right w:w="108" w:type="dxa"/>
            </w:tcMar>
            <w:vAlign w:val="top"/>
          </w:tcPr>
          <w:p>
            <w:pPr>
              <w:spacing w:before="40" w:after="40" w:line="240"/>
              <w:ind w:right="0" w:left="0" w:firstLine="0"/>
              <w:jc w:val="center"/>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SZ-3 /Klju</w:t>
            </w:r>
            <w:r>
              <w:rPr>
                <w:rFonts w:ascii="Calibri" w:hAnsi="Calibri" w:cs="Calibri" w:eastAsia="Calibri"/>
                <w:b/>
                <w:color w:val="auto"/>
                <w:spacing w:val="0"/>
                <w:position w:val="0"/>
                <w:sz w:val="18"/>
                <w:shd w:fill="auto" w:val="clear"/>
              </w:rPr>
              <w:t xml:space="preserve">čna mjera</w:t>
            </w:r>
          </w:p>
        </w:tc>
      </w:tr>
      <w:tr>
        <w:trPr>
          <w:trHeight w:val="227" w:hRule="auto"/>
          <w:jc w:val="left"/>
        </w:trPr>
        <w:tc>
          <w:tcPr>
            <w:tcW w:w="2093" w:type="dxa"/>
            <w:tcBorders>
              <w:top w:val="single" w:color="000000" w:sz="4"/>
              <w:left w:val="single" w:color="000000" w:sz="4"/>
              <w:bottom w:val="single" w:color="000000" w:sz="4"/>
              <w:right w:val="single" w:color="000000" w:sz="4"/>
            </w:tcBorders>
            <w:shd w:color="auto" w:fill="b4c6e7"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 </w:t>
            </w:r>
          </w:p>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Naziv mjere</w:t>
            </w:r>
          </w:p>
        </w:tc>
        <w:tc>
          <w:tcPr>
            <w:tcW w:w="7398" w:type="dxa"/>
            <w:tcBorders>
              <w:top w:val="single" w:color="000000" w:sz="4"/>
              <w:left w:val="single" w:color="000000" w:sz="4"/>
              <w:bottom w:val="single" w:color="000000" w:sz="4"/>
              <w:right w:val="single" w:color="000000" w:sz="4"/>
            </w:tcBorders>
            <w:shd w:color="auto" w:fill="b4c6e7" w:val="clear"/>
            <w:tcMar>
              <w:left w:w="108" w:type="dxa"/>
              <w:right w:w="108" w:type="dxa"/>
            </w:tcMar>
            <w:vAlign w:val="top"/>
          </w:tcPr>
          <w:p>
            <w:pPr>
              <w:spacing w:before="40" w:after="40" w:line="240"/>
              <w:ind w:right="0" w:left="0" w:firstLine="0"/>
              <w:jc w:val="center"/>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Poboljšanje energetskih karakteristika postoje</w:t>
            </w:r>
            <w:r>
              <w:rPr>
                <w:rFonts w:ascii="Calibri" w:hAnsi="Calibri" w:cs="Calibri" w:eastAsia="Calibri"/>
                <w:b/>
                <w:color w:val="auto"/>
                <w:spacing w:val="0"/>
                <w:position w:val="0"/>
                <w:sz w:val="18"/>
                <w:shd w:fill="auto" w:val="clear"/>
              </w:rPr>
              <w:t xml:space="preserve">ćih i ugradnja novih energetski efikasnih sistema grijanja u stambenim zgradama individualnog stanovanja</w:t>
            </w:r>
          </w:p>
        </w:tc>
      </w:tr>
      <w:tr>
        <w:trPr>
          <w:trHeight w:val="227" w:hRule="auto"/>
          <w:jc w:val="left"/>
        </w:trPr>
        <w:tc>
          <w:tcPr>
            <w:tcW w:w="2093" w:type="dxa"/>
            <w:tcBorders>
              <w:top w:val="single" w:color="000000" w:sz="4"/>
              <w:left w:val="single" w:color="000000" w:sz="4"/>
              <w:bottom w:val="single" w:color="000000" w:sz="4"/>
              <w:right w:val="single" w:color="000000" w:sz="4"/>
            </w:tcBorders>
            <w:shd w:color="auto" w:fill="d9e2f3" w:val="clear"/>
            <w:tcMar>
              <w:left w:w="108" w:type="dxa"/>
              <w:right w:w="108" w:type="dxa"/>
            </w:tcMar>
            <w:vAlign w:val="top"/>
          </w:tcPr>
          <w:p>
            <w:pPr>
              <w:spacing w:before="40" w:after="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Nosilac realizacije mjere</w:t>
            </w:r>
          </w:p>
        </w:tc>
        <w:tc>
          <w:tcPr>
            <w:tcW w:w="739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Služba za prostorno ure</w:t>
            </w:r>
            <w:r>
              <w:rPr>
                <w:rFonts w:ascii="Calibri" w:hAnsi="Calibri" w:cs="Calibri" w:eastAsia="Calibri"/>
                <w:color w:val="auto"/>
                <w:spacing w:val="0"/>
                <w:position w:val="0"/>
                <w:sz w:val="18"/>
                <w:shd w:fill="auto" w:val="clear"/>
              </w:rPr>
              <w:t xml:space="preserve">đenje Općine Doboj Istok</w:t>
            </w:r>
          </w:p>
        </w:tc>
      </w:tr>
      <w:tr>
        <w:trPr>
          <w:trHeight w:val="989" w:hRule="auto"/>
          <w:jc w:val="left"/>
        </w:trPr>
        <w:tc>
          <w:tcPr>
            <w:tcW w:w="2093" w:type="dxa"/>
            <w:tcBorders>
              <w:top w:val="single" w:color="000000" w:sz="4"/>
              <w:left w:val="single" w:color="000000" w:sz="4"/>
              <w:bottom w:val="single" w:color="000000" w:sz="4"/>
              <w:right w:val="single" w:color="000000" w:sz="4"/>
            </w:tcBorders>
            <w:shd w:color="auto" w:fill="d9e2f3" w:val="clear"/>
            <w:tcMar>
              <w:left w:w="108" w:type="dxa"/>
              <w:right w:w="108" w:type="dxa"/>
            </w:tcMar>
            <w:vAlign w:val="top"/>
          </w:tcPr>
          <w:p>
            <w:pPr>
              <w:spacing w:before="40" w:after="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Partneri u realizaciji</w:t>
            </w:r>
          </w:p>
        </w:tc>
        <w:tc>
          <w:tcPr>
            <w:tcW w:w="739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2613"/>
              </w:numPr>
              <w:spacing w:before="40" w:after="0" w:line="240"/>
              <w:ind w:right="0" w:left="482"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Ostale relevantne službe Op</w:t>
            </w:r>
            <w:r>
              <w:rPr>
                <w:rFonts w:ascii="Calibri" w:hAnsi="Calibri" w:cs="Calibri" w:eastAsia="Calibri"/>
                <w:color w:val="auto"/>
                <w:spacing w:val="0"/>
                <w:position w:val="0"/>
                <w:sz w:val="18"/>
                <w:shd w:fill="auto" w:val="clear"/>
              </w:rPr>
              <w:t xml:space="preserve">ćine Doboj Istok;</w:t>
            </w:r>
          </w:p>
          <w:p>
            <w:pPr>
              <w:numPr>
                <w:ilvl w:val="0"/>
                <w:numId w:val="2613"/>
              </w:numPr>
              <w:spacing w:before="0" w:after="0" w:line="240"/>
              <w:ind w:right="0" w:left="482"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Vlasnici stambenih zgrada individualnog stanovanja (porodi</w:t>
            </w:r>
            <w:r>
              <w:rPr>
                <w:rFonts w:ascii="Calibri" w:hAnsi="Calibri" w:cs="Calibri" w:eastAsia="Calibri"/>
                <w:color w:val="auto"/>
                <w:spacing w:val="0"/>
                <w:position w:val="0"/>
                <w:sz w:val="18"/>
                <w:shd w:fill="auto" w:val="clear"/>
              </w:rPr>
              <w:t xml:space="preserve">čnih kuća) uključenih u mjeru;</w:t>
            </w:r>
          </w:p>
          <w:p>
            <w:pPr>
              <w:numPr>
                <w:ilvl w:val="0"/>
                <w:numId w:val="2613"/>
              </w:numPr>
              <w:spacing w:before="0" w:after="0" w:line="240"/>
              <w:ind w:right="0" w:left="482"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Organizacije civilnog društva;</w:t>
            </w:r>
          </w:p>
          <w:p>
            <w:pPr>
              <w:numPr>
                <w:ilvl w:val="0"/>
                <w:numId w:val="2613"/>
              </w:numPr>
              <w:spacing w:before="0" w:after="0" w:line="240"/>
              <w:ind w:right="0" w:left="482"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Mjesne zajednice op</w:t>
            </w:r>
            <w:r>
              <w:rPr>
                <w:rFonts w:ascii="Calibri" w:hAnsi="Calibri" w:cs="Calibri" w:eastAsia="Calibri"/>
                <w:color w:val="auto"/>
                <w:spacing w:val="0"/>
                <w:position w:val="0"/>
                <w:sz w:val="18"/>
                <w:shd w:fill="auto" w:val="clear"/>
              </w:rPr>
              <w:t xml:space="preserve">ćine Doboj Istok;</w:t>
            </w:r>
          </w:p>
          <w:p>
            <w:pPr>
              <w:numPr>
                <w:ilvl w:val="0"/>
                <w:numId w:val="2613"/>
              </w:numPr>
              <w:spacing w:before="0" w:after="40" w:line="240"/>
              <w:ind w:right="0" w:left="482" w:hanging="357"/>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Ministarstvo prostornog ure</w:t>
            </w:r>
            <w:r>
              <w:rPr>
                <w:rFonts w:ascii="Calibri" w:hAnsi="Calibri" w:cs="Calibri" w:eastAsia="Calibri"/>
                <w:color w:val="auto"/>
                <w:spacing w:val="0"/>
                <w:position w:val="0"/>
                <w:sz w:val="18"/>
                <w:shd w:fill="auto" w:val="clear"/>
              </w:rPr>
              <w:t xml:space="preserve">đenja i zaštite okolice Tuzlanskog kantona </w:t>
            </w:r>
          </w:p>
        </w:tc>
      </w:tr>
      <w:tr>
        <w:trPr>
          <w:trHeight w:val="227" w:hRule="auto"/>
          <w:jc w:val="left"/>
        </w:trPr>
        <w:tc>
          <w:tcPr>
            <w:tcW w:w="2093" w:type="dxa"/>
            <w:tcBorders>
              <w:top w:val="single" w:color="000000" w:sz="4"/>
              <w:left w:val="single" w:color="000000" w:sz="4"/>
              <w:bottom w:val="single" w:color="000000" w:sz="4"/>
              <w:right w:val="single" w:color="000000" w:sz="4"/>
            </w:tcBorders>
            <w:shd w:color="auto" w:fill="d9e2f3"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Period realizacije</w:t>
            </w:r>
          </w:p>
        </w:tc>
        <w:tc>
          <w:tcPr>
            <w:tcW w:w="739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72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2021-2030.</w:t>
            </w:r>
          </w:p>
        </w:tc>
      </w:tr>
      <w:tr>
        <w:trPr>
          <w:trHeight w:val="227" w:hRule="auto"/>
          <w:jc w:val="left"/>
        </w:trPr>
        <w:tc>
          <w:tcPr>
            <w:tcW w:w="2093" w:type="dxa"/>
            <w:tcBorders>
              <w:top w:val="single" w:color="000000" w:sz="4"/>
              <w:left w:val="single" w:color="000000" w:sz="4"/>
              <w:bottom w:val="single" w:color="000000" w:sz="4"/>
              <w:right w:val="single" w:color="000000" w:sz="4"/>
            </w:tcBorders>
            <w:shd w:color="auto" w:fill="d9e2f3"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Ušteda (MWh)</w:t>
            </w:r>
          </w:p>
        </w:tc>
        <w:tc>
          <w:tcPr>
            <w:tcW w:w="739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72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870,25</w:t>
            </w:r>
          </w:p>
        </w:tc>
      </w:tr>
      <w:tr>
        <w:trPr>
          <w:trHeight w:val="227" w:hRule="auto"/>
          <w:jc w:val="left"/>
        </w:trPr>
        <w:tc>
          <w:tcPr>
            <w:tcW w:w="2093" w:type="dxa"/>
            <w:tcBorders>
              <w:top w:val="single" w:color="000000" w:sz="4"/>
              <w:left w:val="single" w:color="000000" w:sz="4"/>
              <w:bottom w:val="single" w:color="000000" w:sz="4"/>
              <w:right w:val="single" w:color="000000" w:sz="4"/>
            </w:tcBorders>
            <w:shd w:color="auto" w:fill="d9e2f3"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Smanjenja emisije (tCO</w:t>
            </w:r>
            <w:r>
              <w:rPr>
                <w:rFonts w:ascii="Calibri" w:hAnsi="Calibri" w:cs="Calibri" w:eastAsia="Calibri"/>
                <w:b/>
                <w:color w:val="auto"/>
                <w:spacing w:val="0"/>
                <w:position w:val="0"/>
                <w:sz w:val="18"/>
                <w:shd w:fill="auto" w:val="clear"/>
                <w:vertAlign w:val="subscript"/>
              </w:rPr>
              <w:t xml:space="preserve">2</w:t>
            </w:r>
            <w:r>
              <w:rPr>
                <w:rFonts w:ascii="Calibri" w:hAnsi="Calibri" w:cs="Calibri" w:eastAsia="Calibri"/>
                <w:b/>
                <w:color w:val="auto"/>
                <w:spacing w:val="0"/>
                <w:position w:val="0"/>
                <w:sz w:val="18"/>
                <w:shd w:fill="auto" w:val="clear"/>
              </w:rPr>
              <w:t xml:space="preserve">)</w:t>
            </w:r>
          </w:p>
        </w:tc>
        <w:tc>
          <w:tcPr>
            <w:tcW w:w="739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40" w:after="40" w:line="240"/>
              <w:ind w:right="0" w:left="72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771,15</w:t>
            </w:r>
          </w:p>
        </w:tc>
      </w:tr>
      <w:tr>
        <w:trPr>
          <w:trHeight w:val="227" w:hRule="auto"/>
          <w:jc w:val="left"/>
        </w:trPr>
        <w:tc>
          <w:tcPr>
            <w:tcW w:w="2093" w:type="dxa"/>
            <w:tcBorders>
              <w:top w:val="single" w:color="000000" w:sz="4"/>
              <w:left w:val="single" w:color="000000" w:sz="4"/>
              <w:bottom w:val="single" w:color="000000" w:sz="4"/>
              <w:right w:val="single" w:color="000000" w:sz="4"/>
            </w:tcBorders>
            <w:shd w:color="auto" w:fill="d9e2f3"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Ukupna investicija (KM)</w:t>
            </w:r>
          </w:p>
        </w:tc>
        <w:tc>
          <w:tcPr>
            <w:tcW w:w="739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72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900.000,00</w:t>
            </w:r>
          </w:p>
        </w:tc>
      </w:tr>
      <w:tr>
        <w:trPr>
          <w:trHeight w:val="227" w:hRule="auto"/>
          <w:jc w:val="left"/>
        </w:trPr>
        <w:tc>
          <w:tcPr>
            <w:tcW w:w="2093" w:type="dxa"/>
            <w:tcBorders>
              <w:top w:val="single" w:color="000000" w:sz="4"/>
              <w:left w:val="single" w:color="000000" w:sz="4"/>
              <w:bottom w:val="single" w:color="000000" w:sz="4"/>
              <w:right w:val="single" w:color="000000" w:sz="4"/>
            </w:tcBorders>
            <w:shd w:color="auto" w:fill="d9e2f3" w:val="clear"/>
            <w:tcMar>
              <w:left w:w="108" w:type="dxa"/>
              <w:right w:w="108" w:type="dxa"/>
            </w:tcMar>
            <w:vAlign w:val="top"/>
          </w:tcPr>
          <w:p>
            <w:pPr>
              <w:spacing w:before="40" w:after="0" w:line="240"/>
              <w:ind w:right="0" w:left="0" w:firstLine="0"/>
              <w:jc w:val="left"/>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Mogu</w:t>
            </w:r>
            <w:r>
              <w:rPr>
                <w:rFonts w:ascii="Calibri" w:hAnsi="Calibri" w:cs="Calibri" w:eastAsia="Calibri"/>
                <w:b/>
                <w:color w:val="auto"/>
                <w:spacing w:val="0"/>
                <w:position w:val="0"/>
                <w:sz w:val="18"/>
                <w:shd w:fill="auto" w:val="clear"/>
              </w:rPr>
              <w:t xml:space="preserve">ći izvori financijskih sredstava za realizaciju mjere</w:t>
            </w:r>
          </w:p>
        </w:tc>
        <w:tc>
          <w:tcPr>
            <w:tcW w:w="739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2633"/>
              </w:numPr>
              <w:spacing w:before="40" w:after="0" w:line="240"/>
              <w:ind w:right="0" w:left="482"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Budžet Op</w:t>
            </w:r>
            <w:r>
              <w:rPr>
                <w:rFonts w:ascii="Calibri" w:hAnsi="Calibri" w:cs="Calibri" w:eastAsia="Calibri"/>
                <w:color w:val="auto"/>
                <w:spacing w:val="0"/>
                <w:position w:val="0"/>
                <w:sz w:val="18"/>
                <w:shd w:fill="auto" w:val="clear"/>
              </w:rPr>
              <w:t xml:space="preserve">ćine Doboj Istok;</w:t>
            </w:r>
          </w:p>
          <w:p>
            <w:pPr>
              <w:numPr>
                <w:ilvl w:val="0"/>
                <w:numId w:val="2633"/>
              </w:numPr>
              <w:spacing w:before="0" w:after="0" w:line="240"/>
              <w:ind w:right="0" w:left="482"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Budžet Tuzlanskog kantona;</w:t>
            </w:r>
          </w:p>
          <w:p>
            <w:pPr>
              <w:numPr>
                <w:ilvl w:val="0"/>
                <w:numId w:val="2633"/>
              </w:numPr>
              <w:spacing w:before="0" w:after="0" w:line="240"/>
              <w:ind w:right="0" w:left="482"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Fond za zaštitu okoliša Federacije BiH;</w:t>
            </w:r>
          </w:p>
          <w:p>
            <w:pPr>
              <w:numPr>
                <w:ilvl w:val="0"/>
                <w:numId w:val="2633"/>
              </w:numPr>
              <w:spacing w:before="0" w:after="0" w:line="240"/>
              <w:ind w:right="0" w:left="482"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Me</w:t>
            </w:r>
            <w:r>
              <w:rPr>
                <w:rFonts w:ascii="Calibri" w:hAnsi="Calibri" w:cs="Calibri" w:eastAsia="Calibri"/>
                <w:color w:val="auto"/>
                <w:spacing w:val="0"/>
                <w:position w:val="0"/>
                <w:sz w:val="18"/>
                <w:shd w:fill="auto" w:val="clear"/>
              </w:rPr>
              <w:t xml:space="preserve">đunarodne razvojne organizacije (UNDP, EU, vlade i ambasade pojedinih zemalja, itd);</w:t>
            </w:r>
          </w:p>
          <w:p>
            <w:pPr>
              <w:numPr>
                <w:ilvl w:val="0"/>
                <w:numId w:val="2633"/>
              </w:numPr>
              <w:spacing w:before="0" w:after="0" w:line="240"/>
              <w:ind w:right="0" w:left="482"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Me</w:t>
            </w:r>
            <w:r>
              <w:rPr>
                <w:rFonts w:ascii="Calibri" w:hAnsi="Calibri" w:cs="Calibri" w:eastAsia="Calibri"/>
                <w:color w:val="auto"/>
                <w:spacing w:val="0"/>
                <w:position w:val="0"/>
                <w:sz w:val="18"/>
                <w:shd w:fill="auto" w:val="clear"/>
              </w:rPr>
              <w:t xml:space="preserve">đunarodne i domaće financijske institucije (EBRD, KfW, EIB, itd);</w:t>
            </w:r>
          </w:p>
          <w:p>
            <w:pPr>
              <w:numPr>
                <w:ilvl w:val="0"/>
                <w:numId w:val="2633"/>
              </w:numPr>
              <w:spacing w:before="0" w:after="40" w:line="240"/>
              <w:ind w:right="0" w:left="482" w:hanging="357"/>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Vlastita sredstva vlasnika stambenih zgrada individualnog stanovanja uklju</w:t>
            </w:r>
            <w:r>
              <w:rPr>
                <w:rFonts w:ascii="Calibri" w:hAnsi="Calibri" w:cs="Calibri" w:eastAsia="Calibri"/>
                <w:color w:val="auto"/>
                <w:spacing w:val="0"/>
                <w:position w:val="0"/>
                <w:sz w:val="18"/>
                <w:shd w:fill="auto" w:val="clear"/>
              </w:rPr>
              <w:t xml:space="preserve">čenih u mjeru</w:t>
            </w:r>
          </w:p>
        </w:tc>
      </w:tr>
      <w:tr>
        <w:trPr>
          <w:trHeight w:val="423" w:hRule="auto"/>
          <w:jc w:val="left"/>
        </w:trPr>
        <w:tc>
          <w:tcPr>
            <w:tcW w:w="2093" w:type="dxa"/>
            <w:tcBorders>
              <w:top w:val="single" w:color="000000" w:sz="4"/>
              <w:left w:val="single" w:color="000000" w:sz="4"/>
              <w:bottom w:val="single" w:color="000000" w:sz="4"/>
              <w:right w:val="single" w:color="000000" w:sz="4"/>
            </w:tcBorders>
            <w:shd w:color="auto" w:fill="d9e2f3" w:val="clear"/>
            <w:tcMar>
              <w:left w:w="108" w:type="dxa"/>
              <w:right w:w="108" w:type="dxa"/>
            </w:tcMar>
            <w:vAlign w:val="top"/>
          </w:tcPr>
          <w:p>
            <w:pPr>
              <w:spacing w:before="40" w:after="0" w:line="240"/>
              <w:ind w:right="0" w:left="0" w:firstLine="0"/>
              <w:jc w:val="left"/>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Kratki opis mjere /komentar</w:t>
            </w:r>
          </w:p>
        </w:tc>
        <w:tc>
          <w:tcPr>
            <w:tcW w:w="739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0" w:line="240"/>
              <w:ind w:right="0" w:left="0" w:firstLine="0"/>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Mjera uklju</w:t>
            </w:r>
            <w:r>
              <w:rPr>
                <w:rFonts w:ascii="Calibri" w:hAnsi="Calibri" w:cs="Calibri" w:eastAsia="Calibri"/>
                <w:color w:val="auto"/>
                <w:spacing w:val="0"/>
                <w:position w:val="0"/>
                <w:sz w:val="18"/>
                <w:shd w:fill="auto" w:val="clear"/>
              </w:rPr>
              <w:t xml:space="preserve">čuje slijedeće aktivnosti (pojedinačno ili u odgovarajućim kombinacijama) za poboljšanje energetskih karakteristika postojećih ili nabavku novih sistema za grijanje:</w:t>
            </w:r>
          </w:p>
          <w:p>
            <w:pPr>
              <w:numPr>
                <w:ilvl w:val="0"/>
                <w:numId w:val="2640"/>
              </w:numPr>
              <w:spacing w:before="0" w:after="0" w:line="240"/>
              <w:ind w:right="0" w:left="360" w:hanging="36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Poboljšanje efikasnosti generatora toplote i zamjena energenata, odnosno zamjena postoje</w:t>
            </w:r>
            <w:r>
              <w:rPr>
                <w:rFonts w:ascii="Calibri" w:hAnsi="Calibri" w:cs="Calibri" w:eastAsia="Calibri"/>
                <w:color w:val="auto"/>
                <w:spacing w:val="0"/>
                <w:position w:val="0"/>
                <w:sz w:val="18"/>
                <w:shd w:fill="auto" w:val="clear"/>
              </w:rPr>
              <w:t xml:space="preserve">ćih kotlova na fosilna goriva sa kotlovima visoke energetske efikasnosti na biomasu, ili sa toplotnim pumpama, itd; </w:t>
            </w:r>
          </w:p>
          <w:p>
            <w:pPr>
              <w:numPr>
                <w:ilvl w:val="0"/>
                <w:numId w:val="2640"/>
              </w:numPr>
              <w:spacing w:before="0" w:after="0" w:line="240"/>
              <w:ind w:right="0" w:left="360" w:hanging="36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Optimizacija i racionalizacija distributivne cijevne mreže, pumpnih sistema, sigurnosne i regulacijske opreme sistema centralnog grijanja, kao npr. zamjena pumpi za centralno grijanje novim elektronski reguliranim pumpama; unapre</w:t>
            </w:r>
            <w:r>
              <w:rPr>
                <w:rFonts w:ascii="Calibri" w:hAnsi="Calibri" w:cs="Calibri" w:eastAsia="Calibri"/>
                <w:color w:val="auto"/>
                <w:spacing w:val="0"/>
                <w:position w:val="0"/>
                <w:sz w:val="18"/>
                <w:shd w:fill="auto" w:val="clear"/>
              </w:rPr>
              <w:t xml:space="preserve">đenje uređaja za regulaciju i upravljanje sistema; ugradnja niskotemperaturnih sistema grijanja i visokotemperaturnih sistema hlađenja (podno grijanje i plafonsko hlađenje, kombiniranje s ventilacionim sistemom, pasivni rashladni sistemi i indukcioni uređaji), itd;</w:t>
            </w:r>
          </w:p>
          <w:p>
            <w:pPr>
              <w:numPr>
                <w:ilvl w:val="0"/>
                <w:numId w:val="2640"/>
              </w:numPr>
              <w:spacing w:before="0" w:after="0" w:line="240"/>
              <w:ind w:right="0" w:left="360" w:hanging="36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Ugradnja energetski efikasnih sistema za grijanje, ventilaciju i klimatizaciju (HVAC sistemi);</w:t>
            </w:r>
          </w:p>
          <w:p>
            <w:pPr>
              <w:numPr>
                <w:ilvl w:val="0"/>
                <w:numId w:val="2640"/>
              </w:numPr>
              <w:spacing w:before="0" w:after="0" w:line="240"/>
              <w:ind w:right="0" w:left="360" w:hanging="36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Optimizacija rada sistema za klimatizaciju (cirkulacione pumpe i ventilatori s promjenljivim brojem obrtaja; korištenje otpadne toplote zraka (rekuperativni i regenerativni razmjenjiva</w:t>
            </w:r>
            <w:r>
              <w:rPr>
                <w:rFonts w:ascii="Calibri" w:hAnsi="Calibri" w:cs="Calibri" w:eastAsia="Calibri"/>
                <w:color w:val="auto"/>
                <w:spacing w:val="0"/>
                <w:position w:val="0"/>
                <w:sz w:val="18"/>
                <w:shd w:fill="auto" w:val="clear"/>
              </w:rPr>
              <w:t xml:space="preserve">či toplote) i otpadne toplote kondenzacije rashladnih uređaja; primjena tehnike noćne ventilacije zgrada), itd.</w:t>
            </w:r>
          </w:p>
          <w:p>
            <w:pPr>
              <w:spacing w:before="40" w:after="120" w:line="240"/>
              <w:ind w:right="0" w:left="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Prora</w:t>
            </w:r>
            <w:r>
              <w:rPr>
                <w:rFonts w:ascii="Calibri" w:hAnsi="Calibri" w:cs="Calibri" w:eastAsia="Calibri"/>
                <w:color w:val="auto"/>
                <w:spacing w:val="0"/>
                <w:position w:val="0"/>
                <w:sz w:val="18"/>
                <w:shd w:fill="auto" w:val="clear"/>
              </w:rPr>
              <w:t xml:space="preserve">čun prikazane uštede energije, smanjenja emisija CO</w:t>
            </w:r>
            <w:r>
              <w:rPr>
                <w:rFonts w:ascii="Calibri" w:hAnsi="Calibri" w:cs="Calibri" w:eastAsia="Calibri"/>
                <w:color w:val="auto"/>
                <w:spacing w:val="0"/>
                <w:position w:val="0"/>
                <w:sz w:val="18"/>
                <w:shd w:fill="auto" w:val="clear"/>
                <w:vertAlign w:val="subscript"/>
              </w:rPr>
              <w:t xml:space="preserve">2</w:t>
            </w:r>
            <w:r>
              <w:rPr>
                <w:rFonts w:ascii="Calibri" w:hAnsi="Calibri" w:cs="Calibri" w:eastAsia="Calibri"/>
                <w:color w:val="auto"/>
                <w:spacing w:val="0"/>
                <w:position w:val="0"/>
                <w:sz w:val="18"/>
                <w:shd w:fill="auto" w:val="clear"/>
              </w:rPr>
              <w:t xml:space="preserve"> i ukupne investicije do 2030. godine bazira se na zamjeni kotlova na ugalj sa kotlovima na pelet kod 15 stambenih zgrada što do 2030. godine uključuje ukupno 150 zgrada.</w:t>
            </w:r>
          </w:p>
        </w:tc>
      </w:tr>
    </w:tbl>
    <w:p>
      <w:pPr>
        <w:keepNext w:val="true"/>
        <w:keepLines w:val="true"/>
        <w:numPr>
          <w:ilvl w:val="0"/>
          <w:numId w:val="2643"/>
        </w:numPr>
        <w:spacing w:before="240" w:after="120" w:line="240"/>
        <w:ind w:right="0" w:left="862" w:hanging="862"/>
        <w:jc w:val="both"/>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Mjere u podsektoru javnih zgrada u vlasništvu Op</w:t>
      </w:r>
      <w:r>
        <w:rPr>
          <w:rFonts w:ascii="Calibri" w:hAnsi="Calibri" w:cs="Calibri" w:eastAsia="Calibri"/>
          <w:b/>
          <w:color w:val="auto"/>
          <w:spacing w:val="0"/>
          <w:position w:val="0"/>
          <w:sz w:val="22"/>
          <w:shd w:fill="auto" w:val="clear"/>
        </w:rPr>
        <w:t xml:space="preserve">ćine Doboj Istok</w:t>
      </w:r>
    </w:p>
    <w:tbl>
      <w:tblPr/>
      <w:tblGrid>
        <w:gridCol w:w="2093"/>
        <w:gridCol w:w="7400"/>
      </w:tblGrid>
      <w:tr>
        <w:trPr>
          <w:trHeight w:val="227" w:hRule="auto"/>
          <w:jc w:val="left"/>
        </w:trPr>
        <w:tc>
          <w:tcPr>
            <w:tcW w:w="2093" w:type="dxa"/>
            <w:tcBorders>
              <w:top w:val="single" w:color="000000" w:sz="4"/>
              <w:left w:val="single" w:color="000000" w:sz="4"/>
              <w:bottom w:val="single" w:color="000000" w:sz="4"/>
              <w:right w:val="single" w:color="000000" w:sz="4"/>
            </w:tcBorders>
            <w:shd w:color="auto" w:fill="8eaadb"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Redni broj mjere</w:t>
            </w:r>
          </w:p>
        </w:tc>
        <w:tc>
          <w:tcPr>
            <w:tcW w:w="7400" w:type="dxa"/>
            <w:tcBorders>
              <w:top w:val="single" w:color="000000" w:sz="4"/>
              <w:left w:val="single" w:color="000000" w:sz="4"/>
              <w:bottom w:val="single" w:color="000000" w:sz="4"/>
              <w:right w:val="single" w:color="000000" w:sz="4"/>
            </w:tcBorders>
            <w:shd w:color="auto" w:fill="8eaadb" w:val="clear"/>
            <w:tcMar>
              <w:left w:w="108" w:type="dxa"/>
              <w:right w:w="108" w:type="dxa"/>
            </w:tcMar>
            <w:vAlign w:val="top"/>
          </w:tcPr>
          <w:p>
            <w:pPr>
              <w:spacing w:before="40" w:after="40" w:line="240"/>
              <w:ind w:right="0" w:left="0" w:firstLine="0"/>
              <w:jc w:val="center"/>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JZO-1</w:t>
            </w:r>
          </w:p>
        </w:tc>
      </w:tr>
      <w:tr>
        <w:trPr>
          <w:trHeight w:val="227" w:hRule="auto"/>
          <w:jc w:val="left"/>
        </w:trPr>
        <w:tc>
          <w:tcPr>
            <w:tcW w:w="2093" w:type="dxa"/>
            <w:tcBorders>
              <w:top w:val="single" w:color="000000" w:sz="4"/>
              <w:left w:val="single" w:color="000000" w:sz="4"/>
              <w:bottom w:val="single" w:color="000000" w:sz="4"/>
              <w:right w:val="single" w:color="000000" w:sz="4"/>
            </w:tcBorders>
            <w:shd w:color="auto" w:fill="8eaadb"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 </w:t>
            </w:r>
          </w:p>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Naziv mjere</w:t>
            </w:r>
          </w:p>
        </w:tc>
        <w:tc>
          <w:tcPr>
            <w:tcW w:w="7400" w:type="dxa"/>
            <w:tcBorders>
              <w:top w:val="single" w:color="000000" w:sz="4"/>
              <w:left w:val="single" w:color="000000" w:sz="4"/>
              <w:bottom w:val="single" w:color="000000" w:sz="4"/>
              <w:right w:val="single" w:color="000000" w:sz="4"/>
            </w:tcBorders>
            <w:shd w:color="auto" w:fill="8eaadb" w:val="clear"/>
            <w:tcMar>
              <w:left w:w="108" w:type="dxa"/>
              <w:right w:w="108" w:type="dxa"/>
            </w:tcMar>
            <w:vAlign w:val="top"/>
          </w:tcPr>
          <w:p>
            <w:pPr>
              <w:spacing w:before="40" w:after="40" w:line="240"/>
              <w:ind w:right="0" w:left="0" w:firstLine="0"/>
              <w:jc w:val="center"/>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Integralna energetska obnova javnih zgrada u vlasništvu Doboj Istok u kojima se kao energent za grijanje koriste fosila goriva i elektri</w:t>
            </w:r>
            <w:r>
              <w:rPr>
                <w:rFonts w:ascii="Calibri" w:hAnsi="Calibri" w:cs="Calibri" w:eastAsia="Calibri"/>
                <w:b/>
                <w:color w:val="auto"/>
                <w:spacing w:val="0"/>
                <w:position w:val="0"/>
                <w:sz w:val="18"/>
                <w:shd w:fill="auto" w:val="clear"/>
              </w:rPr>
              <w:t xml:space="preserve">čna energija</w:t>
            </w:r>
          </w:p>
        </w:tc>
      </w:tr>
      <w:tr>
        <w:trPr>
          <w:trHeight w:val="227" w:hRule="auto"/>
          <w:jc w:val="left"/>
        </w:trPr>
        <w:tc>
          <w:tcPr>
            <w:tcW w:w="2093" w:type="dxa"/>
            <w:tcBorders>
              <w:top w:val="single" w:color="000000" w:sz="4"/>
              <w:left w:val="single" w:color="000000" w:sz="4"/>
              <w:bottom w:val="single" w:color="000000" w:sz="4"/>
              <w:right w:val="single" w:color="000000" w:sz="4"/>
            </w:tcBorders>
            <w:shd w:color="auto" w:fill="d9e2f3"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Nosilac realizacije mjere</w:t>
            </w:r>
          </w:p>
        </w:tc>
        <w:tc>
          <w:tcPr>
            <w:tcW w:w="74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Služba za prostorno ure</w:t>
            </w:r>
            <w:r>
              <w:rPr>
                <w:rFonts w:ascii="Calibri" w:hAnsi="Calibri" w:cs="Calibri" w:eastAsia="Calibri"/>
                <w:color w:val="auto"/>
                <w:spacing w:val="0"/>
                <w:position w:val="0"/>
                <w:sz w:val="18"/>
                <w:shd w:fill="auto" w:val="clear"/>
              </w:rPr>
              <w:t xml:space="preserve">đenje Općine Doboj Istok</w:t>
            </w:r>
          </w:p>
        </w:tc>
      </w:tr>
      <w:tr>
        <w:trPr>
          <w:trHeight w:val="989" w:hRule="auto"/>
          <w:jc w:val="left"/>
        </w:trPr>
        <w:tc>
          <w:tcPr>
            <w:tcW w:w="2093" w:type="dxa"/>
            <w:tcBorders>
              <w:top w:val="single" w:color="000000" w:sz="4"/>
              <w:left w:val="single" w:color="000000" w:sz="4"/>
              <w:bottom w:val="single" w:color="000000" w:sz="4"/>
              <w:right w:val="single" w:color="000000" w:sz="4"/>
            </w:tcBorders>
            <w:shd w:color="auto" w:fill="d9e2f3" w:val="clear"/>
            <w:tcMar>
              <w:left w:w="108" w:type="dxa"/>
              <w:right w:w="108" w:type="dxa"/>
            </w:tcMar>
            <w:vAlign w:val="top"/>
          </w:tcPr>
          <w:p>
            <w:pPr>
              <w:spacing w:before="0" w:after="200" w:line="240"/>
              <w:ind w:right="0" w:left="0" w:firstLine="0"/>
              <w:jc w:val="left"/>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Partneri u realizaciji</w:t>
            </w:r>
          </w:p>
        </w:tc>
        <w:tc>
          <w:tcPr>
            <w:tcW w:w="74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2658"/>
              </w:numPr>
              <w:spacing w:before="40" w:after="0" w:line="240"/>
              <w:ind w:right="0" w:left="482"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Ostale relevantne službe Op</w:t>
            </w:r>
            <w:r>
              <w:rPr>
                <w:rFonts w:ascii="Calibri" w:hAnsi="Calibri" w:cs="Calibri" w:eastAsia="Calibri"/>
                <w:color w:val="auto"/>
                <w:spacing w:val="0"/>
                <w:position w:val="0"/>
                <w:sz w:val="18"/>
                <w:shd w:fill="auto" w:val="clear"/>
              </w:rPr>
              <w:t xml:space="preserve">ćine Doboj istok;</w:t>
            </w:r>
          </w:p>
          <w:p>
            <w:pPr>
              <w:numPr>
                <w:ilvl w:val="0"/>
                <w:numId w:val="2658"/>
              </w:numPr>
              <w:spacing w:before="0" w:after="0" w:line="240"/>
              <w:ind w:right="0" w:left="482"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JKP „</w:t>
            </w:r>
            <w:r>
              <w:rPr>
                <w:rFonts w:ascii="Calibri" w:hAnsi="Calibri" w:cs="Calibri" w:eastAsia="Calibri"/>
                <w:color w:val="auto"/>
                <w:spacing w:val="0"/>
                <w:position w:val="0"/>
                <w:sz w:val="18"/>
                <w:shd w:fill="auto" w:val="clear"/>
              </w:rPr>
              <w:t xml:space="preserve">ČISTO“ d.o.o. Doboj istok</w:t>
            </w:r>
          </w:p>
          <w:p>
            <w:pPr>
              <w:numPr>
                <w:ilvl w:val="0"/>
                <w:numId w:val="2658"/>
              </w:numPr>
              <w:spacing w:before="0" w:after="0" w:line="240"/>
              <w:ind w:right="0" w:left="482"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Institucije smještene u zgradama koje su uklju</w:t>
            </w:r>
            <w:r>
              <w:rPr>
                <w:rFonts w:ascii="Calibri" w:hAnsi="Calibri" w:cs="Calibri" w:eastAsia="Calibri"/>
                <w:color w:val="auto"/>
                <w:spacing w:val="0"/>
                <w:position w:val="0"/>
                <w:sz w:val="18"/>
                <w:shd w:fill="auto" w:val="clear"/>
              </w:rPr>
              <w:t xml:space="preserve">čene u mjeru; </w:t>
            </w:r>
          </w:p>
          <w:p>
            <w:pPr>
              <w:numPr>
                <w:ilvl w:val="0"/>
                <w:numId w:val="2658"/>
              </w:numPr>
              <w:spacing w:before="0" w:after="0" w:line="240"/>
              <w:ind w:right="0" w:left="482"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Organizacije civilnog društva;</w:t>
            </w:r>
          </w:p>
          <w:p>
            <w:pPr>
              <w:numPr>
                <w:ilvl w:val="0"/>
                <w:numId w:val="2658"/>
              </w:numPr>
              <w:spacing w:before="0" w:after="40" w:line="240"/>
              <w:ind w:right="0" w:left="482" w:hanging="357"/>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Ministarstvo prostornog ure</w:t>
            </w:r>
            <w:r>
              <w:rPr>
                <w:rFonts w:ascii="Calibri" w:hAnsi="Calibri" w:cs="Calibri" w:eastAsia="Calibri"/>
                <w:color w:val="auto"/>
                <w:spacing w:val="0"/>
                <w:position w:val="0"/>
                <w:sz w:val="18"/>
                <w:shd w:fill="auto" w:val="clear"/>
              </w:rPr>
              <w:t xml:space="preserve">đenja i zaštite okolice Tuzlanskog kantona</w:t>
            </w:r>
          </w:p>
        </w:tc>
      </w:tr>
      <w:tr>
        <w:trPr>
          <w:trHeight w:val="227" w:hRule="auto"/>
          <w:jc w:val="left"/>
        </w:trPr>
        <w:tc>
          <w:tcPr>
            <w:tcW w:w="2093" w:type="dxa"/>
            <w:tcBorders>
              <w:top w:val="single" w:color="000000" w:sz="4"/>
              <w:left w:val="single" w:color="000000" w:sz="4"/>
              <w:bottom w:val="single" w:color="000000" w:sz="4"/>
              <w:right w:val="single" w:color="000000" w:sz="4"/>
            </w:tcBorders>
            <w:shd w:color="auto" w:fill="d9e2f3" w:val="clear"/>
            <w:tcMar>
              <w:left w:w="108" w:type="dxa"/>
              <w:right w:w="108" w:type="dxa"/>
            </w:tcMar>
            <w:vAlign w:val="top"/>
          </w:tcPr>
          <w:p>
            <w:pPr>
              <w:spacing w:before="40" w:after="0" w:line="240"/>
              <w:ind w:right="0" w:left="0" w:firstLine="0"/>
              <w:jc w:val="left"/>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Period realizacije</w:t>
            </w:r>
          </w:p>
        </w:tc>
        <w:tc>
          <w:tcPr>
            <w:tcW w:w="74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72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2021-2030.</w:t>
            </w:r>
          </w:p>
        </w:tc>
      </w:tr>
      <w:tr>
        <w:trPr>
          <w:trHeight w:val="234" w:hRule="auto"/>
          <w:jc w:val="left"/>
        </w:trPr>
        <w:tc>
          <w:tcPr>
            <w:tcW w:w="2093" w:type="dxa"/>
            <w:tcBorders>
              <w:top w:val="single" w:color="000000" w:sz="4"/>
              <w:left w:val="single" w:color="000000" w:sz="4"/>
              <w:bottom w:val="single" w:color="000000" w:sz="4"/>
              <w:right w:val="single" w:color="000000" w:sz="4"/>
            </w:tcBorders>
            <w:shd w:color="auto" w:fill="d9e2f3" w:val="clear"/>
            <w:tcMar>
              <w:left w:w="108" w:type="dxa"/>
              <w:right w:w="108" w:type="dxa"/>
            </w:tcMar>
            <w:vAlign w:val="top"/>
          </w:tcPr>
          <w:p>
            <w:pPr>
              <w:spacing w:before="40" w:after="0" w:line="240"/>
              <w:ind w:right="0" w:left="0" w:firstLine="0"/>
              <w:jc w:val="left"/>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Ušteda (MWh)</w:t>
            </w:r>
          </w:p>
        </w:tc>
        <w:tc>
          <w:tcPr>
            <w:tcW w:w="74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72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646,35</w:t>
            </w:r>
          </w:p>
        </w:tc>
      </w:tr>
      <w:tr>
        <w:trPr>
          <w:trHeight w:val="227" w:hRule="auto"/>
          <w:jc w:val="left"/>
        </w:trPr>
        <w:tc>
          <w:tcPr>
            <w:tcW w:w="2093" w:type="dxa"/>
            <w:tcBorders>
              <w:top w:val="single" w:color="000000" w:sz="4"/>
              <w:left w:val="single" w:color="000000" w:sz="4"/>
              <w:bottom w:val="single" w:color="000000" w:sz="4"/>
              <w:right w:val="single" w:color="000000" w:sz="4"/>
            </w:tcBorders>
            <w:shd w:color="auto" w:fill="d9e2f3" w:val="clear"/>
            <w:tcMar>
              <w:left w:w="108" w:type="dxa"/>
              <w:right w:w="108" w:type="dxa"/>
            </w:tcMar>
            <w:vAlign w:val="top"/>
          </w:tcPr>
          <w:p>
            <w:pPr>
              <w:spacing w:before="40" w:after="0" w:line="240"/>
              <w:ind w:right="0" w:left="0" w:firstLine="0"/>
              <w:jc w:val="left"/>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Smanjenja emisije (tCO</w:t>
            </w:r>
            <w:r>
              <w:rPr>
                <w:rFonts w:ascii="Calibri" w:hAnsi="Calibri" w:cs="Calibri" w:eastAsia="Calibri"/>
                <w:b/>
                <w:color w:val="auto"/>
                <w:spacing w:val="0"/>
                <w:position w:val="0"/>
                <w:sz w:val="18"/>
                <w:shd w:fill="auto" w:val="clear"/>
                <w:vertAlign w:val="subscript"/>
              </w:rPr>
              <w:t xml:space="preserve">2</w:t>
            </w:r>
            <w:r>
              <w:rPr>
                <w:rFonts w:ascii="Calibri" w:hAnsi="Calibri" w:cs="Calibri" w:eastAsia="Calibri"/>
                <w:b/>
                <w:color w:val="auto"/>
                <w:spacing w:val="0"/>
                <w:position w:val="0"/>
                <w:sz w:val="18"/>
                <w:shd w:fill="auto" w:val="clear"/>
              </w:rPr>
              <w:t xml:space="preserve">)</w:t>
            </w:r>
          </w:p>
        </w:tc>
        <w:tc>
          <w:tcPr>
            <w:tcW w:w="74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72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368,31</w:t>
            </w:r>
          </w:p>
        </w:tc>
      </w:tr>
      <w:tr>
        <w:trPr>
          <w:trHeight w:val="227" w:hRule="auto"/>
          <w:jc w:val="left"/>
        </w:trPr>
        <w:tc>
          <w:tcPr>
            <w:tcW w:w="2093" w:type="dxa"/>
            <w:tcBorders>
              <w:top w:val="single" w:color="000000" w:sz="4"/>
              <w:left w:val="single" w:color="000000" w:sz="4"/>
              <w:bottom w:val="single" w:color="000000" w:sz="4"/>
              <w:right w:val="single" w:color="000000" w:sz="4"/>
            </w:tcBorders>
            <w:shd w:color="auto" w:fill="d9e2f3" w:val="clear"/>
            <w:tcMar>
              <w:left w:w="108" w:type="dxa"/>
              <w:right w:w="108" w:type="dxa"/>
            </w:tcMar>
            <w:vAlign w:val="top"/>
          </w:tcPr>
          <w:p>
            <w:pPr>
              <w:spacing w:before="40" w:after="0" w:line="240"/>
              <w:ind w:right="0" w:left="0" w:firstLine="0"/>
              <w:jc w:val="left"/>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Ukupna investicija (KM)</w:t>
            </w:r>
          </w:p>
        </w:tc>
        <w:tc>
          <w:tcPr>
            <w:tcW w:w="74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72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248.497,54</w:t>
            </w:r>
          </w:p>
        </w:tc>
      </w:tr>
      <w:tr>
        <w:trPr>
          <w:trHeight w:val="227" w:hRule="auto"/>
          <w:jc w:val="left"/>
        </w:trPr>
        <w:tc>
          <w:tcPr>
            <w:tcW w:w="2093" w:type="dxa"/>
            <w:tcBorders>
              <w:top w:val="single" w:color="000000" w:sz="4"/>
              <w:left w:val="single" w:color="000000" w:sz="4"/>
              <w:bottom w:val="single" w:color="000000" w:sz="4"/>
              <w:right w:val="single" w:color="000000" w:sz="4"/>
            </w:tcBorders>
            <w:shd w:color="auto" w:fill="d9e2f3" w:val="clear"/>
            <w:tcMar>
              <w:left w:w="108" w:type="dxa"/>
              <w:right w:w="108" w:type="dxa"/>
            </w:tcMar>
            <w:vAlign w:val="top"/>
          </w:tcPr>
          <w:p>
            <w:pPr>
              <w:spacing w:before="0" w:after="200" w:line="240"/>
              <w:ind w:right="0" w:left="0" w:firstLine="0"/>
              <w:jc w:val="left"/>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Mogu</w:t>
            </w:r>
            <w:r>
              <w:rPr>
                <w:rFonts w:ascii="Calibri" w:hAnsi="Calibri" w:cs="Calibri" w:eastAsia="Calibri"/>
                <w:b/>
                <w:color w:val="auto"/>
                <w:spacing w:val="0"/>
                <w:position w:val="0"/>
                <w:sz w:val="18"/>
                <w:shd w:fill="auto" w:val="clear"/>
              </w:rPr>
              <w:t xml:space="preserve">ći izvor financijskih sredstava za realizaciju mjere</w:t>
            </w:r>
          </w:p>
        </w:tc>
        <w:tc>
          <w:tcPr>
            <w:tcW w:w="74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2678"/>
              </w:numPr>
              <w:spacing w:before="40" w:after="0" w:line="240"/>
              <w:ind w:right="0" w:left="482"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Budžet Op</w:t>
            </w:r>
            <w:r>
              <w:rPr>
                <w:rFonts w:ascii="Calibri" w:hAnsi="Calibri" w:cs="Calibri" w:eastAsia="Calibri"/>
                <w:color w:val="auto"/>
                <w:spacing w:val="0"/>
                <w:position w:val="0"/>
                <w:sz w:val="18"/>
                <w:shd w:fill="auto" w:val="clear"/>
              </w:rPr>
              <w:t xml:space="preserve">ćine Doboj istok;</w:t>
            </w:r>
          </w:p>
          <w:p>
            <w:pPr>
              <w:numPr>
                <w:ilvl w:val="0"/>
                <w:numId w:val="2678"/>
              </w:numPr>
              <w:spacing w:before="0" w:after="0" w:line="240"/>
              <w:ind w:right="0" w:left="482"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Budžet Tuzlanskog kantona;</w:t>
            </w:r>
          </w:p>
          <w:p>
            <w:pPr>
              <w:numPr>
                <w:ilvl w:val="0"/>
                <w:numId w:val="2678"/>
              </w:numPr>
              <w:spacing w:before="0" w:after="0" w:line="240"/>
              <w:ind w:right="0" w:left="482"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Fond za zaštitu okoliša Federacije BiH;</w:t>
            </w:r>
          </w:p>
          <w:p>
            <w:pPr>
              <w:numPr>
                <w:ilvl w:val="0"/>
                <w:numId w:val="2678"/>
              </w:numPr>
              <w:spacing w:before="0" w:after="0" w:line="240"/>
              <w:ind w:right="0" w:left="482"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Me</w:t>
            </w:r>
            <w:r>
              <w:rPr>
                <w:rFonts w:ascii="Calibri" w:hAnsi="Calibri" w:cs="Calibri" w:eastAsia="Calibri"/>
                <w:color w:val="auto"/>
                <w:spacing w:val="0"/>
                <w:position w:val="0"/>
                <w:sz w:val="18"/>
                <w:shd w:fill="auto" w:val="clear"/>
              </w:rPr>
              <w:t xml:space="preserve">đunarodne razvojne organizacije (UNDP, EU, vlade i ambasade pojedinih zemalja, itd);</w:t>
            </w:r>
          </w:p>
          <w:p>
            <w:pPr>
              <w:numPr>
                <w:ilvl w:val="0"/>
                <w:numId w:val="2678"/>
              </w:numPr>
              <w:spacing w:before="0" w:after="40" w:line="240"/>
              <w:ind w:right="0" w:left="482" w:hanging="357"/>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Me</w:t>
            </w:r>
            <w:r>
              <w:rPr>
                <w:rFonts w:ascii="Calibri" w:hAnsi="Calibri" w:cs="Calibri" w:eastAsia="Calibri"/>
                <w:color w:val="auto"/>
                <w:spacing w:val="0"/>
                <w:position w:val="0"/>
                <w:sz w:val="18"/>
                <w:shd w:fill="auto" w:val="clear"/>
              </w:rPr>
              <w:t xml:space="preserve">đunarodne i domaće financijske institucije (EBRD, KfW, EIB, itd)</w:t>
            </w:r>
          </w:p>
        </w:tc>
      </w:tr>
      <w:tr>
        <w:trPr>
          <w:trHeight w:val="274" w:hRule="auto"/>
          <w:jc w:val="left"/>
        </w:trPr>
        <w:tc>
          <w:tcPr>
            <w:tcW w:w="2093" w:type="dxa"/>
            <w:tcBorders>
              <w:top w:val="single" w:color="000000" w:sz="4"/>
              <w:left w:val="single" w:color="000000" w:sz="4"/>
              <w:bottom w:val="single" w:color="000000" w:sz="4"/>
              <w:right w:val="single" w:color="000000" w:sz="4"/>
            </w:tcBorders>
            <w:shd w:color="auto" w:fill="d9e2f3" w:val="clear"/>
            <w:tcMar>
              <w:left w:w="108" w:type="dxa"/>
              <w:right w:w="108" w:type="dxa"/>
            </w:tcMar>
            <w:vAlign w:val="top"/>
          </w:tcPr>
          <w:p>
            <w:pPr>
              <w:spacing w:before="0" w:after="200" w:line="240"/>
              <w:ind w:right="0" w:left="0" w:firstLine="0"/>
              <w:jc w:val="left"/>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Kratki opis mjere /komentari</w:t>
            </w:r>
          </w:p>
        </w:tc>
        <w:tc>
          <w:tcPr>
            <w:tcW w:w="74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0" w:line="240"/>
              <w:ind w:right="0" w:left="0" w:firstLine="0"/>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Mjera obuhvata integralnu energetsku obnovu 4 javne zgrade u vlasništvu Op</w:t>
            </w:r>
            <w:r>
              <w:rPr>
                <w:rFonts w:ascii="Calibri" w:hAnsi="Calibri" w:cs="Calibri" w:eastAsia="Calibri"/>
                <w:color w:val="auto"/>
                <w:spacing w:val="0"/>
                <w:position w:val="0"/>
                <w:sz w:val="18"/>
                <w:shd w:fill="auto" w:val="clear"/>
              </w:rPr>
              <w:t xml:space="preserve">ćine, u kojima se kao energent za grijanje koriste fosilna goriva i/ili električnu energiju, što uključuje:</w:t>
            </w:r>
          </w:p>
          <w:p>
            <w:pPr>
              <w:numPr>
                <w:ilvl w:val="0"/>
                <w:numId w:val="2685"/>
              </w:numPr>
              <w:spacing w:before="0" w:after="0" w:line="240"/>
              <w:ind w:right="0" w:left="360" w:hanging="36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Energetsku obnovu vanjske ovojnice zgrade (postavljanje toplotne izolacije vanjskih zidova, krova, i/ili stropa, i/ili podova, i zamjenu postoje</w:t>
            </w:r>
            <w:r>
              <w:rPr>
                <w:rFonts w:ascii="Calibri" w:hAnsi="Calibri" w:cs="Calibri" w:eastAsia="Calibri"/>
                <w:color w:val="auto"/>
                <w:spacing w:val="0"/>
                <w:position w:val="0"/>
                <w:sz w:val="18"/>
                <w:shd w:fill="auto" w:val="clear"/>
              </w:rPr>
              <w:t xml:space="preserve">će vanjske stolarije (prozora i vrata) sa stolarijom visokih energetskih karakteristika); i</w:t>
            </w:r>
          </w:p>
          <w:p>
            <w:pPr>
              <w:numPr>
                <w:ilvl w:val="0"/>
                <w:numId w:val="2685"/>
              </w:numPr>
              <w:spacing w:before="0" w:after="0" w:line="240"/>
              <w:ind w:right="0" w:left="360" w:hanging="36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Zamjenu postoje</w:t>
            </w:r>
            <w:r>
              <w:rPr>
                <w:rFonts w:ascii="Calibri" w:hAnsi="Calibri" w:cs="Calibri" w:eastAsia="Calibri"/>
                <w:color w:val="auto"/>
                <w:spacing w:val="0"/>
                <w:position w:val="0"/>
                <w:sz w:val="18"/>
                <w:shd w:fill="auto" w:val="clear"/>
              </w:rPr>
              <w:t xml:space="preserve">ćih kotlova na fosilna goriva i grijalica koje koriste električnu energiju, sa kotlovima visoke energetske efikasnosti na biomasu (pelet). </w:t>
            </w:r>
          </w:p>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Za jednu javnu zgradu predvi</w:t>
            </w:r>
            <w:r>
              <w:rPr>
                <w:rFonts w:ascii="Calibri" w:hAnsi="Calibri" w:cs="Calibri" w:eastAsia="Calibri"/>
                <w:color w:val="auto"/>
                <w:spacing w:val="0"/>
                <w:position w:val="0"/>
                <w:sz w:val="18"/>
                <w:shd w:fill="auto" w:val="clear"/>
              </w:rPr>
              <w:t xml:space="preserve">đeno je postavljanje termoizolacije na fasadu i stropove te zamjena postojeće vanjske stolarije, što obuhvata ukupno 387 m</w:t>
            </w:r>
            <w:r>
              <w:rPr>
                <w:rFonts w:ascii="Calibri" w:hAnsi="Calibri" w:cs="Calibri" w:eastAsia="Calibri"/>
                <w:color w:val="auto"/>
                <w:spacing w:val="0"/>
                <w:position w:val="0"/>
                <w:sz w:val="18"/>
                <w:shd w:fill="auto" w:val="clear"/>
                <w:vertAlign w:val="superscript"/>
              </w:rPr>
              <w:t xml:space="preserve">2</w:t>
            </w:r>
            <w:r>
              <w:rPr>
                <w:rFonts w:ascii="Calibri" w:hAnsi="Calibri" w:cs="Calibri" w:eastAsia="Calibri"/>
                <w:color w:val="auto"/>
                <w:spacing w:val="0"/>
                <w:position w:val="0"/>
                <w:sz w:val="18"/>
                <w:shd w:fill="auto" w:val="clear"/>
              </w:rPr>
              <w:t xml:space="preserve"> fasade, 234 m</w:t>
            </w:r>
            <w:r>
              <w:rPr>
                <w:rFonts w:ascii="Calibri" w:hAnsi="Calibri" w:cs="Calibri" w:eastAsia="Calibri"/>
                <w:color w:val="auto"/>
                <w:spacing w:val="0"/>
                <w:position w:val="0"/>
                <w:sz w:val="18"/>
                <w:shd w:fill="auto" w:val="clear"/>
                <w:vertAlign w:val="superscript"/>
              </w:rPr>
              <w:t xml:space="preserve">2</w:t>
            </w:r>
            <w:r>
              <w:rPr>
                <w:rFonts w:ascii="Calibri" w:hAnsi="Calibri" w:cs="Calibri" w:eastAsia="Calibri"/>
                <w:color w:val="auto"/>
                <w:spacing w:val="0"/>
                <w:position w:val="0"/>
                <w:sz w:val="18"/>
                <w:shd w:fill="auto" w:val="clear"/>
              </w:rPr>
              <w:t xml:space="preserve"> stropova, te 149 m</w:t>
            </w:r>
            <w:r>
              <w:rPr>
                <w:rFonts w:ascii="Calibri" w:hAnsi="Calibri" w:cs="Calibri" w:eastAsia="Calibri"/>
                <w:color w:val="auto"/>
                <w:spacing w:val="0"/>
                <w:position w:val="0"/>
                <w:sz w:val="18"/>
                <w:shd w:fill="auto" w:val="clear"/>
                <w:vertAlign w:val="superscript"/>
              </w:rPr>
              <w:t xml:space="preserve">2</w:t>
            </w:r>
            <w:r>
              <w:rPr>
                <w:rFonts w:ascii="Calibri" w:hAnsi="Calibri" w:cs="Calibri" w:eastAsia="Calibri"/>
                <w:color w:val="auto"/>
                <w:spacing w:val="0"/>
                <w:position w:val="0"/>
                <w:sz w:val="18"/>
                <w:shd w:fill="auto" w:val="clear"/>
              </w:rPr>
              <w:t xml:space="preserve"> vanjske stolarije. Za dvije javne zgrade predviđeno je postavljanje termoizolacije na fasadu (806 m</w:t>
            </w:r>
            <w:r>
              <w:rPr>
                <w:rFonts w:ascii="Calibri" w:hAnsi="Calibri" w:cs="Calibri" w:eastAsia="Calibri"/>
                <w:color w:val="auto"/>
                <w:spacing w:val="0"/>
                <w:position w:val="0"/>
                <w:sz w:val="18"/>
                <w:shd w:fill="auto" w:val="clear"/>
                <w:vertAlign w:val="superscript"/>
              </w:rPr>
              <w:t xml:space="preserve">2</w:t>
            </w:r>
            <w:r>
              <w:rPr>
                <w:rFonts w:ascii="Calibri" w:hAnsi="Calibri" w:cs="Calibri" w:eastAsia="Calibri"/>
                <w:color w:val="auto"/>
                <w:spacing w:val="0"/>
                <w:position w:val="0"/>
                <w:sz w:val="18"/>
                <w:shd w:fill="auto" w:val="clear"/>
              </w:rPr>
              <w:t xml:space="preserve">), postavljanje termoizolacije na strop (607 m</w:t>
            </w:r>
            <w:r>
              <w:rPr>
                <w:rFonts w:ascii="Calibri" w:hAnsi="Calibri" w:cs="Calibri" w:eastAsia="Calibri"/>
                <w:color w:val="auto"/>
                <w:spacing w:val="0"/>
                <w:position w:val="0"/>
                <w:sz w:val="18"/>
                <w:shd w:fill="auto" w:val="clear"/>
                <w:vertAlign w:val="superscript"/>
              </w:rPr>
              <w:t xml:space="preserve">2</w:t>
            </w:r>
            <w:r>
              <w:rPr>
                <w:rFonts w:ascii="Calibri" w:hAnsi="Calibri" w:cs="Calibri" w:eastAsia="Calibri"/>
                <w:color w:val="auto"/>
                <w:spacing w:val="0"/>
                <w:position w:val="0"/>
                <w:sz w:val="18"/>
                <w:shd w:fill="auto" w:val="clear"/>
              </w:rPr>
              <w:t xml:space="preserve">) i 2 kotla na pelet. Za jednu zgradu predviđena je samo zamjena postojećih grijalica sa kotlom na pelet. Lista svih zgrada predloženih za ovu mjeru, sa njihovim glavnim građevinskim i energetskim karakteristikama, nalazi se u </w:t>
            </w:r>
            <w:r>
              <w:rPr>
                <w:rFonts w:ascii="Calibri" w:hAnsi="Calibri" w:cs="Calibri" w:eastAsia="Calibri"/>
                <w:i/>
                <w:color w:val="auto"/>
                <w:spacing w:val="0"/>
                <w:position w:val="0"/>
                <w:sz w:val="18"/>
                <w:shd w:fill="auto" w:val="clear"/>
              </w:rPr>
              <w:t xml:space="preserve">Prilogu 5</w:t>
            </w:r>
            <w:r>
              <w:rPr>
                <w:rFonts w:ascii="Calibri" w:hAnsi="Calibri" w:cs="Calibri" w:eastAsia="Calibri"/>
                <w:b/>
                <w:color w:val="auto"/>
                <w:spacing w:val="0"/>
                <w:position w:val="0"/>
                <w:sz w:val="18"/>
                <w:shd w:fill="auto" w:val="clear"/>
              </w:rPr>
              <w:t xml:space="preserve"> </w:t>
            </w:r>
            <w:r>
              <w:rPr>
                <w:rFonts w:ascii="Calibri" w:hAnsi="Calibri" w:cs="Calibri" w:eastAsia="Calibri"/>
                <w:i/>
                <w:color w:val="auto"/>
                <w:spacing w:val="0"/>
                <w:position w:val="0"/>
                <w:sz w:val="18"/>
                <w:shd w:fill="auto" w:val="clear"/>
              </w:rPr>
              <w:t xml:space="preserve">– Lista javnih zgrada u vlasništvu Općine Doboj Istok</w:t>
            </w:r>
            <w:r>
              <w:rPr>
                <w:rFonts w:ascii="Calibri" w:hAnsi="Calibri" w:cs="Calibri" w:eastAsia="Calibri"/>
                <w:i/>
                <w:color w:val="auto"/>
                <w:spacing w:val="0"/>
                <w:position w:val="0"/>
                <w:sz w:val="20"/>
                <w:shd w:fill="auto" w:val="clear"/>
              </w:rPr>
              <w:t xml:space="preserve"> </w:t>
            </w:r>
            <w:r>
              <w:rPr>
                <w:rFonts w:ascii="Calibri" w:hAnsi="Calibri" w:cs="Calibri" w:eastAsia="Calibri"/>
                <w:i/>
                <w:color w:val="auto"/>
                <w:spacing w:val="0"/>
                <w:position w:val="0"/>
                <w:sz w:val="18"/>
                <w:shd w:fill="auto" w:val="clear"/>
              </w:rPr>
              <w:t xml:space="preserve">sa predloženim mjerama.</w:t>
            </w:r>
          </w:p>
        </w:tc>
      </w:tr>
    </w:tbl>
    <w:p>
      <w:pPr>
        <w:keepNext w:val="true"/>
        <w:keepLines w:val="true"/>
        <w:numPr>
          <w:ilvl w:val="0"/>
          <w:numId w:val="2688"/>
        </w:numPr>
        <w:spacing w:before="240" w:after="120" w:line="240"/>
        <w:ind w:right="0" w:left="862" w:hanging="862"/>
        <w:jc w:val="both"/>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Mjere u podsektoru javnih zgrada koje nisu u vlasništvu Op</w:t>
      </w:r>
      <w:r>
        <w:rPr>
          <w:rFonts w:ascii="Calibri" w:hAnsi="Calibri" w:cs="Calibri" w:eastAsia="Calibri"/>
          <w:b/>
          <w:color w:val="auto"/>
          <w:spacing w:val="0"/>
          <w:position w:val="0"/>
          <w:sz w:val="22"/>
          <w:shd w:fill="auto" w:val="clear"/>
        </w:rPr>
        <w:t xml:space="preserve">ćine Doboj Istok</w:t>
      </w:r>
    </w:p>
    <w:tbl>
      <w:tblPr/>
      <w:tblGrid>
        <w:gridCol w:w="2093"/>
        <w:gridCol w:w="7400"/>
      </w:tblGrid>
      <w:tr>
        <w:trPr>
          <w:trHeight w:val="227" w:hRule="auto"/>
          <w:jc w:val="left"/>
        </w:trPr>
        <w:tc>
          <w:tcPr>
            <w:tcW w:w="2093" w:type="dxa"/>
            <w:tcBorders>
              <w:top w:val="single" w:color="000000" w:sz="4"/>
              <w:left w:val="single" w:color="000000" w:sz="4"/>
              <w:bottom w:val="single" w:color="000000" w:sz="4"/>
              <w:right w:val="single" w:color="000000" w:sz="4"/>
            </w:tcBorders>
            <w:shd w:color="auto" w:fill="9cc2e5"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Redni broj mjere</w:t>
            </w:r>
          </w:p>
        </w:tc>
        <w:tc>
          <w:tcPr>
            <w:tcW w:w="7400" w:type="dxa"/>
            <w:tcBorders>
              <w:top w:val="single" w:color="000000" w:sz="4"/>
              <w:left w:val="single" w:color="000000" w:sz="4"/>
              <w:bottom w:val="single" w:color="000000" w:sz="4"/>
              <w:right w:val="single" w:color="000000" w:sz="4"/>
            </w:tcBorders>
            <w:shd w:color="auto" w:fill="9cc2e5" w:val="clear"/>
            <w:tcMar>
              <w:left w:w="108" w:type="dxa"/>
              <w:right w:w="108" w:type="dxa"/>
            </w:tcMar>
            <w:vAlign w:val="top"/>
          </w:tcPr>
          <w:p>
            <w:pPr>
              <w:spacing w:before="40" w:after="40" w:line="240"/>
              <w:ind w:right="0" w:left="0" w:firstLine="0"/>
              <w:jc w:val="center"/>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JZD-1</w:t>
            </w:r>
          </w:p>
        </w:tc>
      </w:tr>
      <w:tr>
        <w:trPr>
          <w:trHeight w:val="227" w:hRule="auto"/>
          <w:jc w:val="left"/>
        </w:trPr>
        <w:tc>
          <w:tcPr>
            <w:tcW w:w="2093" w:type="dxa"/>
            <w:tcBorders>
              <w:top w:val="single" w:color="000000" w:sz="4"/>
              <w:left w:val="single" w:color="000000" w:sz="4"/>
              <w:bottom w:val="single" w:color="000000" w:sz="4"/>
              <w:right w:val="single" w:color="000000" w:sz="4"/>
            </w:tcBorders>
            <w:shd w:color="auto" w:fill="9cc2e5"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 </w:t>
            </w:r>
          </w:p>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Naziv mjere</w:t>
            </w:r>
          </w:p>
        </w:tc>
        <w:tc>
          <w:tcPr>
            <w:tcW w:w="7400" w:type="dxa"/>
            <w:tcBorders>
              <w:top w:val="single" w:color="000000" w:sz="4"/>
              <w:left w:val="single" w:color="000000" w:sz="4"/>
              <w:bottom w:val="single" w:color="000000" w:sz="4"/>
              <w:right w:val="single" w:color="000000" w:sz="4"/>
            </w:tcBorders>
            <w:shd w:color="auto" w:fill="9cc2e5" w:val="clear"/>
            <w:tcMar>
              <w:left w:w="108" w:type="dxa"/>
              <w:right w:w="108" w:type="dxa"/>
            </w:tcMar>
            <w:vAlign w:val="top"/>
          </w:tcPr>
          <w:p>
            <w:pPr>
              <w:spacing w:before="40" w:after="40" w:line="240"/>
              <w:ind w:right="0" w:left="0" w:firstLine="0"/>
              <w:jc w:val="center"/>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U</w:t>
            </w:r>
            <w:r>
              <w:rPr>
                <w:rFonts w:ascii="Calibri" w:hAnsi="Calibri" w:cs="Calibri" w:eastAsia="Calibri"/>
                <w:b/>
                <w:color w:val="auto"/>
                <w:spacing w:val="0"/>
                <w:position w:val="0"/>
                <w:sz w:val="18"/>
                <w:shd w:fill="auto" w:val="clear"/>
              </w:rPr>
              <w:t xml:space="preserve">češće u integralnoj energetskoj obnovi javnih zgrada koje nisu u vlasništvu Općine u kojima se kao energent za grijanje koriste fosilna goriva</w:t>
            </w:r>
          </w:p>
        </w:tc>
      </w:tr>
      <w:tr>
        <w:trPr>
          <w:trHeight w:val="227" w:hRule="auto"/>
          <w:jc w:val="left"/>
        </w:trPr>
        <w:tc>
          <w:tcPr>
            <w:tcW w:w="2093" w:type="dxa"/>
            <w:tcBorders>
              <w:top w:val="single" w:color="000000" w:sz="4"/>
              <w:left w:val="single" w:color="000000" w:sz="4"/>
              <w:bottom w:val="single" w:color="000000" w:sz="4"/>
              <w:right w:val="single" w:color="000000" w:sz="4"/>
            </w:tcBorders>
            <w:shd w:color="auto" w:fill="d9e2f3"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Nosilac realizacije mjere</w:t>
            </w:r>
          </w:p>
        </w:tc>
        <w:tc>
          <w:tcPr>
            <w:tcW w:w="74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Op</w:t>
            </w:r>
            <w:r>
              <w:rPr>
                <w:rFonts w:ascii="Calibri" w:hAnsi="Calibri" w:cs="Calibri" w:eastAsia="Calibri"/>
                <w:color w:val="auto"/>
                <w:spacing w:val="0"/>
                <w:position w:val="0"/>
                <w:sz w:val="18"/>
                <w:shd w:fill="auto" w:val="clear"/>
              </w:rPr>
              <w:t xml:space="preserve">ćina Doboj Istok</w:t>
            </w:r>
          </w:p>
        </w:tc>
      </w:tr>
      <w:tr>
        <w:trPr>
          <w:trHeight w:val="423" w:hRule="auto"/>
          <w:jc w:val="left"/>
        </w:trPr>
        <w:tc>
          <w:tcPr>
            <w:tcW w:w="2093" w:type="dxa"/>
            <w:tcBorders>
              <w:top w:val="single" w:color="000000" w:sz="4"/>
              <w:left w:val="single" w:color="000000" w:sz="4"/>
              <w:bottom w:val="single" w:color="000000" w:sz="4"/>
              <w:right w:val="single" w:color="000000" w:sz="4"/>
            </w:tcBorders>
            <w:shd w:color="auto" w:fill="d9e2f3" w:val="clear"/>
            <w:tcMar>
              <w:left w:w="108" w:type="dxa"/>
              <w:right w:w="108" w:type="dxa"/>
            </w:tcMar>
            <w:vAlign w:val="top"/>
          </w:tcPr>
          <w:p>
            <w:pPr>
              <w:spacing w:before="40" w:after="0" w:line="240"/>
              <w:ind w:right="0" w:left="0" w:firstLine="0"/>
              <w:jc w:val="left"/>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Partneri u realizaciji</w:t>
            </w:r>
          </w:p>
        </w:tc>
        <w:tc>
          <w:tcPr>
            <w:tcW w:w="74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2703"/>
              </w:numPr>
              <w:spacing w:before="40" w:after="0" w:line="240"/>
              <w:ind w:right="0" w:left="482"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Relevantne službe Op</w:t>
            </w:r>
            <w:r>
              <w:rPr>
                <w:rFonts w:ascii="Calibri" w:hAnsi="Calibri" w:cs="Calibri" w:eastAsia="Calibri"/>
                <w:color w:val="auto"/>
                <w:spacing w:val="0"/>
                <w:position w:val="0"/>
                <w:sz w:val="18"/>
                <w:shd w:fill="auto" w:val="clear"/>
              </w:rPr>
              <w:t xml:space="preserve">ćine Doboj Istok;</w:t>
            </w:r>
          </w:p>
          <w:p>
            <w:pPr>
              <w:numPr>
                <w:ilvl w:val="0"/>
                <w:numId w:val="2703"/>
              </w:numPr>
              <w:spacing w:before="0" w:after="0" w:line="240"/>
              <w:ind w:right="0" w:left="482"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Ministarstvo prostornog ure</w:t>
            </w:r>
            <w:r>
              <w:rPr>
                <w:rFonts w:ascii="Calibri" w:hAnsi="Calibri" w:cs="Calibri" w:eastAsia="Calibri"/>
                <w:color w:val="auto"/>
                <w:spacing w:val="0"/>
                <w:position w:val="0"/>
                <w:sz w:val="18"/>
                <w:shd w:fill="auto" w:val="clear"/>
              </w:rPr>
              <w:t xml:space="preserve">đenja i zaštite okolice Tuzlanskog kantona;</w:t>
            </w:r>
          </w:p>
          <w:p>
            <w:pPr>
              <w:numPr>
                <w:ilvl w:val="0"/>
                <w:numId w:val="2703"/>
              </w:numPr>
              <w:spacing w:before="0" w:after="0" w:line="240"/>
              <w:ind w:right="0" w:left="482"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Institucije smještene u zgradama koje su uklju</w:t>
            </w:r>
            <w:r>
              <w:rPr>
                <w:rFonts w:ascii="Calibri" w:hAnsi="Calibri" w:cs="Calibri" w:eastAsia="Calibri"/>
                <w:color w:val="auto"/>
                <w:spacing w:val="0"/>
                <w:position w:val="0"/>
                <w:sz w:val="18"/>
                <w:shd w:fill="auto" w:val="clear"/>
              </w:rPr>
              <w:t xml:space="preserve">čene u mjeru; </w:t>
            </w:r>
          </w:p>
          <w:p>
            <w:pPr>
              <w:numPr>
                <w:ilvl w:val="0"/>
                <w:numId w:val="2703"/>
              </w:numPr>
              <w:spacing w:before="0" w:after="40" w:line="240"/>
              <w:ind w:right="0" w:left="482" w:hanging="357"/>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Organizacije civilnog društva</w:t>
            </w:r>
          </w:p>
        </w:tc>
      </w:tr>
      <w:tr>
        <w:trPr>
          <w:trHeight w:val="227" w:hRule="auto"/>
          <w:jc w:val="left"/>
        </w:trPr>
        <w:tc>
          <w:tcPr>
            <w:tcW w:w="2093" w:type="dxa"/>
            <w:tcBorders>
              <w:top w:val="single" w:color="000000" w:sz="4"/>
              <w:left w:val="single" w:color="000000" w:sz="4"/>
              <w:bottom w:val="single" w:color="000000" w:sz="4"/>
              <w:right w:val="single" w:color="000000" w:sz="4"/>
            </w:tcBorders>
            <w:shd w:color="auto" w:fill="d9e2f3" w:val="clear"/>
            <w:tcMar>
              <w:left w:w="108" w:type="dxa"/>
              <w:right w:w="108" w:type="dxa"/>
            </w:tcMar>
            <w:vAlign w:val="top"/>
          </w:tcPr>
          <w:p>
            <w:pPr>
              <w:spacing w:before="40" w:after="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Period realizacije</w:t>
            </w:r>
          </w:p>
        </w:tc>
        <w:tc>
          <w:tcPr>
            <w:tcW w:w="74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72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2021-2030.</w:t>
            </w:r>
          </w:p>
        </w:tc>
      </w:tr>
      <w:tr>
        <w:trPr>
          <w:trHeight w:val="227" w:hRule="auto"/>
          <w:jc w:val="left"/>
        </w:trPr>
        <w:tc>
          <w:tcPr>
            <w:tcW w:w="2093" w:type="dxa"/>
            <w:tcBorders>
              <w:top w:val="single" w:color="000000" w:sz="4"/>
              <w:left w:val="single" w:color="000000" w:sz="4"/>
              <w:bottom w:val="single" w:color="000000" w:sz="4"/>
              <w:right w:val="single" w:color="000000" w:sz="4"/>
            </w:tcBorders>
            <w:shd w:color="auto" w:fill="d9e2f3" w:val="clear"/>
            <w:tcMar>
              <w:left w:w="108" w:type="dxa"/>
              <w:right w:w="108" w:type="dxa"/>
            </w:tcMar>
            <w:vAlign w:val="top"/>
          </w:tcPr>
          <w:p>
            <w:pPr>
              <w:spacing w:before="40" w:after="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Ušteda (MWh)</w:t>
            </w:r>
          </w:p>
        </w:tc>
        <w:tc>
          <w:tcPr>
            <w:tcW w:w="74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72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606,74</w:t>
            </w:r>
          </w:p>
        </w:tc>
      </w:tr>
      <w:tr>
        <w:trPr>
          <w:trHeight w:val="227" w:hRule="auto"/>
          <w:jc w:val="left"/>
        </w:trPr>
        <w:tc>
          <w:tcPr>
            <w:tcW w:w="2093" w:type="dxa"/>
            <w:tcBorders>
              <w:top w:val="single" w:color="000000" w:sz="4"/>
              <w:left w:val="single" w:color="000000" w:sz="4"/>
              <w:bottom w:val="single" w:color="000000" w:sz="4"/>
              <w:right w:val="single" w:color="000000" w:sz="4"/>
            </w:tcBorders>
            <w:shd w:color="auto" w:fill="d9e2f3" w:val="clear"/>
            <w:tcMar>
              <w:left w:w="108" w:type="dxa"/>
              <w:right w:w="108" w:type="dxa"/>
            </w:tcMar>
            <w:vAlign w:val="top"/>
          </w:tcPr>
          <w:p>
            <w:pPr>
              <w:spacing w:before="40" w:after="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Smanjenja emisije (tCO</w:t>
            </w:r>
            <w:r>
              <w:rPr>
                <w:rFonts w:ascii="Calibri" w:hAnsi="Calibri" w:cs="Calibri" w:eastAsia="Calibri"/>
                <w:b/>
                <w:color w:val="auto"/>
                <w:spacing w:val="0"/>
                <w:position w:val="0"/>
                <w:sz w:val="18"/>
                <w:shd w:fill="auto" w:val="clear"/>
                <w:vertAlign w:val="subscript"/>
              </w:rPr>
              <w:t xml:space="preserve">2</w:t>
            </w:r>
            <w:r>
              <w:rPr>
                <w:rFonts w:ascii="Calibri" w:hAnsi="Calibri" w:cs="Calibri" w:eastAsia="Calibri"/>
                <w:b/>
                <w:color w:val="auto"/>
                <w:spacing w:val="0"/>
                <w:position w:val="0"/>
                <w:sz w:val="18"/>
                <w:shd w:fill="auto" w:val="clear"/>
              </w:rPr>
              <w:t xml:space="preserve">)</w:t>
            </w:r>
          </w:p>
        </w:tc>
        <w:tc>
          <w:tcPr>
            <w:tcW w:w="74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72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231,22</w:t>
            </w:r>
          </w:p>
        </w:tc>
      </w:tr>
      <w:tr>
        <w:trPr>
          <w:trHeight w:val="227" w:hRule="auto"/>
          <w:jc w:val="left"/>
        </w:trPr>
        <w:tc>
          <w:tcPr>
            <w:tcW w:w="2093" w:type="dxa"/>
            <w:tcBorders>
              <w:top w:val="single" w:color="000000" w:sz="4"/>
              <w:left w:val="single" w:color="000000" w:sz="4"/>
              <w:bottom w:val="single" w:color="000000" w:sz="4"/>
              <w:right w:val="single" w:color="000000" w:sz="4"/>
            </w:tcBorders>
            <w:shd w:color="auto" w:fill="d9e2f3" w:val="clear"/>
            <w:tcMar>
              <w:left w:w="108" w:type="dxa"/>
              <w:right w:w="108" w:type="dxa"/>
            </w:tcMar>
            <w:vAlign w:val="top"/>
          </w:tcPr>
          <w:p>
            <w:pPr>
              <w:spacing w:before="40" w:after="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Ukupna investicija (KM)</w:t>
            </w:r>
          </w:p>
        </w:tc>
        <w:tc>
          <w:tcPr>
            <w:tcW w:w="74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72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442.246,87</w:t>
            </w:r>
          </w:p>
        </w:tc>
      </w:tr>
      <w:tr>
        <w:trPr>
          <w:trHeight w:val="227" w:hRule="auto"/>
          <w:jc w:val="left"/>
        </w:trPr>
        <w:tc>
          <w:tcPr>
            <w:tcW w:w="2093" w:type="dxa"/>
            <w:tcBorders>
              <w:top w:val="single" w:color="000000" w:sz="4"/>
              <w:left w:val="single" w:color="000000" w:sz="4"/>
              <w:bottom w:val="single" w:color="000000" w:sz="4"/>
              <w:right w:val="single" w:color="000000" w:sz="4"/>
            </w:tcBorders>
            <w:shd w:color="auto" w:fill="d9e2f3" w:val="clear"/>
            <w:tcMar>
              <w:left w:w="108" w:type="dxa"/>
              <w:right w:w="108" w:type="dxa"/>
            </w:tcMar>
            <w:vAlign w:val="top"/>
          </w:tcPr>
          <w:p>
            <w:pPr>
              <w:spacing w:before="40" w:after="0" w:line="240"/>
              <w:ind w:right="0" w:left="0" w:firstLine="0"/>
              <w:jc w:val="left"/>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Mogu</w:t>
            </w:r>
            <w:r>
              <w:rPr>
                <w:rFonts w:ascii="Calibri" w:hAnsi="Calibri" w:cs="Calibri" w:eastAsia="Calibri"/>
                <w:b/>
                <w:color w:val="auto"/>
                <w:spacing w:val="0"/>
                <w:position w:val="0"/>
                <w:sz w:val="18"/>
                <w:shd w:fill="auto" w:val="clear"/>
              </w:rPr>
              <w:t xml:space="preserve">ći izvor financijskih sredstava za realizaciju mjere</w:t>
            </w:r>
          </w:p>
        </w:tc>
        <w:tc>
          <w:tcPr>
            <w:tcW w:w="74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2721"/>
              </w:numPr>
              <w:spacing w:before="40" w:after="0" w:line="240"/>
              <w:ind w:right="0" w:left="482"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Budžet Op</w:t>
            </w:r>
            <w:r>
              <w:rPr>
                <w:rFonts w:ascii="Calibri" w:hAnsi="Calibri" w:cs="Calibri" w:eastAsia="Calibri"/>
                <w:color w:val="auto"/>
                <w:spacing w:val="0"/>
                <w:position w:val="0"/>
                <w:sz w:val="18"/>
                <w:shd w:fill="auto" w:val="clear"/>
              </w:rPr>
              <w:t xml:space="preserve">ćine Doboj Istok;</w:t>
            </w:r>
          </w:p>
          <w:p>
            <w:pPr>
              <w:numPr>
                <w:ilvl w:val="0"/>
                <w:numId w:val="2721"/>
              </w:numPr>
              <w:spacing w:before="0" w:after="0" w:line="240"/>
              <w:ind w:right="0" w:left="482"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Budžet Tuzlanskog kantona;</w:t>
            </w:r>
          </w:p>
          <w:p>
            <w:pPr>
              <w:numPr>
                <w:ilvl w:val="0"/>
                <w:numId w:val="2721"/>
              </w:numPr>
              <w:spacing w:before="0" w:after="0" w:line="240"/>
              <w:ind w:right="0" w:left="482"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Fond za zaštitu okoliša Federacije BiH;</w:t>
            </w:r>
          </w:p>
          <w:p>
            <w:pPr>
              <w:numPr>
                <w:ilvl w:val="0"/>
                <w:numId w:val="2721"/>
              </w:numPr>
              <w:spacing w:before="0" w:after="0" w:line="240"/>
              <w:ind w:right="0" w:left="482"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Me</w:t>
            </w:r>
            <w:r>
              <w:rPr>
                <w:rFonts w:ascii="Calibri" w:hAnsi="Calibri" w:cs="Calibri" w:eastAsia="Calibri"/>
                <w:color w:val="auto"/>
                <w:spacing w:val="0"/>
                <w:position w:val="0"/>
                <w:sz w:val="18"/>
                <w:shd w:fill="auto" w:val="clear"/>
              </w:rPr>
              <w:t xml:space="preserve">đunarodne razvojne organizacije (UNDP, EU, vlade i ambasade pojedinih zemalja, itd);</w:t>
            </w:r>
          </w:p>
          <w:p>
            <w:pPr>
              <w:numPr>
                <w:ilvl w:val="0"/>
                <w:numId w:val="2721"/>
              </w:numPr>
              <w:spacing w:before="0" w:after="40" w:line="240"/>
              <w:ind w:right="0" w:left="482" w:hanging="357"/>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Me</w:t>
            </w:r>
            <w:r>
              <w:rPr>
                <w:rFonts w:ascii="Calibri" w:hAnsi="Calibri" w:cs="Calibri" w:eastAsia="Calibri"/>
                <w:color w:val="auto"/>
                <w:spacing w:val="0"/>
                <w:position w:val="0"/>
                <w:sz w:val="18"/>
                <w:shd w:fill="auto" w:val="clear"/>
              </w:rPr>
              <w:t xml:space="preserve">đunarodne i domaće financijske institucije (EBRD, KfW, EIB, itd)</w:t>
            </w:r>
          </w:p>
        </w:tc>
      </w:tr>
      <w:tr>
        <w:trPr>
          <w:trHeight w:val="424" w:hRule="auto"/>
          <w:jc w:val="left"/>
        </w:trPr>
        <w:tc>
          <w:tcPr>
            <w:tcW w:w="2093" w:type="dxa"/>
            <w:tcBorders>
              <w:top w:val="single" w:color="000000" w:sz="4"/>
              <w:left w:val="single" w:color="000000" w:sz="4"/>
              <w:bottom w:val="single" w:color="000000" w:sz="4"/>
              <w:right w:val="single" w:color="000000" w:sz="4"/>
            </w:tcBorders>
            <w:shd w:color="auto" w:fill="d9e2f3" w:val="clear"/>
            <w:tcMar>
              <w:left w:w="108" w:type="dxa"/>
              <w:right w:w="108" w:type="dxa"/>
            </w:tcMar>
            <w:vAlign w:val="top"/>
          </w:tcPr>
          <w:p>
            <w:pPr>
              <w:spacing w:before="40" w:after="0" w:line="240"/>
              <w:ind w:right="0" w:left="0" w:firstLine="0"/>
              <w:jc w:val="left"/>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Kratki opis mjere /komentari</w:t>
            </w:r>
          </w:p>
        </w:tc>
        <w:tc>
          <w:tcPr>
            <w:tcW w:w="74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0" w:line="240"/>
              <w:ind w:right="0" w:left="0" w:firstLine="0"/>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Kontrolni inventar emisija iz 2020. godine je pokazao da je podsektor javnih zgrada koje nisu u nadležnosti Op</w:t>
            </w:r>
            <w:r>
              <w:rPr>
                <w:rFonts w:ascii="Calibri" w:hAnsi="Calibri" w:cs="Calibri" w:eastAsia="Calibri"/>
                <w:color w:val="auto"/>
                <w:spacing w:val="0"/>
                <w:position w:val="0"/>
                <w:sz w:val="18"/>
                <w:shd w:fill="auto" w:val="clear"/>
              </w:rPr>
              <w:t xml:space="preserve">ćine također jedan od uzročnika emisija CO</w:t>
            </w:r>
            <w:r>
              <w:rPr>
                <w:rFonts w:ascii="Calibri" w:hAnsi="Calibri" w:cs="Calibri" w:eastAsia="Calibri"/>
                <w:color w:val="auto"/>
                <w:spacing w:val="0"/>
                <w:position w:val="0"/>
                <w:sz w:val="18"/>
                <w:shd w:fill="auto" w:val="clear"/>
                <w:vertAlign w:val="subscript"/>
              </w:rPr>
              <w:t xml:space="preserve">2</w:t>
            </w:r>
            <w:r>
              <w:rPr>
                <w:rFonts w:ascii="Calibri" w:hAnsi="Calibri" w:cs="Calibri" w:eastAsia="Calibri"/>
                <w:color w:val="auto"/>
                <w:spacing w:val="0"/>
                <w:position w:val="0"/>
                <w:sz w:val="18"/>
                <w:shd w:fill="auto" w:val="clear"/>
              </w:rPr>
              <w:t xml:space="preserve">. Najveći broj tih zgrada, u kojima se za grijanje pretežno koriste mrki ugalj i lignit namijenjene su obrazovanju. S druge strane, smanjenje emisija CO</w:t>
            </w:r>
            <w:r>
              <w:rPr>
                <w:rFonts w:ascii="Calibri" w:hAnsi="Calibri" w:cs="Calibri" w:eastAsia="Calibri"/>
                <w:color w:val="auto"/>
                <w:spacing w:val="0"/>
                <w:position w:val="0"/>
                <w:sz w:val="18"/>
                <w:shd w:fill="auto" w:val="clear"/>
                <w:vertAlign w:val="subscript"/>
              </w:rPr>
              <w:t xml:space="preserve">2</w:t>
            </w:r>
            <w:r>
              <w:rPr>
                <w:rFonts w:ascii="Calibri" w:hAnsi="Calibri" w:cs="Calibri" w:eastAsia="Calibri"/>
                <w:color w:val="auto"/>
                <w:spacing w:val="0"/>
                <w:position w:val="0"/>
                <w:sz w:val="18"/>
                <w:shd w:fill="auto" w:val="clear"/>
              </w:rPr>
              <w:t xml:space="preserve"> i pripadajućih zagađujućih materija je jedno od opredeljenja Općine, uključeno u ciljeve ovog Plana. Istovremeno, energetskom obnovom ovih zgrada će se značajno poboljšati uslovi boravka i rada za korisnike javnih ustanova smještenih u tim zgradama (učenici, uposlenici).</w:t>
            </w:r>
          </w:p>
          <w:p>
            <w:pPr>
              <w:spacing w:before="40" w:after="0" w:line="240"/>
              <w:ind w:right="0" w:left="0" w:firstLine="0"/>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Ova mjera uklju</w:t>
            </w:r>
            <w:r>
              <w:rPr>
                <w:rFonts w:ascii="Calibri" w:hAnsi="Calibri" w:cs="Calibri" w:eastAsia="Calibri"/>
                <w:color w:val="auto"/>
                <w:spacing w:val="0"/>
                <w:position w:val="0"/>
                <w:sz w:val="18"/>
                <w:shd w:fill="auto" w:val="clear"/>
              </w:rPr>
              <w:t xml:space="preserve">čuje:</w:t>
            </w:r>
          </w:p>
          <w:p>
            <w:pPr>
              <w:numPr>
                <w:ilvl w:val="0"/>
                <w:numId w:val="2728"/>
              </w:numPr>
              <w:spacing w:before="0" w:after="0" w:line="240"/>
              <w:ind w:right="0" w:left="360" w:hanging="36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Energetsku obnovu vanjske ovojnice zgrade (postavljanje toplotne izolacije vanjskih zidova, krova, i/ili stropa, i/ili podova, i zamjenu postoje</w:t>
            </w:r>
            <w:r>
              <w:rPr>
                <w:rFonts w:ascii="Calibri" w:hAnsi="Calibri" w:cs="Calibri" w:eastAsia="Calibri"/>
                <w:color w:val="auto"/>
                <w:spacing w:val="0"/>
                <w:position w:val="0"/>
                <w:sz w:val="18"/>
                <w:shd w:fill="auto" w:val="clear"/>
              </w:rPr>
              <w:t xml:space="preserve">će vanjske stolarije (prozora i vrata) sa stolarijom visokih energetskih karakteristika); i</w:t>
            </w:r>
          </w:p>
          <w:p>
            <w:pPr>
              <w:numPr>
                <w:ilvl w:val="0"/>
                <w:numId w:val="2728"/>
              </w:numPr>
              <w:spacing w:before="0" w:after="0" w:line="240"/>
              <w:ind w:right="0" w:left="360" w:hanging="36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Zamjenu postoje</w:t>
            </w:r>
            <w:r>
              <w:rPr>
                <w:rFonts w:ascii="Calibri" w:hAnsi="Calibri" w:cs="Calibri" w:eastAsia="Calibri"/>
                <w:color w:val="auto"/>
                <w:spacing w:val="0"/>
                <w:position w:val="0"/>
                <w:sz w:val="18"/>
                <w:shd w:fill="auto" w:val="clear"/>
              </w:rPr>
              <w:t xml:space="preserve">ćih kotlova na fosilna goriva sa kotlovima visoke energetske efikasnosti na biomasu (pelet). </w:t>
            </w:r>
          </w:p>
          <w:p>
            <w:pPr>
              <w:spacing w:before="40" w:after="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Integralna energetska obnova obuhvata 4 školske zgrade. Za dvije zgrade predvi</w:t>
            </w:r>
            <w:r>
              <w:rPr>
                <w:rFonts w:ascii="Calibri" w:hAnsi="Calibri" w:cs="Calibri" w:eastAsia="Calibri"/>
                <w:color w:val="auto"/>
                <w:spacing w:val="0"/>
                <w:position w:val="0"/>
                <w:sz w:val="18"/>
                <w:shd w:fill="auto" w:val="clear"/>
              </w:rPr>
              <w:t xml:space="preserve">đeno je postavljanje termoizolacije na strop/krov i zamjena kotlova, što obuhvata ukupno 1.153 m</w:t>
            </w:r>
            <w:r>
              <w:rPr>
                <w:rFonts w:ascii="Calibri" w:hAnsi="Calibri" w:cs="Calibri" w:eastAsia="Calibri"/>
                <w:color w:val="auto"/>
                <w:spacing w:val="0"/>
                <w:position w:val="0"/>
                <w:sz w:val="18"/>
                <w:shd w:fill="auto" w:val="clear"/>
                <w:vertAlign w:val="superscript"/>
              </w:rPr>
              <w:t xml:space="preserve">2</w:t>
            </w:r>
            <w:r>
              <w:rPr>
                <w:rFonts w:ascii="Calibri" w:hAnsi="Calibri" w:cs="Calibri" w:eastAsia="Calibri"/>
                <w:color w:val="auto"/>
                <w:spacing w:val="0"/>
                <w:position w:val="0"/>
                <w:sz w:val="18"/>
                <w:shd w:fill="auto" w:val="clear"/>
              </w:rPr>
              <w:t xml:space="preserve"> stropa /krova i dva kotla na pelet. Za jednu zgradu predviđeno je postavljanje termoizolacije na fasadu (830 m</w:t>
            </w:r>
            <w:r>
              <w:rPr>
                <w:rFonts w:ascii="Calibri" w:hAnsi="Calibri" w:cs="Calibri" w:eastAsia="Calibri"/>
                <w:color w:val="auto"/>
                <w:spacing w:val="0"/>
                <w:position w:val="0"/>
                <w:sz w:val="18"/>
                <w:shd w:fill="auto" w:val="clear"/>
                <w:vertAlign w:val="superscript"/>
              </w:rPr>
              <w:t xml:space="preserve">2</w:t>
            </w:r>
            <w:r>
              <w:rPr>
                <w:rFonts w:ascii="Calibri" w:hAnsi="Calibri" w:cs="Calibri" w:eastAsia="Calibri"/>
                <w:color w:val="auto"/>
                <w:spacing w:val="0"/>
                <w:position w:val="0"/>
                <w:sz w:val="18"/>
                <w:shd w:fill="auto" w:val="clear"/>
              </w:rPr>
              <w:t xml:space="preserve">), postavljanje termoizolacije na strop/krov (566 m</w:t>
            </w:r>
            <w:r>
              <w:rPr>
                <w:rFonts w:ascii="Calibri" w:hAnsi="Calibri" w:cs="Calibri" w:eastAsia="Calibri"/>
                <w:color w:val="auto"/>
                <w:spacing w:val="0"/>
                <w:position w:val="0"/>
                <w:sz w:val="18"/>
                <w:shd w:fill="auto" w:val="clear"/>
                <w:vertAlign w:val="superscript"/>
              </w:rPr>
              <w:t xml:space="preserve">2</w:t>
            </w:r>
            <w:r>
              <w:rPr>
                <w:rFonts w:ascii="Calibri" w:hAnsi="Calibri" w:cs="Calibri" w:eastAsia="Calibri"/>
                <w:color w:val="auto"/>
                <w:spacing w:val="0"/>
                <w:position w:val="0"/>
                <w:sz w:val="18"/>
                <w:shd w:fill="auto" w:val="clear"/>
              </w:rPr>
              <w:t xml:space="preserve">), 634 m</w:t>
            </w:r>
            <w:r>
              <w:rPr>
                <w:rFonts w:ascii="Calibri" w:hAnsi="Calibri" w:cs="Calibri" w:eastAsia="Calibri"/>
                <w:color w:val="auto"/>
                <w:spacing w:val="0"/>
                <w:position w:val="0"/>
                <w:sz w:val="18"/>
                <w:shd w:fill="auto" w:val="clear"/>
                <w:vertAlign w:val="superscript"/>
              </w:rPr>
              <w:t xml:space="preserve">2</w:t>
            </w:r>
            <w:r>
              <w:rPr>
                <w:rFonts w:ascii="Calibri" w:hAnsi="Calibri" w:cs="Calibri" w:eastAsia="Calibri"/>
                <w:color w:val="auto"/>
                <w:spacing w:val="0"/>
                <w:position w:val="0"/>
                <w:sz w:val="18"/>
                <w:shd w:fill="auto" w:val="clear"/>
              </w:rPr>
              <w:t xml:space="preserve"> vanjske stolarije i jedan kotao na pelet, dok je za drugu zgradu predviđeno postavljanje termoizolacije na fasadu (415 m</w:t>
            </w:r>
            <w:r>
              <w:rPr>
                <w:rFonts w:ascii="Calibri" w:hAnsi="Calibri" w:cs="Calibri" w:eastAsia="Calibri"/>
                <w:color w:val="auto"/>
                <w:spacing w:val="0"/>
                <w:position w:val="0"/>
                <w:sz w:val="18"/>
                <w:shd w:fill="auto" w:val="clear"/>
                <w:vertAlign w:val="superscript"/>
              </w:rPr>
              <w:t xml:space="preserve">2</w:t>
            </w:r>
            <w:r>
              <w:rPr>
                <w:rFonts w:ascii="Calibri" w:hAnsi="Calibri" w:cs="Calibri" w:eastAsia="Calibri"/>
                <w:color w:val="auto"/>
                <w:spacing w:val="0"/>
                <w:position w:val="0"/>
                <w:sz w:val="18"/>
                <w:shd w:fill="auto" w:val="clear"/>
              </w:rPr>
              <w:t xml:space="preserve">), postavljanje termoizolacije na strop/krao (283 m</w:t>
            </w:r>
            <w:r>
              <w:rPr>
                <w:rFonts w:ascii="Calibri" w:hAnsi="Calibri" w:cs="Calibri" w:eastAsia="Calibri"/>
                <w:color w:val="auto"/>
                <w:spacing w:val="0"/>
                <w:position w:val="0"/>
                <w:sz w:val="18"/>
                <w:shd w:fill="auto" w:val="clear"/>
                <w:vertAlign w:val="superscript"/>
              </w:rPr>
              <w:t xml:space="preserve">2</w:t>
            </w:r>
            <w:r>
              <w:rPr>
                <w:rFonts w:ascii="Calibri" w:hAnsi="Calibri" w:cs="Calibri" w:eastAsia="Calibri"/>
                <w:color w:val="auto"/>
                <w:spacing w:val="0"/>
                <w:position w:val="0"/>
                <w:sz w:val="18"/>
                <w:shd w:fill="auto" w:val="clear"/>
              </w:rPr>
              <w:t xml:space="preserve">) i jedan kotao na pelet. Lista svih zgrada predloženih za ovu mjeru, sa njihovim glavnim građevinskim i energetskim karakteristikama, nalazi se u </w:t>
            </w:r>
            <w:r>
              <w:rPr>
                <w:rFonts w:ascii="Calibri" w:hAnsi="Calibri" w:cs="Calibri" w:eastAsia="Calibri"/>
                <w:i/>
                <w:color w:val="auto"/>
                <w:spacing w:val="0"/>
                <w:position w:val="0"/>
                <w:sz w:val="18"/>
                <w:shd w:fill="auto" w:val="clear"/>
              </w:rPr>
              <w:t xml:space="preserve">Prilogu</w:t>
            </w:r>
            <w:r>
              <w:rPr>
                <w:rFonts w:ascii="Calibri" w:hAnsi="Calibri" w:cs="Calibri" w:eastAsia="Calibri"/>
                <w:b/>
                <w:color w:val="auto"/>
                <w:spacing w:val="0"/>
                <w:position w:val="0"/>
                <w:sz w:val="18"/>
                <w:shd w:fill="auto" w:val="clear"/>
              </w:rPr>
              <w:t xml:space="preserve"> </w:t>
            </w:r>
            <w:r>
              <w:rPr>
                <w:rFonts w:ascii="Calibri" w:hAnsi="Calibri" w:cs="Calibri" w:eastAsia="Calibri"/>
                <w:i/>
                <w:color w:val="auto"/>
                <w:spacing w:val="0"/>
                <w:position w:val="0"/>
                <w:sz w:val="18"/>
                <w:shd w:fill="auto" w:val="clear"/>
              </w:rPr>
              <w:t xml:space="preserve">6 – Lista javnih zgrada koje nisu u vlasništvu Općine Doboj Istok sa predloženim mjerama.</w:t>
            </w:r>
          </w:p>
        </w:tc>
      </w:tr>
    </w:tbl>
    <w:p>
      <w:pPr>
        <w:spacing w:before="0" w:after="0" w:line="240"/>
        <w:ind w:right="0" w:left="0" w:firstLine="0"/>
        <w:jc w:val="both"/>
        <w:rPr>
          <w:rFonts w:ascii="Calibri" w:hAnsi="Calibri" w:cs="Calibri" w:eastAsia="Calibri"/>
          <w:color w:val="auto"/>
          <w:spacing w:val="0"/>
          <w:position w:val="0"/>
          <w:sz w:val="22"/>
          <w:shd w:fill="FFFF00" w:val="clear"/>
        </w:rPr>
      </w:pPr>
    </w:p>
    <w:p>
      <w:pPr>
        <w:keepNext w:val="true"/>
        <w:keepLines w:val="true"/>
        <w:numPr>
          <w:ilvl w:val="0"/>
          <w:numId w:val="2732"/>
        </w:numPr>
        <w:spacing w:before="240" w:after="120" w:line="240"/>
        <w:ind w:right="0" w:left="720" w:hanging="720"/>
        <w:jc w:val="both"/>
        <w:rPr>
          <w:rFonts w:ascii="Calibri" w:hAnsi="Calibri" w:cs="Calibri" w:eastAsia="Calibri"/>
          <w:color w:val="2E74B5"/>
          <w:spacing w:val="0"/>
          <w:position w:val="0"/>
          <w:sz w:val="22"/>
          <w:shd w:fill="auto" w:val="clear"/>
        </w:rPr>
      </w:pPr>
      <w:r>
        <w:rPr>
          <w:rFonts w:ascii="Calibri" w:hAnsi="Calibri" w:cs="Calibri" w:eastAsia="Calibri"/>
          <w:b/>
          <w:color w:val="auto"/>
          <w:spacing w:val="0"/>
          <w:position w:val="0"/>
          <w:sz w:val="24"/>
          <w:shd w:fill="auto" w:val="clear"/>
        </w:rPr>
        <w:t xml:space="preserve">Mjere za smanjenje emisija CO</w:t>
      </w:r>
      <w:r>
        <w:rPr>
          <w:rFonts w:ascii="Calibri" w:hAnsi="Calibri" w:cs="Calibri" w:eastAsia="Calibri"/>
          <w:b/>
          <w:color w:val="auto"/>
          <w:spacing w:val="0"/>
          <w:position w:val="0"/>
          <w:sz w:val="24"/>
          <w:shd w:fill="auto" w:val="clear"/>
          <w:vertAlign w:val="subscript"/>
        </w:rPr>
        <w:t xml:space="preserve">2</w:t>
      </w:r>
      <w:r>
        <w:rPr>
          <w:rFonts w:ascii="Calibri" w:hAnsi="Calibri" w:cs="Calibri" w:eastAsia="Calibri"/>
          <w:b/>
          <w:color w:val="auto"/>
          <w:spacing w:val="0"/>
          <w:position w:val="0"/>
          <w:sz w:val="24"/>
          <w:shd w:fill="auto" w:val="clear"/>
        </w:rPr>
        <w:t xml:space="preserve"> iz sektora saobra</w:t>
      </w:r>
      <w:r>
        <w:rPr>
          <w:rFonts w:ascii="Calibri" w:hAnsi="Calibri" w:cs="Calibri" w:eastAsia="Calibri"/>
          <w:b/>
          <w:color w:val="auto"/>
          <w:spacing w:val="0"/>
          <w:position w:val="0"/>
          <w:sz w:val="24"/>
          <w:shd w:fill="auto" w:val="clear"/>
        </w:rPr>
        <w:t xml:space="preserve">ćaja</w:t>
      </w:r>
    </w:p>
    <w:tbl>
      <w:tblPr/>
      <w:tblGrid>
        <w:gridCol w:w="2093"/>
        <w:gridCol w:w="7400"/>
      </w:tblGrid>
      <w:tr>
        <w:trPr>
          <w:trHeight w:val="227" w:hRule="auto"/>
          <w:jc w:val="left"/>
        </w:trPr>
        <w:tc>
          <w:tcPr>
            <w:tcW w:w="2093" w:type="dxa"/>
            <w:tcBorders>
              <w:top w:val="single" w:color="000000" w:sz="4"/>
              <w:left w:val="single" w:color="000000" w:sz="4"/>
              <w:bottom w:val="single" w:color="000000" w:sz="4"/>
              <w:right w:val="single" w:color="000000" w:sz="4"/>
            </w:tcBorders>
            <w:shd w:color="auto" w:fill="b4c6e7"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Redni broj mjere</w:t>
            </w:r>
          </w:p>
        </w:tc>
        <w:tc>
          <w:tcPr>
            <w:tcW w:w="7400" w:type="dxa"/>
            <w:tcBorders>
              <w:top w:val="single" w:color="000000" w:sz="4"/>
              <w:left w:val="single" w:color="000000" w:sz="4"/>
              <w:bottom w:val="single" w:color="000000" w:sz="4"/>
              <w:right w:val="single" w:color="000000" w:sz="4"/>
            </w:tcBorders>
            <w:shd w:color="auto" w:fill="b4c6e7" w:val="clear"/>
            <w:tcMar>
              <w:left w:w="108" w:type="dxa"/>
              <w:right w:w="108" w:type="dxa"/>
            </w:tcMar>
            <w:vAlign w:val="top"/>
          </w:tcPr>
          <w:p>
            <w:pPr>
              <w:spacing w:before="40" w:after="40" w:line="240"/>
              <w:ind w:right="0" w:left="0" w:firstLine="0"/>
              <w:jc w:val="center"/>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SG-1</w:t>
            </w:r>
          </w:p>
        </w:tc>
      </w:tr>
      <w:tr>
        <w:trPr>
          <w:trHeight w:val="227" w:hRule="auto"/>
          <w:jc w:val="left"/>
        </w:trPr>
        <w:tc>
          <w:tcPr>
            <w:tcW w:w="2093" w:type="dxa"/>
            <w:tcBorders>
              <w:top w:val="single" w:color="000000" w:sz="4"/>
              <w:left w:val="single" w:color="000000" w:sz="4"/>
              <w:bottom w:val="single" w:color="000000" w:sz="4"/>
              <w:right w:val="single" w:color="000000" w:sz="4"/>
            </w:tcBorders>
            <w:shd w:color="auto" w:fill="b4c6e7"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 </w:t>
            </w:r>
          </w:p>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Naziv mjere</w:t>
            </w:r>
          </w:p>
        </w:tc>
        <w:tc>
          <w:tcPr>
            <w:tcW w:w="7400" w:type="dxa"/>
            <w:tcBorders>
              <w:top w:val="single" w:color="000000" w:sz="4"/>
              <w:left w:val="single" w:color="000000" w:sz="4"/>
              <w:bottom w:val="single" w:color="000000" w:sz="4"/>
              <w:right w:val="single" w:color="000000" w:sz="4"/>
            </w:tcBorders>
            <w:shd w:color="auto" w:fill="b4c6e7" w:val="clear"/>
            <w:tcMar>
              <w:left w:w="108" w:type="dxa"/>
              <w:right w:w="108" w:type="dxa"/>
            </w:tcMar>
            <w:vAlign w:val="top"/>
          </w:tcPr>
          <w:p>
            <w:pPr>
              <w:spacing w:before="40" w:after="40" w:line="240"/>
              <w:ind w:right="0" w:left="0" w:firstLine="0"/>
              <w:jc w:val="center"/>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Nabavka elektri</w:t>
            </w:r>
            <w:r>
              <w:rPr>
                <w:rFonts w:ascii="Calibri" w:hAnsi="Calibri" w:cs="Calibri" w:eastAsia="Calibri"/>
                <w:b/>
                <w:color w:val="auto"/>
                <w:spacing w:val="0"/>
                <w:position w:val="0"/>
                <w:sz w:val="18"/>
                <w:shd w:fill="auto" w:val="clear"/>
              </w:rPr>
              <w:t xml:space="preserve">čnih vozila u vlasništvu Općine Doboj Istok sa smanjenom emisijom stakleničkih gasova</w:t>
            </w:r>
          </w:p>
        </w:tc>
      </w:tr>
      <w:tr>
        <w:trPr>
          <w:trHeight w:val="227" w:hRule="auto"/>
          <w:jc w:val="left"/>
        </w:trPr>
        <w:tc>
          <w:tcPr>
            <w:tcW w:w="2093" w:type="dxa"/>
            <w:tcBorders>
              <w:top w:val="single" w:color="000000" w:sz="4"/>
              <w:left w:val="single" w:color="000000" w:sz="4"/>
              <w:bottom w:val="single" w:color="000000" w:sz="4"/>
              <w:right w:val="single" w:color="000000" w:sz="4"/>
            </w:tcBorders>
            <w:shd w:color="auto" w:fill="d9e2f3"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Nosilac realizacije mjere</w:t>
            </w:r>
          </w:p>
        </w:tc>
        <w:tc>
          <w:tcPr>
            <w:tcW w:w="74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Op</w:t>
            </w:r>
            <w:r>
              <w:rPr>
                <w:rFonts w:ascii="Calibri" w:hAnsi="Calibri" w:cs="Calibri" w:eastAsia="Calibri"/>
                <w:color w:val="auto"/>
                <w:spacing w:val="0"/>
                <w:position w:val="0"/>
                <w:sz w:val="18"/>
                <w:shd w:fill="auto" w:val="clear"/>
              </w:rPr>
              <w:t xml:space="preserve">ćina Doboj Istok</w:t>
            </w:r>
          </w:p>
        </w:tc>
      </w:tr>
      <w:tr>
        <w:trPr>
          <w:trHeight w:val="227" w:hRule="auto"/>
          <w:jc w:val="left"/>
        </w:trPr>
        <w:tc>
          <w:tcPr>
            <w:tcW w:w="2093" w:type="dxa"/>
            <w:tcBorders>
              <w:top w:val="single" w:color="000000" w:sz="4"/>
              <w:left w:val="single" w:color="000000" w:sz="4"/>
              <w:bottom w:val="single" w:color="000000" w:sz="4"/>
              <w:right w:val="single" w:color="000000" w:sz="4"/>
            </w:tcBorders>
            <w:shd w:color="auto" w:fill="d9e2f3" w:val="clear"/>
            <w:tcMar>
              <w:left w:w="108" w:type="dxa"/>
              <w:right w:w="108" w:type="dxa"/>
            </w:tcMar>
            <w:vAlign w:val="top"/>
          </w:tcPr>
          <w:p>
            <w:pPr>
              <w:spacing w:before="40" w:after="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Partneri u realizaciji</w:t>
            </w:r>
          </w:p>
        </w:tc>
        <w:tc>
          <w:tcPr>
            <w:tcW w:w="74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2746"/>
              </w:numPr>
              <w:spacing w:before="40" w:after="0" w:line="240"/>
              <w:ind w:right="0" w:left="499"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Relevantne službe Op</w:t>
            </w:r>
            <w:r>
              <w:rPr>
                <w:rFonts w:ascii="Calibri" w:hAnsi="Calibri" w:cs="Calibri" w:eastAsia="Calibri"/>
                <w:color w:val="auto"/>
                <w:spacing w:val="0"/>
                <w:position w:val="0"/>
                <w:sz w:val="18"/>
                <w:shd w:fill="auto" w:val="clear"/>
              </w:rPr>
              <w:t xml:space="preserve">ćine Doboj Istok;</w:t>
            </w:r>
          </w:p>
          <w:p>
            <w:pPr>
              <w:numPr>
                <w:ilvl w:val="0"/>
                <w:numId w:val="2746"/>
              </w:numPr>
              <w:spacing w:before="0" w:after="40" w:line="240"/>
              <w:ind w:right="0" w:left="499" w:hanging="357"/>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Javna komunalna preduze</w:t>
            </w:r>
            <w:r>
              <w:rPr>
                <w:rFonts w:ascii="Calibri" w:hAnsi="Calibri" w:cs="Calibri" w:eastAsia="Calibri"/>
                <w:color w:val="auto"/>
                <w:spacing w:val="0"/>
                <w:position w:val="0"/>
                <w:sz w:val="18"/>
                <w:shd w:fill="auto" w:val="clear"/>
              </w:rPr>
              <w:t xml:space="preserve">ća i ustanove čiji osnivač je Općina Doboj Istok</w:t>
            </w:r>
          </w:p>
        </w:tc>
      </w:tr>
      <w:tr>
        <w:trPr>
          <w:trHeight w:val="227" w:hRule="auto"/>
          <w:jc w:val="left"/>
        </w:trPr>
        <w:tc>
          <w:tcPr>
            <w:tcW w:w="2093" w:type="dxa"/>
            <w:tcBorders>
              <w:top w:val="single" w:color="000000" w:sz="4"/>
              <w:left w:val="single" w:color="000000" w:sz="4"/>
              <w:bottom w:val="single" w:color="000000" w:sz="4"/>
              <w:right w:val="single" w:color="000000" w:sz="4"/>
            </w:tcBorders>
            <w:shd w:color="auto" w:fill="d9e2f3" w:val="clear"/>
            <w:tcMar>
              <w:left w:w="108" w:type="dxa"/>
              <w:right w:w="108" w:type="dxa"/>
            </w:tcMar>
            <w:vAlign w:val="top"/>
          </w:tcPr>
          <w:p>
            <w:pPr>
              <w:spacing w:before="40" w:after="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Period realizacije</w:t>
            </w:r>
          </w:p>
        </w:tc>
        <w:tc>
          <w:tcPr>
            <w:tcW w:w="74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72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2021–2030.</w:t>
            </w:r>
          </w:p>
        </w:tc>
      </w:tr>
      <w:tr>
        <w:trPr>
          <w:trHeight w:val="227" w:hRule="auto"/>
          <w:jc w:val="left"/>
        </w:trPr>
        <w:tc>
          <w:tcPr>
            <w:tcW w:w="2093" w:type="dxa"/>
            <w:tcBorders>
              <w:top w:val="single" w:color="000000" w:sz="4"/>
              <w:left w:val="single" w:color="000000" w:sz="4"/>
              <w:bottom w:val="single" w:color="000000" w:sz="4"/>
              <w:right w:val="single" w:color="000000" w:sz="4"/>
            </w:tcBorders>
            <w:shd w:color="auto" w:fill="d9e2f3" w:val="clear"/>
            <w:tcMar>
              <w:left w:w="108" w:type="dxa"/>
              <w:right w:w="108" w:type="dxa"/>
            </w:tcMar>
            <w:vAlign w:val="top"/>
          </w:tcPr>
          <w:p>
            <w:pPr>
              <w:spacing w:before="40" w:after="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Ušteda (MWh)</w:t>
            </w:r>
          </w:p>
        </w:tc>
        <w:tc>
          <w:tcPr>
            <w:tcW w:w="74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72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19,94</w:t>
            </w:r>
          </w:p>
        </w:tc>
      </w:tr>
      <w:tr>
        <w:trPr>
          <w:trHeight w:val="213" w:hRule="auto"/>
          <w:jc w:val="left"/>
        </w:trPr>
        <w:tc>
          <w:tcPr>
            <w:tcW w:w="2093" w:type="dxa"/>
            <w:tcBorders>
              <w:top w:val="single" w:color="000000" w:sz="4"/>
              <w:left w:val="single" w:color="000000" w:sz="4"/>
              <w:bottom w:val="single" w:color="000000" w:sz="4"/>
              <w:right w:val="single" w:color="000000" w:sz="4"/>
            </w:tcBorders>
            <w:shd w:color="auto" w:fill="d9e2f3" w:val="clear"/>
            <w:tcMar>
              <w:left w:w="108" w:type="dxa"/>
              <w:right w:w="108" w:type="dxa"/>
            </w:tcMar>
            <w:vAlign w:val="top"/>
          </w:tcPr>
          <w:p>
            <w:pPr>
              <w:spacing w:before="40" w:after="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Smanjenja emisije (tCO</w:t>
            </w:r>
            <w:r>
              <w:rPr>
                <w:rFonts w:ascii="Calibri" w:hAnsi="Calibri" w:cs="Calibri" w:eastAsia="Calibri"/>
                <w:b/>
                <w:color w:val="auto"/>
                <w:spacing w:val="0"/>
                <w:position w:val="0"/>
                <w:sz w:val="18"/>
                <w:shd w:fill="auto" w:val="clear"/>
                <w:vertAlign w:val="subscript"/>
              </w:rPr>
              <w:t xml:space="preserve">2</w:t>
            </w:r>
            <w:r>
              <w:rPr>
                <w:rFonts w:ascii="Calibri" w:hAnsi="Calibri" w:cs="Calibri" w:eastAsia="Calibri"/>
                <w:b/>
                <w:color w:val="auto"/>
                <w:spacing w:val="0"/>
                <w:position w:val="0"/>
                <w:sz w:val="18"/>
                <w:shd w:fill="auto" w:val="clear"/>
              </w:rPr>
              <w:t xml:space="preserve">)</w:t>
            </w:r>
          </w:p>
        </w:tc>
        <w:tc>
          <w:tcPr>
            <w:tcW w:w="74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72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4,89</w:t>
            </w:r>
          </w:p>
        </w:tc>
      </w:tr>
      <w:tr>
        <w:trPr>
          <w:trHeight w:val="212" w:hRule="auto"/>
          <w:jc w:val="left"/>
        </w:trPr>
        <w:tc>
          <w:tcPr>
            <w:tcW w:w="2093" w:type="dxa"/>
            <w:tcBorders>
              <w:top w:val="single" w:color="000000" w:sz="4"/>
              <w:left w:val="single" w:color="000000" w:sz="4"/>
              <w:bottom w:val="single" w:color="000000" w:sz="4"/>
              <w:right w:val="single" w:color="000000" w:sz="4"/>
            </w:tcBorders>
            <w:shd w:color="auto" w:fill="d9e2f3" w:val="clear"/>
            <w:tcMar>
              <w:left w:w="108" w:type="dxa"/>
              <w:right w:w="108" w:type="dxa"/>
            </w:tcMar>
            <w:vAlign w:val="top"/>
          </w:tcPr>
          <w:p>
            <w:pPr>
              <w:spacing w:before="40" w:after="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Ukupna investicija (KM)</w:t>
            </w:r>
          </w:p>
        </w:tc>
        <w:tc>
          <w:tcPr>
            <w:tcW w:w="74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72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180.000</w:t>
            </w:r>
          </w:p>
        </w:tc>
      </w:tr>
      <w:tr>
        <w:trPr>
          <w:trHeight w:val="227" w:hRule="auto"/>
          <w:jc w:val="left"/>
        </w:trPr>
        <w:tc>
          <w:tcPr>
            <w:tcW w:w="2093" w:type="dxa"/>
            <w:tcBorders>
              <w:top w:val="single" w:color="000000" w:sz="4"/>
              <w:left w:val="single" w:color="000000" w:sz="4"/>
              <w:bottom w:val="single" w:color="000000" w:sz="4"/>
              <w:right w:val="single" w:color="000000" w:sz="4"/>
            </w:tcBorders>
            <w:shd w:color="auto" w:fill="d9e2f3" w:val="clear"/>
            <w:tcMar>
              <w:left w:w="108" w:type="dxa"/>
              <w:right w:w="108" w:type="dxa"/>
            </w:tcMar>
            <w:vAlign w:val="top"/>
          </w:tcPr>
          <w:p>
            <w:pPr>
              <w:spacing w:before="40" w:after="40" w:line="240"/>
              <w:ind w:right="0" w:left="0" w:firstLine="0"/>
              <w:jc w:val="left"/>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Mogu</w:t>
            </w:r>
            <w:r>
              <w:rPr>
                <w:rFonts w:ascii="Calibri" w:hAnsi="Calibri" w:cs="Calibri" w:eastAsia="Calibri"/>
                <w:b/>
                <w:color w:val="auto"/>
                <w:spacing w:val="0"/>
                <w:position w:val="0"/>
                <w:sz w:val="18"/>
                <w:shd w:fill="auto" w:val="clear"/>
              </w:rPr>
              <w:t xml:space="preserve">ći izvor financijskih sredstava</w:t>
            </w:r>
          </w:p>
        </w:tc>
        <w:tc>
          <w:tcPr>
            <w:tcW w:w="74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2765"/>
              </w:numPr>
              <w:spacing w:before="40" w:after="0" w:line="240"/>
              <w:ind w:right="0" w:left="499"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Budžet Op</w:t>
            </w:r>
            <w:r>
              <w:rPr>
                <w:rFonts w:ascii="Calibri" w:hAnsi="Calibri" w:cs="Calibri" w:eastAsia="Calibri"/>
                <w:color w:val="auto"/>
                <w:spacing w:val="0"/>
                <w:position w:val="0"/>
                <w:sz w:val="18"/>
                <w:shd w:fill="auto" w:val="clear"/>
              </w:rPr>
              <w:t xml:space="preserve">ćine Doboj Istok;</w:t>
            </w:r>
          </w:p>
          <w:p>
            <w:pPr>
              <w:numPr>
                <w:ilvl w:val="0"/>
                <w:numId w:val="2765"/>
              </w:numPr>
              <w:spacing w:before="0" w:after="40" w:line="240"/>
              <w:ind w:right="0" w:left="499" w:hanging="357"/>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Vlastita sredstva javnih komunalnih preduze</w:t>
            </w:r>
            <w:r>
              <w:rPr>
                <w:rFonts w:ascii="Calibri" w:hAnsi="Calibri" w:cs="Calibri" w:eastAsia="Calibri"/>
                <w:color w:val="auto"/>
                <w:spacing w:val="0"/>
                <w:position w:val="0"/>
                <w:sz w:val="18"/>
                <w:shd w:fill="auto" w:val="clear"/>
              </w:rPr>
              <w:t xml:space="preserve">ća i ustanova uključenih u mjeru</w:t>
            </w:r>
          </w:p>
        </w:tc>
      </w:tr>
      <w:tr>
        <w:trPr>
          <w:trHeight w:val="227" w:hRule="auto"/>
          <w:jc w:val="left"/>
        </w:trPr>
        <w:tc>
          <w:tcPr>
            <w:tcW w:w="2093" w:type="dxa"/>
            <w:tcBorders>
              <w:top w:val="single" w:color="000000" w:sz="4"/>
              <w:left w:val="single" w:color="000000" w:sz="4"/>
              <w:bottom w:val="single" w:color="000000" w:sz="4"/>
              <w:right w:val="single" w:color="000000" w:sz="4"/>
            </w:tcBorders>
            <w:shd w:color="auto" w:fill="d9e2f3" w:val="clear"/>
            <w:tcMar>
              <w:left w:w="108" w:type="dxa"/>
              <w:right w:w="108" w:type="dxa"/>
            </w:tcMar>
            <w:vAlign w:val="top"/>
          </w:tcPr>
          <w:p>
            <w:pPr>
              <w:spacing w:before="40" w:after="0" w:line="240"/>
              <w:ind w:right="0" w:left="0" w:firstLine="0"/>
              <w:jc w:val="left"/>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Kratki opis mjere /komentari</w:t>
            </w:r>
          </w:p>
        </w:tc>
        <w:tc>
          <w:tcPr>
            <w:tcW w:w="74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Prvi korak u provo</w:t>
            </w:r>
            <w:r>
              <w:rPr>
                <w:rFonts w:ascii="Calibri" w:hAnsi="Calibri" w:cs="Calibri" w:eastAsia="Calibri"/>
                <w:color w:val="auto"/>
                <w:spacing w:val="0"/>
                <w:position w:val="0"/>
                <w:sz w:val="18"/>
                <w:shd w:fill="auto" w:val="clear"/>
              </w:rPr>
              <w:t xml:space="preserve">đenju ove mjere je donošenje odluke kojom će se regulirati nabavka novih vozila, kako bi sva nova vozila koja će nabavljati Općina imala smanjenu emisiju CO</w:t>
            </w:r>
            <w:r>
              <w:rPr>
                <w:rFonts w:ascii="Calibri" w:hAnsi="Calibri" w:cs="Calibri" w:eastAsia="Calibri"/>
                <w:color w:val="auto"/>
                <w:spacing w:val="0"/>
                <w:position w:val="0"/>
                <w:sz w:val="18"/>
                <w:shd w:fill="auto" w:val="clear"/>
                <w:vertAlign w:val="subscript"/>
              </w:rPr>
              <w:t xml:space="preserve">2</w:t>
            </w:r>
            <w:r>
              <w:rPr>
                <w:rFonts w:ascii="Calibri" w:hAnsi="Calibri" w:cs="Calibri" w:eastAsia="Calibri"/>
                <w:color w:val="auto"/>
                <w:spacing w:val="0"/>
                <w:position w:val="0"/>
                <w:sz w:val="18"/>
                <w:shd w:fill="auto" w:val="clear"/>
              </w:rPr>
              <w:t xml:space="preserve">. Planirane uštede energije i smanjenje emisija CO</w:t>
            </w:r>
            <w:r>
              <w:rPr>
                <w:rFonts w:ascii="Calibri" w:hAnsi="Calibri" w:cs="Calibri" w:eastAsia="Calibri"/>
                <w:color w:val="auto"/>
                <w:spacing w:val="0"/>
                <w:position w:val="0"/>
                <w:sz w:val="18"/>
                <w:shd w:fill="auto" w:val="clear"/>
                <w:vertAlign w:val="subscript"/>
              </w:rPr>
              <w:t xml:space="preserve">2</w:t>
            </w:r>
            <w:r>
              <w:rPr>
                <w:rFonts w:ascii="Calibri" w:hAnsi="Calibri" w:cs="Calibri" w:eastAsia="Calibri"/>
                <w:color w:val="auto"/>
                <w:spacing w:val="0"/>
                <w:position w:val="0"/>
                <w:sz w:val="18"/>
                <w:shd w:fill="auto" w:val="clear"/>
              </w:rPr>
              <w:t xml:space="preserve">, te vrijednost ukupne investicije, baziraju se na pretpostavci da će se do 2030. godine 10% vozila koja su u vlasništvu Općine Doboj Istok zamijeniti novim vozilima sa smanjenom emisijom stakleničkih gasova. Cilj ove mjere je promocija elektičnih vozila i predstavljanje primjera dobre prakse.</w:t>
            </w:r>
          </w:p>
        </w:tc>
      </w:tr>
    </w:tbl>
    <w:p>
      <w:pPr>
        <w:keepNext w:val="true"/>
        <w:keepLines w:val="true"/>
        <w:numPr>
          <w:ilvl w:val="0"/>
          <w:numId w:val="2771"/>
        </w:numPr>
        <w:spacing w:before="240" w:after="120" w:line="240"/>
        <w:ind w:right="0" w:left="720" w:hanging="72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Mjere za smanjenje emisija CO</w:t>
      </w:r>
      <w:r>
        <w:rPr>
          <w:rFonts w:ascii="Calibri" w:hAnsi="Calibri" w:cs="Calibri" w:eastAsia="Calibri"/>
          <w:b/>
          <w:color w:val="auto"/>
          <w:spacing w:val="0"/>
          <w:position w:val="0"/>
          <w:sz w:val="24"/>
          <w:shd w:fill="auto" w:val="clear"/>
          <w:vertAlign w:val="subscript"/>
        </w:rPr>
        <w:t xml:space="preserve">2</w:t>
      </w:r>
      <w:r>
        <w:rPr>
          <w:rFonts w:ascii="Calibri" w:hAnsi="Calibri" w:cs="Calibri" w:eastAsia="Calibri"/>
          <w:b/>
          <w:color w:val="auto"/>
          <w:spacing w:val="0"/>
          <w:position w:val="0"/>
          <w:sz w:val="24"/>
          <w:shd w:fill="auto" w:val="clear"/>
        </w:rPr>
        <w:t xml:space="preserve"> iz sektora javne rasvjete</w:t>
      </w:r>
    </w:p>
    <w:tbl>
      <w:tblPr/>
      <w:tblGrid>
        <w:gridCol w:w="2093"/>
        <w:gridCol w:w="7371"/>
      </w:tblGrid>
      <w:tr>
        <w:trPr>
          <w:trHeight w:val="227" w:hRule="auto"/>
          <w:jc w:val="left"/>
        </w:trPr>
        <w:tc>
          <w:tcPr>
            <w:tcW w:w="2093" w:type="dxa"/>
            <w:tcBorders>
              <w:top w:val="single" w:color="000000" w:sz="4"/>
              <w:left w:val="single" w:color="000000" w:sz="4"/>
              <w:bottom w:val="single" w:color="000000" w:sz="4"/>
              <w:right w:val="single" w:color="000000" w:sz="4"/>
            </w:tcBorders>
            <w:shd w:color="auto" w:fill="b4c6e7" w:val="clear"/>
            <w:tcMar>
              <w:left w:w="108" w:type="dxa"/>
              <w:right w:w="108" w:type="dxa"/>
            </w:tcMar>
            <w:vAlign w:val="center"/>
          </w:tcPr>
          <w:p>
            <w:pPr>
              <w:spacing w:before="40" w:after="40" w:line="240"/>
              <w:ind w:right="0" w:left="0" w:firstLine="0"/>
              <w:jc w:val="left"/>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Redni broj mjere</w:t>
            </w:r>
          </w:p>
        </w:tc>
        <w:tc>
          <w:tcPr>
            <w:tcW w:w="7371" w:type="dxa"/>
            <w:tcBorders>
              <w:top w:val="single" w:color="000000" w:sz="4"/>
              <w:left w:val="single" w:color="000000" w:sz="4"/>
              <w:bottom w:val="single" w:color="000000" w:sz="4"/>
              <w:right w:val="single" w:color="000000" w:sz="4"/>
            </w:tcBorders>
            <w:shd w:color="auto" w:fill="b4c6e7" w:val="clear"/>
            <w:tcMar>
              <w:left w:w="108" w:type="dxa"/>
              <w:right w:w="108" w:type="dxa"/>
            </w:tcMar>
            <w:vAlign w:val="center"/>
          </w:tcPr>
          <w:p>
            <w:pPr>
              <w:spacing w:before="40" w:after="40" w:line="240"/>
              <w:ind w:right="0" w:left="0" w:firstLine="0"/>
              <w:jc w:val="center"/>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JR-1</w:t>
            </w:r>
          </w:p>
        </w:tc>
      </w:tr>
      <w:tr>
        <w:trPr>
          <w:trHeight w:val="227" w:hRule="auto"/>
          <w:jc w:val="left"/>
        </w:trPr>
        <w:tc>
          <w:tcPr>
            <w:tcW w:w="2093" w:type="dxa"/>
            <w:tcBorders>
              <w:top w:val="single" w:color="000000" w:sz="4"/>
              <w:left w:val="single" w:color="000000" w:sz="4"/>
              <w:bottom w:val="single" w:color="000000" w:sz="4"/>
              <w:right w:val="single" w:color="000000" w:sz="4"/>
            </w:tcBorders>
            <w:shd w:color="auto" w:fill="b4c6e7" w:val="clear"/>
            <w:tcMar>
              <w:left w:w="108" w:type="dxa"/>
              <w:right w:w="108" w:type="dxa"/>
            </w:tcMar>
            <w:vAlign w:val="center"/>
          </w:tcPr>
          <w:p>
            <w:pPr>
              <w:spacing w:before="0" w:after="200" w:line="276"/>
              <w:ind w:right="0" w:left="0" w:firstLine="0"/>
              <w:jc w:val="center"/>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 </w:t>
            </w:r>
          </w:p>
          <w:p>
            <w:pPr>
              <w:spacing w:before="40" w:after="40" w:line="240"/>
              <w:ind w:right="0" w:left="0" w:firstLine="0"/>
              <w:jc w:val="left"/>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Naziv mjere</w:t>
            </w:r>
          </w:p>
        </w:tc>
        <w:tc>
          <w:tcPr>
            <w:tcW w:w="7371" w:type="dxa"/>
            <w:tcBorders>
              <w:top w:val="single" w:color="000000" w:sz="4"/>
              <w:left w:val="single" w:color="000000" w:sz="4"/>
              <w:bottom w:val="single" w:color="000000" w:sz="4"/>
              <w:right w:val="single" w:color="000000" w:sz="4"/>
            </w:tcBorders>
            <w:shd w:color="auto" w:fill="b4c6e7" w:val="clear"/>
            <w:tcMar>
              <w:left w:w="108" w:type="dxa"/>
              <w:right w:w="108" w:type="dxa"/>
            </w:tcMar>
            <w:vAlign w:val="center"/>
          </w:tcPr>
          <w:p>
            <w:pPr>
              <w:spacing w:before="40" w:after="40" w:line="240"/>
              <w:ind w:right="0" w:left="0" w:firstLine="0"/>
              <w:jc w:val="center"/>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Zamjena energetski neefikasnih rasvjetnih tijela visokoefikasnim i okolišno prihvatljivijim rasvjetnim tijelima</w:t>
            </w:r>
          </w:p>
        </w:tc>
      </w:tr>
      <w:tr>
        <w:trPr>
          <w:trHeight w:val="227" w:hRule="auto"/>
          <w:jc w:val="left"/>
        </w:trPr>
        <w:tc>
          <w:tcPr>
            <w:tcW w:w="2093" w:type="dxa"/>
            <w:tcBorders>
              <w:top w:val="single" w:color="000000" w:sz="4"/>
              <w:left w:val="single" w:color="000000" w:sz="4"/>
              <w:bottom w:val="single" w:color="000000" w:sz="4"/>
              <w:right w:val="single" w:color="000000" w:sz="4"/>
            </w:tcBorders>
            <w:shd w:color="auto" w:fill="d9e2f3" w:val="clear"/>
            <w:tcMar>
              <w:left w:w="108" w:type="dxa"/>
              <w:right w:w="108" w:type="dxa"/>
            </w:tcMar>
            <w:vAlign w:val="top"/>
          </w:tcPr>
          <w:p>
            <w:pPr>
              <w:spacing w:before="40" w:after="40" w:line="240"/>
              <w:ind w:right="0" w:left="0" w:firstLine="0"/>
              <w:jc w:val="left"/>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Nosilac realizacije mjere</w:t>
            </w:r>
          </w:p>
        </w:tc>
        <w:tc>
          <w:tcPr>
            <w:tcW w:w="73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Služba za finansije i poduzetništvo Op</w:t>
            </w:r>
            <w:r>
              <w:rPr>
                <w:rFonts w:ascii="Calibri" w:hAnsi="Calibri" w:cs="Calibri" w:eastAsia="Calibri"/>
                <w:color w:val="auto"/>
                <w:spacing w:val="0"/>
                <w:position w:val="0"/>
                <w:sz w:val="18"/>
                <w:shd w:fill="auto" w:val="clear"/>
              </w:rPr>
              <w:t xml:space="preserve">ćine Doboj Istok</w:t>
            </w:r>
          </w:p>
        </w:tc>
      </w:tr>
      <w:tr>
        <w:trPr>
          <w:trHeight w:val="569" w:hRule="auto"/>
          <w:jc w:val="left"/>
        </w:trPr>
        <w:tc>
          <w:tcPr>
            <w:tcW w:w="2093" w:type="dxa"/>
            <w:tcBorders>
              <w:top w:val="single" w:color="000000" w:sz="4"/>
              <w:left w:val="single" w:color="000000" w:sz="4"/>
              <w:bottom w:val="single" w:color="000000" w:sz="4"/>
              <w:right w:val="single" w:color="000000" w:sz="4"/>
            </w:tcBorders>
            <w:shd w:color="auto" w:fill="d9e2f3" w:val="clear"/>
            <w:tcMar>
              <w:left w:w="108" w:type="dxa"/>
              <w:right w:w="108" w:type="dxa"/>
            </w:tcMar>
            <w:vAlign w:val="top"/>
          </w:tcPr>
          <w:p>
            <w:pPr>
              <w:spacing w:before="40" w:after="40" w:line="240"/>
              <w:ind w:right="0" w:left="0" w:firstLine="0"/>
              <w:jc w:val="left"/>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Partneri u realizaciji</w:t>
            </w:r>
          </w:p>
        </w:tc>
        <w:tc>
          <w:tcPr>
            <w:tcW w:w="73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numPr>
                <w:ilvl w:val="0"/>
                <w:numId w:val="2787"/>
              </w:numPr>
              <w:spacing w:before="40" w:after="0" w:line="240"/>
              <w:ind w:right="0" w:left="482"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JKP “</w:t>
            </w:r>
            <w:r>
              <w:rPr>
                <w:rFonts w:ascii="Calibri" w:hAnsi="Calibri" w:cs="Calibri" w:eastAsia="Calibri"/>
                <w:color w:val="auto"/>
                <w:spacing w:val="0"/>
                <w:position w:val="0"/>
                <w:sz w:val="18"/>
                <w:shd w:fill="auto" w:val="clear"/>
              </w:rPr>
              <w:t xml:space="preserve">Čisto” Doboj Istok</w:t>
            </w:r>
          </w:p>
          <w:p>
            <w:pPr>
              <w:numPr>
                <w:ilvl w:val="0"/>
                <w:numId w:val="2787"/>
              </w:numPr>
              <w:spacing w:before="0" w:after="0" w:line="240"/>
              <w:ind w:right="0" w:left="482"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Relevantne službe Op</w:t>
            </w:r>
            <w:r>
              <w:rPr>
                <w:rFonts w:ascii="Calibri" w:hAnsi="Calibri" w:cs="Calibri" w:eastAsia="Calibri"/>
                <w:color w:val="auto"/>
                <w:spacing w:val="0"/>
                <w:position w:val="0"/>
                <w:sz w:val="18"/>
                <w:shd w:fill="auto" w:val="clear"/>
              </w:rPr>
              <w:t xml:space="preserve">ćine Doboj Istok</w:t>
            </w:r>
          </w:p>
          <w:p>
            <w:pPr>
              <w:numPr>
                <w:ilvl w:val="0"/>
                <w:numId w:val="2787"/>
              </w:numPr>
              <w:spacing w:before="0" w:after="40" w:line="240"/>
              <w:ind w:right="0" w:left="482" w:hanging="357"/>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Ministarstvo prostornog ure</w:t>
            </w:r>
            <w:r>
              <w:rPr>
                <w:rFonts w:ascii="Calibri" w:hAnsi="Calibri" w:cs="Calibri" w:eastAsia="Calibri"/>
                <w:color w:val="auto"/>
                <w:spacing w:val="0"/>
                <w:position w:val="0"/>
                <w:sz w:val="18"/>
                <w:shd w:fill="auto" w:val="clear"/>
              </w:rPr>
              <w:t xml:space="preserve">đenja i zaštite okolice Tuzlanskog kantona</w:t>
            </w:r>
          </w:p>
        </w:tc>
      </w:tr>
      <w:tr>
        <w:trPr>
          <w:trHeight w:val="227" w:hRule="auto"/>
          <w:jc w:val="left"/>
        </w:trPr>
        <w:tc>
          <w:tcPr>
            <w:tcW w:w="2093" w:type="dxa"/>
            <w:tcBorders>
              <w:top w:val="single" w:color="000000" w:sz="4"/>
              <w:left w:val="single" w:color="000000" w:sz="4"/>
              <w:bottom w:val="single" w:color="000000" w:sz="4"/>
              <w:right w:val="single" w:color="000000" w:sz="4"/>
            </w:tcBorders>
            <w:shd w:color="auto" w:fill="d9e2f3" w:val="clear"/>
            <w:tcMar>
              <w:left w:w="108" w:type="dxa"/>
              <w:right w:w="108" w:type="dxa"/>
            </w:tcMar>
            <w:vAlign w:val="center"/>
          </w:tcPr>
          <w:p>
            <w:pPr>
              <w:spacing w:before="40" w:after="40" w:line="240"/>
              <w:ind w:right="0" w:left="0" w:firstLine="0"/>
              <w:jc w:val="left"/>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Period realizacije</w:t>
            </w:r>
          </w:p>
        </w:tc>
        <w:tc>
          <w:tcPr>
            <w:tcW w:w="73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40" w:after="40" w:line="240"/>
              <w:ind w:right="0" w:left="72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2021.-2030.</w:t>
            </w:r>
          </w:p>
        </w:tc>
      </w:tr>
      <w:tr>
        <w:trPr>
          <w:trHeight w:val="227" w:hRule="auto"/>
          <w:jc w:val="left"/>
        </w:trPr>
        <w:tc>
          <w:tcPr>
            <w:tcW w:w="2093" w:type="dxa"/>
            <w:tcBorders>
              <w:top w:val="single" w:color="000000" w:sz="4"/>
              <w:left w:val="single" w:color="000000" w:sz="4"/>
              <w:bottom w:val="single" w:color="000000" w:sz="4"/>
              <w:right w:val="single" w:color="000000" w:sz="4"/>
            </w:tcBorders>
            <w:shd w:color="auto" w:fill="d9e2f3" w:val="clear"/>
            <w:tcMar>
              <w:left w:w="108" w:type="dxa"/>
              <w:right w:w="108" w:type="dxa"/>
            </w:tcMar>
            <w:vAlign w:val="center"/>
          </w:tcPr>
          <w:p>
            <w:pPr>
              <w:spacing w:before="40" w:after="40" w:line="240"/>
              <w:ind w:right="0" w:left="0" w:firstLine="0"/>
              <w:jc w:val="left"/>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Ušteda (MWh)</w:t>
            </w:r>
          </w:p>
        </w:tc>
        <w:tc>
          <w:tcPr>
            <w:tcW w:w="73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40" w:after="40" w:line="240"/>
              <w:ind w:right="0" w:left="72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290,56</w:t>
            </w:r>
          </w:p>
        </w:tc>
      </w:tr>
      <w:tr>
        <w:trPr>
          <w:trHeight w:val="227" w:hRule="auto"/>
          <w:jc w:val="left"/>
        </w:trPr>
        <w:tc>
          <w:tcPr>
            <w:tcW w:w="2093" w:type="dxa"/>
            <w:tcBorders>
              <w:top w:val="single" w:color="000000" w:sz="4"/>
              <w:left w:val="single" w:color="000000" w:sz="4"/>
              <w:bottom w:val="single" w:color="000000" w:sz="4"/>
              <w:right w:val="single" w:color="000000" w:sz="4"/>
            </w:tcBorders>
            <w:shd w:color="auto" w:fill="d9e2f3" w:val="clear"/>
            <w:tcMar>
              <w:left w:w="108" w:type="dxa"/>
              <w:right w:w="108" w:type="dxa"/>
            </w:tcMar>
            <w:vAlign w:val="center"/>
          </w:tcPr>
          <w:p>
            <w:pPr>
              <w:spacing w:before="40" w:after="40" w:line="240"/>
              <w:ind w:right="0" w:left="0" w:firstLine="0"/>
              <w:jc w:val="left"/>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Smanjenja emisije (tCO</w:t>
            </w:r>
            <w:r>
              <w:rPr>
                <w:rFonts w:ascii="Calibri" w:hAnsi="Calibri" w:cs="Calibri" w:eastAsia="Calibri"/>
                <w:b/>
                <w:color w:val="auto"/>
                <w:spacing w:val="0"/>
                <w:position w:val="0"/>
                <w:sz w:val="18"/>
                <w:shd w:fill="auto" w:val="clear"/>
                <w:vertAlign w:val="subscript"/>
              </w:rPr>
              <w:t xml:space="preserve">2</w:t>
            </w:r>
            <w:r>
              <w:rPr>
                <w:rFonts w:ascii="Calibri" w:hAnsi="Calibri" w:cs="Calibri" w:eastAsia="Calibri"/>
                <w:b/>
                <w:color w:val="auto"/>
                <w:spacing w:val="0"/>
                <w:position w:val="0"/>
                <w:sz w:val="18"/>
                <w:shd w:fill="auto" w:val="clear"/>
              </w:rPr>
              <w:t xml:space="preserve">)</w:t>
            </w:r>
          </w:p>
        </w:tc>
        <w:tc>
          <w:tcPr>
            <w:tcW w:w="73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40" w:after="40" w:line="240"/>
              <w:ind w:right="0" w:left="72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220,82</w:t>
            </w:r>
          </w:p>
        </w:tc>
      </w:tr>
      <w:tr>
        <w:trPr>
          <w:trHeight w:val="227" w:hRule="auto"/>
          <w:jc w:val="left"/>
        </w:trPr>
        <w:tc>
          <w:tcPr>
            <w:tcW w:w="2093" w:type="dxa"/>
            <w:tcBorders>
              <w:top w:val="single" w:color="000000" w:sz="4"/>
              <w:left w:val="single" w:color="000000" w:sz="4"/>
              <w:bottom w:val="single" w:color="000000" w:sz="4"/>
              <w:right w:val="single" w:color="000000" w:sz="4"/>
            </w:tcBorders>
            <w:shd w:color="auto" w:fill="d9e2f3" w:val="clear"/>
            <w:tcMar>
              <w:left w:w="108" w:type="dxa"/>
              <w:right w:w="108" w:type="dxa"/>
            </w:tcMar>
            <w:vAlign w:val="center"/>
          </w:tcPr>
          <w:p>
            <w:pPr>
              <w:spacing w:before="40" w:after="40" w:line="240"/>
              <w:ind w:right="0" w:left="0" w:firstLine="0"/>
              <w:jc w:val="left"/>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Ukupna investicija (KM)</w:t>
            </w:r>
          </w:p>
        </w:tc>
        <w:tc>
          <w:tcPr>
            <w:tcW w:w="73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40" w:after="40" w:line="240"/>
              <w:ind w:right="0" w:left="72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373.000</w:t>
            </w:r>
          </w:p>
        </w:tc>
      </w:tr>
      <w:tr>
        <w:trPr>
          <w:trHeight w:val="227" w:hRule="auto"/>
          <w:jc w:val="left"/>
        </w:trPr>
        <w:tc>
          <w:tcPr>
            <w:tcW w:w="2093" w:type="dxa"/>
            <w:tcBorders>
              <w:top w:val="single" w:color="000000" w:sz="4"/>
              <w:left w:val="single" w:color="000000" w:sz="4"/>
              <w:bottom w:val="single" w:color="000000" w:sz="4"/>
              <w:right w:val="single" w:color="000000" w:sz="4"/>
            </w:tcBorders>
            <w:shd w:color="auto" w:fill="d9e2f3" w:val="clear"/>
            <w:tcMar>
              <w:left w:w="108" w:type="dxa"/>
              <w:right w:w="108" w:type="dxa"/>
            </w:tcMar>
            <w:vAlign w:val="center"/>
          </w:tcPr>
          <w:p>
            <w:pPr>
              <w:spacing w:before="40" w:after="40" w:line="240"/>
              <w:ind w:right="0" w:left="0" w:firstLine="0"/>
              <w:jc w:val="left"/>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Mogu</w:t>
            </w:r>
            <w:r>
              <w:rPr>
                <w:rFonts w:ascii="Calibri" w:hAnsi="Calibri" w:cs="Calibri" w:eastAsia="Calibri"/>
                <w:b/>
                <w:color w:val="auto"/>
                <w:spacing w:val="0"/>
                <w:position w:val="0"/>
                <w:sz w:val="18"/>
                <w:shd w:fill="auto" w:val="clear"/>
              </w:rPr>
              <w:t xml:space="preserve">ći izvor sredstava za realizaciju</w:t>
            </w:r>
          </w:p>
        </w:tc>
        <w:tc>
          <w:tcPr>
            <w:tcW w:w="73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numPr>
                <w:ilvl w:val="0"/>
                <w:numId w:val="2805"/>
              </w:numPr>
              <w:spacing w:before="0" w:after="0" w:line="240"/>
              <w:ind w:right="0" w:left="482"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Budžet Op</w:t>
            </w:r>
            <w:r>
              <w:rPr>
                <w:rFonts w:ascii="Calibri" w:hAnsi="Calibri" w:cs="Calibri" w:eastAsia="Calibri"/>
                <w:color w:val="auto"/>
                <w:spacing w:val="0"/>
                <w:position w:val="0"/>
                <w:sz w:val="18"/>
                <w:shd w:fill="auto" w:val="clear"/>
              </w:rPr>
              <w:t xml:space="preserve">ćine Doboj Istok</w:t>
            </w:r>
          </w:p>
          <w:p>
            <w:pPr>
              <w:numPr>
                <w:ilvl w:val="0"/>
                <w:numId w:val="2805"/>
              </w:numPr>
              <w:spacing w:before="0" w:after="0" w:line="240"/>
              <w:ind w:right="0" w:left="482"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Budžet Tuzlanskog kantona</w:t>
            </w:r>
          </w:p>
          <w:p>
            <w:pPr>
              <w:numPr>
                <w:ilvl w:val="0"/>
                <w:numId w:val="2805"/>
              </w:numPr>
              <w:spacing w:before="0" w:after="0" w:line="240"/>
              <w:ind w:right="0" w:left="482"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Fond za zaštitu okoliša Federacije BiH</w:t>
            </w:r>
          </w:p>
          <w:p>
            <w:pPr>
              <w:numPr>
                <w:ilvl w:val="0"/>
                <w:numId w:val="2805"/>
              </w:numPr>
              <w:spacing w:before="0" w:after="40" w:line="240"/>
              <w:ind w:right="0" w:left="482" w:hanging="357"/>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Me</w:t>
            </w:r>
            <w:r>
              <w:rPr>
                <w:rFonts w:ascii="Calibri" w:hAnsi="Calibri" w:cs="Calibri" w:eastAsia="Calibri"/>
                <w:color w:val="auto"/>
                <w:spacing w:val="0"/>
                <w:position w:val="0"/>
                <w:sz w:val="18"/>
                <w:shd w:fill="auto" w:val="clear"/>
              </w:rPr>
              <w:t xml:space="preserve">đunarodne razvojne organizacije (UNDP, EU, vlade i ambasade pojedinih zemalja, itd)</w:t>
            </w:r>
          </w:p>
        </w:tc>
      </w:tr>
      <w:tr>
        <w:trPr>
          <w:trHeight w:val="274" w:hRule="auto"/>
          <w:jc w:val="left"/>
        </w:trPr>
        <w:tc>
          <w:tcPr>
            <w:tcW w:w="2093" w:type="dxa"/>
            <w:tcBorders>
              <w:top w:val="single" w:color="000000" w:sz="4"/>
              <w:left w:val="single" w:color="000000" w:sz="4"/>
              <w:bottom w:val="single" w:color="000000" w:sz="4"/>
              <w:right w:val="single" w:color="000000" w:sz="4"/>
            </w:tcBorders>
            <w:shd w:color="auto" w:fill="d9e2f3" w:val="clear"/>
            <w:tcMar>
              <w:left w:w="108" w:type="dxa"/>
              <w:right w:w="108" w:type="dxa"/>
            </w:tcMar>
            <w:vAlign w:val="center"/>
          </w:tcPr>
          <w:p>
            <w:pPr>
              <w:spacing w:before="40" w:after="40" w:line="240"/>
              <w:ind w:right="0" w:left="0" w:firstLine="0"/>
              <w:jc w:val="left"/>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Kratki opis mjere/komentari</w:t>
            </w:r>
          </w:p>
        </w:tc>
        <w:tc>
          <w:tcPr>
            <w:tcW w:w="73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4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Mjera se odnosi na zamjenu 1.000 postoje</w:t>
            </w:r>
            <w:r>
              <w:rPr>
                <w:rFonts w:ascii="Calibri" w:hAnsi="Calibri" w:cs="Calibri" w:eastAsia="Calibri"/>
                <w:color w:val="auto"/>
                <w:spacing w:val="0"/>
                <w:position w:val="0"/>
                <w:sz w:val="18"/>
                <w:shd w:fill="auto" w:val="clear"/>
              </w:rPr>
              <w:t xml:space="preserve">ćih rasvjetnih tijela (svjetiljki) sa manje efikasnim izvorima svjetla i predspojnim uređajima, sa rasvjetnim tijelima (svjetiljkama) sa visokoefikasnim LED izvorima svjetla i elektronskim upravljačkim sklopovima. Modelirani proračun efekata zamjene je vršen uzimajući u obzir trenutni stepen pokrivenosti područja općine javnom rasvjetom od oko 85%, te projekciju rasta broja svjetiljki uslijed širenja mreže sa sadašnjih 1.300 svjetiljki na 1.436 svjetiljki u 2030. godini (1% godišnje za period 2020.-2030). </w:t>
            </w:r>
          </w:p>
          <w:p>
            <w:pPr>
              <w:spacing w:before="40" w:after="0" w:line="240"/>
              <w:ind w:right="0" w:left="0" w:firstLine="0"/>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Predvi</w:t>
            </w:r>
            <w:r>
              <w:rPr>
                <w:rFonts w:ascii="Calibri" w:hAnsi="Calibri" w:cs="Calibri" w:eastAsia="Calibri"/>
                <w:color w:val="auto"/>
                <w:spacing w:val="0"/>
                <w:position w:val="0"/>
                <w:sz w:val="18"/>
                <w:shd w:fill="auto" w:val="clear"/>
              </w:rPr>
              <w:t xml:space="preserve">đenom zamjenom rasvjetnih tijela bi se potrošnja energije na godišnjem nivou umanjila za 290,56 MWh, a godišnje emisije CO</w:t>
            </w:r>
            <w:r>
              <w:rPr>
                <w:rFonts w:ascii="Calibri" w:hAnsi="Calibri" w:cs="Calibri" w:eastAsia="Calibri"/>
                <w:color w:val="auto"/>
                <w:spacing w:val="0"/>
                <w:position w:val="0"/>
                <w:sz w:val="18"/>
                <w:shd w:fill="auto" w:val="clear"/>
                <w:vertAlign w:val="subscript"/>
              </w:rPr>
              <w:t xml:space="preserve">2</w:t>
            </w:r>
            <w:r>
              <w:rPr>
                <w:rFonts w:ascii="Calibri" w:hAnsi="Calibri" w:cs="Calibri" w:eastAsia="Calibri"/>
                <w:color w:val="auto"/>
                <w:spacing w:val="0"/>
                <w:position w:val="0"/>
                <w:sz w:val="18"/>
                <w:shd w:fill="auto" w:val="clear"/>
              </w:rPr>
              <w:t xml:space="preserve"> za 220,82 tCO</w:t>
            </w:r>
            <w:r>
              <w:rPr>
                <w:rFonts w:ascii="Calibri" w:hAnsi="Calibri" w:cs="Calibri" w:eastAsia="Calibri"/>
                <w:color w:val="auto"/>
                <w:spacing w:val="0"/>
                <w:position w:val="0"/>
                <w:sz w:val="18"/>
                <w:shd w:fill="auto" w:val="clear"/>
                <w:vertAlign w:val="subscript"/>
              </w:rPr>
              <w:t xml:space="preserve">2</w:t>
            </w:r>
            <w:r>
              <w:rPr>
                <w:rFonts w:ascii="Calibri" w:hAnsi="Calibri" w:cs="Calibri" w:eastAsia="Calibri"/>
                <w:color w:val="auto"/>
                <w:spacing w:val="0"/>
                <w:position w:val="0"/>
                <w:sz w:val="18"/>
                <w:shd w:fill="auto" w:val="clear"/>
              </w:rPr>
              <w:t xml:space="preserve">, tako da bi ukupna godišnja potrošnja energije na nivou cijelog sistema u 2030. god. iznosila 440,11 MWh, a ukupna godišnja emisija CO</w:t>
            </w:r>
            <w:r>
              <w:rPr>
                <w:rFonts w:ascii="Calibri" w:hAnsi="Calibri" w:cs="Calibri" w:eastAsia="Calibri"/>
                <w:color w:val="auto"/>
                <w:spacing w:val="0"/>
                <w:position w:val="0"/>
                <w:sz w:val="18"/>
                <w:shd w:fill="auto" w:val="clear"/>
                <w:vertAlign w:val="subscript"/>
              </w:rPr>
              <w:t xml:space="preserve">2</w:t>
            </w:r>
            <w:r>
              <w:rPr>
                <w:rFonts w:ascii="Calibri" w:hAnsi="Calibri" w:cs="Calibri" w:eastAsia="Calibri"/>
                <w:color w:val="auto"/>
                <w:spacing w:val="0"/>
                <w:position w:val="0"/>
                <w:sz w:val="18"/>
                <w:shd w:fill="auto" w:val="clear"/>
              </w:rPr>
              <w:t xml:space="preserve"> na nivou sistema bi iznosila 334,48 tCO</w:t>
            </w:r>
            <w:r>
              <w:rPr>
                <w:rFonts w:ascii="Calibri" w:hAnsi="Calibri" w:cs="Calibri" w:eastAsia="Calibri"/>
                <w:color w:val="auto"/>
                <w:spacing w:val="0"/>
                <w:position w:val="0"/>
                <w:sz w:val="18"/>
                <w:shd w:fill="auto" w:val="clear"/>
                <w:vertAlign w:val="subscript"/>
              </w:rPr>
              <w:t xml:space="preserve">2</w:t>
            </w:r>
            <w:r>
              <w:rPr>
                <w:rFonts w:ascii="Calibri" w:hAnsi="Calibri" w:cs="Calibri" w:eastAsia="Calibri"/>
                <w:color w:val="auto"/>
                <w:spacing w:val="0"/>
                <w:position w:val="0"/>
                <w:sz w:val="18"/>
                <w:shd w:fill="auto" w:val="clear"/>
              </w:rPr>
              <w:t xml:space="preserve">. </w:t>
            </w:r>
          </w:p>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Kada se iznos ukupnih ulaganja za provedbu mjere posmatra na godišnjem nivou (37.300 KM/godišnje) te uporedi sa prosje</w:t>
            </w:r>
            <w:r>
              <w:rPr>
                <w:rFonts w:ascii="Calibri" w:hAnsi="Calibri" w:cs="Calibri" w:eastAsia="Calibri"/>
                <w:color w:val="auto"/>
                <w:spacing w:val="0"/>
                <w:position w:val="0"/>
                <w:sz w:val="18"/>
                <w:shd w:fill="auto" w:val="clear"/>
              </w:rPr>
              <w:t xml:space="preserve">čnim godišnjim iznosom troškova tekućeg održavanja u periodu 2002.-2020. (cca 6.000 KM/god.išnje, te uzmu u obzir činjenice da se oko 60% tog iznosa odnosi na svjetiljke koje bi se zamijenile (cca 3.600 KM) i da je prosječan nazivni životni vijek novomontiranih svjetiljki u kojem nema troškova održavanja (zamjene izvora svjetla i predspojnih uređaja) oko  80.000 radnih sati (cca 20 god.), očigledno je da su realno potrebna dodatna sredstva na nivou od cca 34.000 KM/godišnje.  </w:t>
            </w:r>
          </w:p>
        </w:tc>
      </w:tr>
    </w:tbl>
    <w:p>
      <w:pPr>
        <w:keepNext w:val="true"/>
        <w:keepLines w:val="true"/>
        <w:numPr>
          <w:ilvl w:val="0"/>
          <w:numId w:val="2814"/>
        </w:numPr>
        <w:spacing w:before="240" w:after="120" w:line="240"/>
        <w:ind w:right="0" w:left="720" w:hanging="720"/>
        <w:jc w:val="both"/>
        <w:rPr>
          <w:rFonts w:ascii="Calibri" w:hAnsi="Calibri" w:cs="Calibri" w:eastAsia="Calibri"/>
          <w:b/>
          <w:color w:val="auto"/>
          <w:spacing w:val="0"/>
          <w:position w:val="0"/>
          <w:sz w:val="24"/>
          <w:shd w:fill="auto" w:val="clear"/>
        </w:rPr>
      </w:pPr>
      <w:r>
        <w:rPr>
          <w:rFonts w:ascii="Calibri" w:hAnsi="Calibri" w:cs="Calibri" w:eastAsia="Calibri"/>
          <w:i/>
          <w:color w:val="2E74B5"/>
          <w:spacing w:val="0"/>
          <w:position w:val="0"/>
          <w:sz w:val="22"/>
          <w:shd w:fill="auto" w:val="clear"/>
        </w:rPr>
        <w:t xml:space="preserve"> </w:t>
      </w:r>
      <w:r>
        <w:rPr>
          <w:rFonts w:ascii="Calibri" w:hAnsi="Calibri" w:cs="Calibri" w:eastAsia="Calibri"/>
          <w:b/>
          <w:color w:val="auto"/>
          <w:spacing w:val="0"/>
          <w:position w:val="0"/>
          <w:sz w:val="22"/>
          <w:shd w:fill="auto" w:val="clear"/>
        </w:rPr>
        <w:t xml:space="preserve">Mjere</w:t>
      </w:r>
      <w:r>
        <w:rPr>
          <w:rFonts w:ascii="Calibri" w:hAnsi="Calibri" w:cs="Calibri" w:eastAsia="Calibri"/>
          <w:b/>
          <w:color w:val="auto"/>
          <w:spacing w:val="0"/>
          <w:position w:val="0"/>
          <w:sz w:val="24"/>
          <w:shd w:fill="auto" w:val="clear"/>
        </w:rPr>
        <w:t xml:space="preserve"> za smanjenje emisija CO</w:t>
      </w:r>
      <w:r>
        <w:rPr>
          <w:rFonts w:ascii="Calibri" w:hAnsi="Calibri" w:cs="Calibri" w:eastAsia="Calibri"/>
          <w:b/>
          <w:color w:val="auto"/>
          <w:spacing w:val="0"/>
          <w:position w:val="0"/>
          <w:sz w:val="24"/>
          <w:shd w:fill="auto" w:val="clear"/>
          <w:vertAlign w:val="subscript"/>
        </w:rPr>
        <w:t xml:space="preserve">2</w:t>
      </w:r>
      <w:r>
        <w:rPr>
          <w:rFonts w:ascii="Calibri" w:hAnsi="Calibri" w:cs="Calibri" w:eastAsia="Calibri"/>
          <w:b/>
          <w:color w:val="auto"/>
          <w:spacing w:val="0"/>
          <w:position w:val="0"/>
          <w:sz w:val="24"/>
          <w:shd w:fill="auto" w:val="clear"/>
        </w:rPr>
        <w:t xml:space="preserve"> iz sektora vodosnabdijevanja</w:t>
      </w:r>
    </w:p>
    <w:tbl>
      <w:tblPr/>
      <w:tblGrid>
        <w:gridCol w:w="2093"/>
        <w:gridCol w:w="7371"/>
      </w:tblGrid>
      <w:tr>
        <w:trPr>
          <w:trHeight w:val="227" w:hRule="auto"/>
          <w:jc w:val="left"/>
        </w:trPr>
        <w:tc>
          <w:tcPr>
            <w:tcW w:w="2093" w:type="dxa"/>
            <w:tcBorders>
              <w:top w:val="single" w:color="000000" w:sz="4"/>
              <w:left w:val="single" w:color="000000" w:sz="4"/>
              <w:bottom w:val="single" w:color="000000" w:sz="4"/>
              <w:right w:val="single" w:color="000000" w:sz="4"/>
            </w:tcBorders>
            <w:shd w:color="auto" w:fill="b4c6e7" w:val="clear"/>
            <w:tcMar>
              <w:left w:w="108" w:type="dxa"/>
              <w:right w:w="108" w:type="dxa"/>
            </w:tcMar>
            <w:vAlign w:val="center"/>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Redni broj mjere</w:t>
            </w:r>
          </w:p>
        </w:tc>
        <w:tc>
          <w:tcPr>
            <w:tcW w:w="7371" w:type="dxa"/>
            <w:tcBorders>
              <w:top w:val="single" w:color="000000" w:sz="4"/>
              <w:left w:val="single" w:color="000000" w:sz="4"/>
              <w:bottom w:val="single" w:color="000000" w:sz="4"/>
              <w:right w:val="single" w:color="000000" w:sz="4"/>
            </w:tcBorders>
            <w:shd w:color="auto" w:fill="b4c6e7" w:val="clear"/>
            <w:tcMar>
              <w:left w:w="108" w:type="dxa"/>
              <w:right w:w="108" w:type="dxa"/>
            </w:tcMar>
            <w:vAlign w:val="center"/>
          </w:tcPr>
          <w:p>
            <w:pPr>
              <w:spacing w:before="40" w:after="40" w:line="240"/>
              <w:ind w:right="0" w:left="0" w:firstLine="0"/>
              <w:jc w:val="center"/>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SV-1</w:t>
            </w:r>
          </w:p>
        </w:tc>
      </w:tr>
      <w:tr>
        <w:trPr>
          <w:trHeight w:val="227" w:hRule="auto"/>
          <w:jc w:val="left"/>
        </w:trPr>
        <w:tc>
          <w:tcPr>
            <w:tcW w:w="2093" w:type="dxa"/>
            <w:tcBorders>
              <w:top w:val="single" w:color="000000" w:sz="4"/>
              <w:left w:val="single" w:color="000000" w:sz="4"/>
              <w:bottom w:val="single" w:color="000000" w:sz="4"/>
              <w:right w:val="single" w:color="000000" w:sz="4"/>
            </w:tcBorders>
            <w:shd w:color="auto" w:fill="b4c6e7" w:val="clear"/>
            <w:tcMar>
              <w:left w:w="108" w:type="dxa"/>
              <w:right w:w="108" w:type="dxa"/>
            </w:tcMar>
            <w:vAlign w:val="center"/>
          </w:tcPr>
          <w:p>
            <w:pPr>
              <w:spacing w:before="0" w:after="200" w:line="276"/>
              <w:ind w:right="0" w:left="0" w:firstLine="0"/>
              <w:jc w:val="center"/>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 </w:t>
            </w:r>
          </w:p>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Naziv mjere</w:t>
            </w:r>
          </w:p>
        </w:tc>
        <w:tc>
          <w:tcPr>
            <w:tcW w:w="7371" w:type="dxa"/>
            <w:tcBorders>
              <w:top w:val="single" w:color="000000" w:sz="4"/>
              <w:left w:val="single" w:color="000000" w:sz="4"/>
              <w:bottom w:val="single" w:color="000000" w:sz="4"/>
              <w:right w:val="single" w:color="000000" w:sz="4"/>
            </w:tcBorders>
            <w:shd w:color="auto" w:fill="b4c6e7" w:val="clear"/>
            <w:tcMar>
              <w:left w:w="108" w:type="dxa"/>
              <w:right w:w="108" w:type="dxa"/>
            </w:tcMar>
            <w:vAlign w:val="center"/>
          </w:tcPr>
          <w:p>
            <w:pPr>
              <w:spacing w:before="40" w:after="40" w:line="240"/>
              <w:ind w:right="0" w:left="0" w:firstLine="0"/>
              <w:jc w:val="center"/>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Smanjenje potrošnje elektri</w:t>
            </w:r>
            <w:r>
              <w:rPr>
                <w:rFonts w:ascii="Calibri" w:hAnsi="Calibri" w:cs="Calibri" w:eastAsia="Calibri"/>
                <w:b/>
                <w:color w:val="auto"/>
                <w:spacing w:val="0"/>
                <w:position w:val="0"/>
                <w:sz w:val="18"/>
                <w:shd w:fill="auto" w:val="clear"/>
              </w:rPr>
              <w:t xml:space="preserve">čne energije i emisija CO</w:t>
            </w:r>
            <w:r>
              <w:rPr>
                <w:rFonts w:ascii="Calibri" w:hAnsi="Calibri" w:cs="Calibri" w:eastAsia="Calibri"/>
                <w:b/>
                <w:color w:val="auto"/>
                <w:spacing w:val="0"/>
                <w:position w:val="0"/>
                <w:sz w:val="18"/>
                <w:shd w:fill="auto" w:val="clear"/>
                <w:vertAlign w:val="subscript"/>
              </w:rPr>
              <w:t xml:space="preserve">2</w:t>
            </w:r>
            <w:r>
              <w:rPr>
                <w:rFonts w:ascii="Calibri" w:hAnsi="Calibri" w:cs="Calibri" w:eastAsia="Calibri"/>
                <w:b/>
                <w:color w:val="auto"/>
                <w:spacing w:val="0"/>
                <w:position w:val="0"/>
                <w:sz w:val="18"/>
                <w:shd w:fill="auto" w:val="clear"/>
              </w:rPr>
              <w:t xml:space="preserve"> u sistemu vodosnabdijevanja uvođenjem frekventne regulacije rada trenutno nereguliranih pumpi</w:t>
            </w:r>
          </w:p>
        </w:tc>
      </w:tr>
      <w:tr>
        <w:trPr>
          <w:trHeight w:val="227" w:hRule="auto"/>
          <w:jc w:val="left"/>
        </w:trPr>
        <w:tc>
          <w:tcPr>
            <w:tcW w:w="2093" w:type="dxa"/>
            <w:tcBorders>
              <w:top w:val="single" w:color="000000" w:sz="4"/>
              <w:left w:val="single" w:color="000000" w:sz="4"/>
              <w:bottom w:val="single" w:color="000000" w:sz="4"/>
              <w:right w:val="single" w:color="000000" w:sz="4"/>
            </w:tcBorders>
            <w:shd w:color="auto" w:fill="d9e2f3"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Nosilac realizacije mjere</w:t>
            </w:r>
          </w:p>
        </w:tc>
        <w:tc>
          <w:tcPr>
            <w:tcW w:w="73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Služba za finansije i poduzetništvo Op</w:t>
            </w:r>
            <w:r>
              <w:rPr>
                <w:rFonts w:ascii="Calibri" w:hAnsi="Calibri" w:cs="Calibri" w:eastAsia="Calibri"/>
                <w:color w:val="auto"/>
                <w:spacing w:val="0"/>
                <w:position w:val="0"/>
                <w:sz w:val="18"/>
                <w:shd w:fill="auto" w:val="clear"/>
              </w:rPr>
              <w:t xml:space="preserve">ćine Doboj Istok</w:t>
            </w:r>
          </w:p>
        </w:tc>
      </w:tr>
      <w:tr>
        <w:trPr>
          <w:trHeight w:val="626" w:hRule="auto"/>
          <w:jc w:val="left"/>
        </w:trPr>
        <w:tc>
          <w:tcPr>
            <w:tcW w:w="2093" w:type="dxa"/>
            <w:tcBorders>
              <w:top w:val="single" w:color="000000" w:sz="4"/>
              <w:left w:val="single" w:color="000000" w:sz="4"/>
              <w:bottom w:val="single" w:color="000000" w:sz="4"/>
              <w:right w:val="single" w:color="000000" w:sz="4"/>
            </w:tcBorders>
            <w:shd w:color="auto" w:fill="d9e2f3"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Partneri u realizaciji</w:t>
            </w:r>
          </w:p>
        </w:tc>
        <w:tc>
          <w:tcPr>
            <w:tcW w:w="73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numPr>
                <w:ilvl w:val="0"/>
                <w:numId w:val="2829"/>
              </w:numPr>
              <w:spacing w:before="40" w:after="0" w:line="240"/>
              <w:ind w:right="0" w:left="482"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JKP “</w:t>
            </w:r>
            <w:r>
              <w:rPr>
                <w:rFonts w:ascii="Calibri" w:hAnsi="Calibri" w:cs="Calibri" w:eastAsia="Calibri"/>
                <w:color w:val="auto"/>
                <w:spacing w:val="0"/>
                <w:position w:val="0"/>
                <w:sz w:val="18"/>
                <w:shd w:fill="auto" w:val="clear"/>
              </w:rPr>
              <w:t xml:space="preserve">Čisto” Doboj Istok</w:t>
            </w:r>
          </w:p>
          <w:p>
            <w:pPr>
              <w:numPr>
                <w:ilvl w:val="0"/>
                <w:numId w:val="2829"/>
              </w:numPr>
              <w:spacing w:before="0" w:after="0" w:line="240"/>
              <w:ind w:right="0" w:left="482"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Relevantne službe Op</w:t>
            </w:r>
            <w:r>
              <w:rPr>
                <w:rFonts w:ascii="Calibri" w:hAnsi="Calibri" w:cs="Calibri" w:eastAsia="Calibri"/>
                <w:color w:val="auto"/>
                <w:spacing w:val="0"/>
                <w:position w:val="0"/>
                <w:sz w:val="18"/>
                <w:shd w:fill="auto" w:val="clear"/>
              </w:rPr>
              <w:t xml:space="preserve">ćine Doboj Istok</w:t>
            </w:r>
          </w:p>
          <w:p>
            <w:pPr>
              <w:numPr>
                <w:ilvl w:val="0"/>
                <w:numId w:val="2829"/>
              </w:numPr>
              <w:spacing w:before="0" w:after="40" w:line="240"/>
              <w:ind w:right="0" w:left="482" w:hanging="357"/>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Ministarstvo prostornog ure</w:t>
            </w:r>
            <w:r>
              <w:rPr>
                <w:rFonts w:ascii="Calibri" w:hAnsi="Calibri" w:cs="Calibri" w:eastAsia="Calibri"/>
                <w:color w:val="auto"/>
                <w:spacing w:val="0"/>
                <w:position w:val="0"/>
                <w:sz w:val="18"/>
                <w:shd w:fill="auto" w:val="clear"/>
              </w:rPr>
              <w:t xml:space="preserve">đenja i zaštite okolice Tuzlanskog kantona</w:t>
            </w:r>
          </w:p>
        </w:tc>
      </w:tr>
      <w:tr>
        <w:trPr>
          <w:trHeight w:val="227" w:hRule="auto"/>
          <w:jc w:val="left"/>
        </w:trPr>
        <w:tc>
          <w:tcPr>
            <w:tcW w:w="2093" w:type="dxa"/>
            <w:tcBorders>
              <w:top w:val="single" w:color="000000" w:sz="4"/>
              <w:left w:val="single" w:color="000000" w:sz="4"/>
              <w:bottom w:val="single" w:color="000000" w:sz="4"/>
              <w:right w:val="single" w:color="000000" w:sz="4"/>
            </w:tcBorders>
            <w:shd w:color="auto" w:fill="d9e2f3" w:val="clear"/>
            <w:tcMar>
              <w:left w:w="108" w:type="dxa"/>
              <w:right w:w="108" w:type="dxa"/>
            </w:tcMar>
            <w:vAlign w:val="center"/>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Period realizacije</w:t>
            </w:r>
          </w:p>
        </w:tc>
        <w:tc>
          <w:tcPr>
            <w:tcW w:w="73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40" w:after="40" w:line="240"/>
              <w:ind w:right="0" w:left="72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2021.-2030.</w:t>
            </w:r>
          </w:p>
        </w:tc>
      </w:tr>
      <w:tr>
        <w:trPr>
          <w:trHeight w:val="227" w:hRule="auto"/>
          <w:jc w:val="left"/>
        </w:trPr>
        <w:tc>
          <w:tcPr>
            <w:tcW w:w="2093" w:type="dxa"/>
            <w:tcBorders>
              <w:top w:val="single" w:color="000000" w:sz="4"/>
              <w:left w:val="single" w:color="000000" w:sz="4"/>
              <w:bottom w:val="single" w:color="000000" w:sz="4"/>
              <w:right w:val="single" w:color="000000" w:sz="4"/>
            </w:tcBorders>
            <w:shd w:color="auto" w:fill="d9e2f3" w:val="clear"/>
            <w:tcMar>
              <w:left w:w="108" w:type="dxa"/>
              <w:right w:w="108" w:type="dxa"/>
            </w:tcMar>
            <w:vAlign w:val="center"/>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Ušteda (MWh)</w:t>
            </w:r>
          </w:p>
        </w:tc>
        <w:tc>
          <w:tcPr>
            <w:tcW w:w="73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40" w:after="40" w:line="240"/>
              <w:ind w:right="0" w:left="72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305,15</w:t>
            </w:r>
          </w:p>
        </w:tc>
      </w:tr>
      <w:tr>
        <w:trPr>
          <w:trHeight w:val="227" w:hRule="auto"/>
          <w:jc w:val="left"/>
        </w:trPr>
        <w:tc>
          <w:tcPr>
            <w:tcW w:w="2093" w:type="dxa"/>
            <w:tcBorders>
              <w:top w:val="single" w:color="000000" w:sz="4"/>
              <w:left w:val="single" w:color="000000" w:sz="4"/>
              <w:bottom w:val="single" w:color="000000" w:sz="4"/>
              <w:right w:val="single" w:color="000000" w:sz="4"/>
            </w:tcBorders>
            <w:shd w:color="auto" w:fill="d9e2f3" w:val="clear"/>
            <w:tcMar>
              <w:left w:w="108" w:type="dxa"/>
              <w:right w:w="108" w:type="dxa"/>
            </w:tcMar>
            <w:vAlign w:val="center"/>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Smanjenja emisije (tCO</w:t>
            </w:r>
            <w:r>
              <w:rPr>
                <w:rFonts w:ascii="Calibri" w:hAnsi="Calibri" w:cs="Calibri" w:eastAsia="Calibri"/>
                <w:b/>
                <w:color w:val="auto"/>
                <w:spacing w:val="0"/>
                <w:position w:val="0"/>
                <w:sz w:val="18"/>
                <w:shd w:fill="auto" w:val="clear"/>
                <w:vertAlign w:val="subscript"/>
              </w:rPr>
              <w:t xml:space="preserve">2</w:t>
            </w:r>
            <w:r>
              <w:rPr>
                <w:rFonts w:ascii="Calibri" w:hAnsi="Calibri" w:cs="Calibri" w:eastAsia="Calibri"/>
                <w:b/>
                <w:color w:val="auto"/>
                <w:spacing w:val="0"/>
                <w:position w:val="0"/>
                <w:sz w:val="18"/>
                <w:shd w:fill="auto" w:val="clear"/>
              </w:rPr>
              <w:t xml:space="preserve">)</w:t>
            </w:r>
          </w:p>
        </w:tc>
        <w:tc>
          <w:tcPr>
            <w:tcW w:w="73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40" w:after="40" w:line="240"/>
              <w:ind w:right="0" w:left="72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231,91</w:t>
            </w:r>
          </w:p>
        </w:tc>
      </w:tr>
      <w:tr>
        <w:trPr>
          <w:trHeight w:val="227" w:hRule="auto"/>
          <w:jc w:val="left"/>
        </w:trPr>
        <w:tc>
          <w:tcPr>
            <w:tcW w:w="2093" w:type="dxa"/>
            <w:tcBorders>
              <w:top w:val="single" w:color="000000" w:sz="4"/>
              <w:left w:val="single" w:color="000000" w:sz="4"/>
              <w:bottom w:val="single" w:color="000000" w:sz="4"/>
              <w:right w:val="single" w:color="000000" w:sz="4"/>
            </w:tcBorders>
            <w:shd w:color="auto" w:fill="d9e2f3" w:val="clear"/>
            <w:tcMar>
              <w:left w:w="108" w:type="dxa"/>
              <w:right w:w="108" w:type="dxa"/>
            </w:tcMar>
            <w:vAlign w:val="center"/>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Ukupna investicija (KM)</w:t>
            </w:r>
          </w:p>
        </w:tc>
        <w:tc>
          <w:tcPr>
            <w:tcW w:w="73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40" w:after="40" w:line="240"/>
              <w:ind w:right="0" w:left="72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11.369</w:t>
            </w:r>
          </w:p>
        </w:tc>
      </w:tr>
      <w:tr>
        <w:trPr>
          <w:trHeight w:val="227" w:hRule="auto"/>
          <w:jc w:val="left"/>
        </w:trPr>
        <w:tc>
          <w:tcPr>
            <w:tcW w:w="2093" w:type="dxa"/>
            <w:tcBorders>
              <w:top w:val="single" w:color="000000" w:sz="4"/>
              <w:left w:val="single" w:color="000000" w:sz="4"/>
              <w:bottom w:val="single" w:color="000000" w:sz="4"/>
              <w:right w:val="single" w:color="000000" w:sz="4"/>
            </w:tcBorders>
            <w:shd w:color="auto" w:fill="d9e2f3" w:val="clear"/>
            <w:tcMar>
              <w:left w:w="108" w:type="dxa"/>
              <w:right w:w="108" w:type="dxa"/>
            </w:tcMar>
            <w:vAlign w:val="center"/>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Mogu</w:t>
            </w:r>
            <w:r>
              <w:rPr>
                <w:rFonts w:ascii="Calibri" w:hAnsi="Calibri" w:cs="Calibri" w:eastAsia="Calibri"/>
                <w:b/>
                <w:color w:val="auto"/>
                <w:spacing w:val="0"/>
                <w:position w:val="0"/>
                <w:sz w:val="18"/>
                <w:shd w:fill="auto" w:val="clear"/>
              </w:rPr>
              <w:t xml:space="preserve">ći izvor sredstava za realizaciju</w:t>
            </w:r>
          </w:p>
        </w:tc>
        <w:tc>
          <w:tcPr>
            <w:tcW w:w="73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numPr>
                <w:ilvl w:val="0"/>
                <w:numId w:val="2847"/>
              </w:numPr>
              <w:spacing w:before="40" w:after="0" w:line="240"/>
              <w:ind w:right="0" w:left="482"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Budžet Op</w:t>
            </w:r>
            <w:r>
              <w:rPr>
                <w:rFonts w:ascii="Calibri" w:hAnsi="Calibri" w:cs="Calibri" w:eastAsia="Calibri"/>
                <w:color w:val="auto"/>
                <w:spacing w:val="0"/>
                <w:position w:val="0"/>
                <w:sz w:val="18"/>
                <w:shd w:fill="auto" w:val="clear"/>
              </w:rPr>
              <w:t xml:space="preserve">ćine Doboj Istok</w:t>
            </w:r>
          </w:p>
          <w:p>
            <w:pPr>
              <w:numPr>
                <w:ilvl w:val="0"/>
                <w:numId w:val="2847"/>
              </w:numPr>
              <w:spacing w:before="0" w:after="0" w:line="240"/>
              <w:ind w:right="0" w:left="482"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Budžet Tuzlanskog kantona</w:t>
            </w:r>
          </w:p>
          <w:p>
            <w:pPr>
              <w:numPr>
                <w:ilvl w:val="0"/>
                <w:numId w:val="2847"/>
              </w:numPr>
              <w:spacing w:before="0" w:after="0" w:line="240"/>
              <w:ind w:right="0" w:left="482"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Fond za zaštitu okoliša Federacije BiH</w:t>
            </w:r>
          </w:p>
          <w:p>
            <w:pPr>
              <w:numPr>
                <w:ilvl w:val="0"/>
                <w:numId w:val="2847"/>
              </w:numPr>
              <w:spacing w:before="0" w:after="40" w:line="240"/>
              <w:ind w:right="0" w:left="482" w:hanging="357"/>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Me</w:t>
            </w:r>
            <w:r>
              <w:rPr>
                <w:rFonts w:ascii="Calibri" w:hAnsi="Calibri" w:cs="Calibri" w:eastAsia="Calibri"/>
                <w:color w:val="auto"/>
                <w:spacing w:val="0"/>
                <w:position w:val="0"/>
                <w:sz w:val="18"/>
                <w:shd w:fill="auto" w:val="clear"/>
              </w:rPr>
              <w:t xml:space="preserve">đunarodne razvojne organizacije (UNDP, EU, vlade i ambasade pojedinih zemalja, itd)</w:t>
            </w:r>
          </w:p>
        </w:tc>
      </w:tr>
      <w:tr>
        <w:trPr>
          <w:trHeight w:val="1124" w:hRule="auto"/>
          <w:jc w:val="left"/>
        </w:trPr>
        <w:tc>
          <w:tcPr>
            <w:tcW w:w="2093" w:type="dxa"/>
            <w:tcBorders>
              <w:top w:val="single" w:color="000000" w:sz="4"/>
              <w:left w:val="single" w:color="000000" w:sz="4"/>
              <w:bottom w:val="single" w:color="000000" w:sz="4"/>
              <w:right w:val="single" w:color="000000" w:sz="4"/>
            </w:tcBorders>
            <w:shd w:color="auto" w:fill="d9e2f3" w:val="clear"/>
            <w:tcMar>
              <w:left w:w="108" w:type="dxa"/>
              <w:right w:w="108" w:type="dxa"/>
            </w:tcMar>
            <w:vAlign w:val="center"/>
          </w:tcPr>
          <w:p>
            <w:pPr>
              <w:spacing w:before="40" w:after="40" w:line="240"/>
              <w:ind w:right="0" w:left="0" w:firstLine="0"/>
              <w:jc w:val="left"/>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Kratki opis mjere/komentari</w:t>
            </w:r>
          </w:p>
        </w:tc>
        <w:tc>
          <w:tcPr>
            <w:tcW w:w="73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40" w:after="0" w:line="240"/>
              <w:ind w:right="0" w:left="0" w:firstLine="0"/>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Mjera se  prvenstveno odnosi na nabavku opreme i uvo</w:t>
            </w:r>
            <w:r>
              <w:rPr>
                <w:rFonts w:ascii="Calibri" w:hAnsi="Calibri" w:cs="Calibri" w:eastAsia="Calibri"/>
                <w:color w:val="auto"/>
                <w:spacing w:val="0"/>
                <w:position w:val="0"/>
                <w:sz w:val="18"/>
                <w:shd w:fill="auto" w:val="clear"/>
              </w:rPr>
              <w:t xml:space="preserve">đenje frekventne regulacije za pumpe ukupne snage 100 kW, čime bi se u kasnijoj eksploataciji potrošnja električne energije smanjila za 292,32 MWh, a emisije CO</w:t>
            </w:r>
            <w:r>
              <w:rPr>
                <w:rFonts w:ascii="Calibri" w:hAnsi="Calibri" w:cs="Calibri" w:eastAsia="Calibri"/>
                <w:color w:val="auto"/>
                <w:spacing w:val="0"/>
                <w:position w:val="0"/>
                <w:sz w:val="18"/>
                <w:shd w:fill="auto" w:val="clear"/>
                <w:vertAlign w:val="subscript"/>
              </w:rPr>
              <w:t xml:space="preserve">2</w:t>
            </w:r>
            <w:r>
              <w:rPr>
                <w:rFonts w:ascii="Calibri" w:hAnsi="Calibri" w:cs="Calibri" w:eastAsia="Calibri"/>
                <w:color w:val="auto"/>
                <w:spacing w:val="0"/>
                <w:position w:val="0"/>
                <w:sz w:val="18"/>
                <w:shd w:fill="auto" w:val="clear"/>
              </w:rPr>
              <w:t xml:space="preserve"> za 222,17 tCO</w:t>
            </w:r>
            <w:r>
              <w:rPr>
                <w:rFonts w:ascii="Calibri" w:hAnsi="Calibri" w:cs="Calibri" w:eastAsia="Calibri"/>
                <w:color w:val="auto"/>
                <w:spacing w:val="0"/>
                <w:position w:val="0"/>
                <w:sz w:val="18"/>
                <w:shd w:fill="auto" w:val="clear"/>
                <w:vertAlign w:val="subscript"/>
              </w:rPr>
              <w:t xml:space="preserve">2</w:t>
            </w:r>
            <w:r>
              <w:rPr>
                <w:rFonts w:ascii="Calibri" w:hAnsi="Calibri" w:cs="Calibri" w:eastAsia="Calibri"/>
                <w:color w:val="auto"/>
                <w:spacing w:val="0"/>
                <w:position w:val="0"/>
                <w:sz w:val="18"/>
                <w:shd w:fill="auto" w:val="clear"/>
              </w:rPr>
              <w:t xml:space="preserve">. Istovremeno, smanjenjem gubitaka vode sa trenutnih 26,3% na 25,0% koje bi se postiglo rekonstrukcijom i sanacijom dijela mreže koji napajaju ove pumpe, ostvarilo bi se dodatno smanjenje potrošnje električne energije od 12,82 MWh, odnosno dodatno smanjenje emisija za 9,74 tCO</w:t>
            </w:r>
            <w:r>
              <w:rPr>
                <w:rFonts w:ascii="Calibri" w:hAnsi="Calibri" w:cs="Calibri" w:eastAsia="Calibri"/>
                <w:color w:val="auto"/>
                <w:spacing w:val="0"/>
                <w:position w:val="0"/>
                <w:sz w:val="18"/>
                <w:shd w:fill="auto" w:val="clear"/>
                <w:vertAlign w:val="subscript"/>
              </w:rPr>
              <w:t xml:space="preserve">2</w:t>
            </w:r>
            <w:r>
              <w:rPr>
                <w:rFonts w:ascii="Calibri" w:hAnsi="Calibri" w:cs="Calibri" w:eastAsia="Calibri"/>
                <w:color w:val="auto"/>
                <w:spacing w:val="0"/>
                <w:position w:val="0"/>
                <w:sz w:val="18"/>
                <w:shd w:fill="auto" w:val="clear"/>
              </w:rPr>
              <w:t xml:space="preserve"> što daje ukupno smanjenje potrošnje električne energije od 305,15 MWh i ukupno smanjenje emisija CO</w:t>
            </w:r>
            <w:r>
              <w:rPr>
                <w:rFonts w:ascii="Calibri" w:hAnsi="Calibri" w:cs="Calibri" w:eastAsia="Calibri"/>
                <w:color w:val="auto"/>
                <w:spacing w:val="0"/>
                <w:position w:val="0"/>
                <w:sz w:val="18"/>
                <w:shd w:fill="auto" w:val="clear"/>
                <w:vertAlign w:val="subscript"/>
              </w:rPr>
              <w:t xml:space="preserve">2</w:t>
            </w:r>
            <w:r>
              <w:rPr>
                <w:rFonts w:ascii="Calibri" w:hAnsi="Calibri" w:cs="Calibri" w:eastAsia="Calibri"/>
                <w:color w:val="auto"/>
                <w:spacing w:val="0"/>
                <w:position w:val="0"/>
                <w:sz w:val="18"/>
                <w:shd w:fill="auto" w:val="clear"/>
              </w:rPr>
              <w:t xml:space="preserve"> od  231,91 t.</w:t>
            </w:r>
          </w:p>
          <w:p>
            <w:pPr>
              <w:spacing w:before="40" w:after="0" w:line="240"/>
              <w:ind w:right="0" w:left="0" w:firstLine="0"/>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Prora</w:t>
            </w:r>
            <w:r>
              <w:rPr>
                <w:rFonts w:ascii="Calibri" w:hAnsi="Calibri" w:cs="Calibri" w:eastAsia="Calibri"/>
                <w:color w:val="auto"/>
                <w:spacing w:val="0"/>
                <w:position w:val="0"/>
                <w:sz w:val="18"/>
                <w:shd w:fill="auto" w:val="clear"/>
              </w:rPr>
              <w:t xml:space="preserve">čun je vršen uzimajući u obzir trenutni broj priključaka (2.750), te projekciju realnog rasta broja priključaka od prosječno 0,5% godišnje (cca 14 priključaka/godišnje). Osim toga, u obzir je uzet i nastavak dosadašnjeg trenda rasta godišnje količine isporučene vode za 0,3%.</w:t>
            </w:r>
          </w:p>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Provedbom navedene mjere u 2030. godini bi ukupna potrošnja elektri</w:t>
            </w:r>
            <w:r>
              <w:rPr>
                <w:rFonts w:ascii="Calibri" w:hAnsi="Calibri" w:cs="Calibri" w:eastAsia="Calibri"/>
                <w:color w:val="auto"/>
                <w:spacing w:val="0"/>
                <w:position w:val="0"/>
                <w:sz w:val="18"/>
                <w:shd w:fill="auto" w:val="clear"/>
              </w:rPr>
              <w:t xml:space="preserve">čne energije  na nivou sva 4 sistema iznosila 223,93 MWh, odnosno emisije CO</w:t>
            </w:r>
            <w:r>
              <w:rPr>
                <w:rFonts w:ascii="Calibri" w:hAnsi="Calibri" w:cs="Calibri" w:eastAsia="Calibri"/>
                <w:color w:val="auto"/>
                <w:spacing w:val="0"/>
                <w:position w:val="0"/>
                <w:sz w:val="18"/>
                <w:shd w:fill="auto" w:val="clear"/>
                <w:vertAlign w:val="subscript"/>
              </w:rPr>
              <w:t xml:space="preserve">2</w:t>
            </w:r>
            <w:r>
              <w:rPr>
                <w:rFonts w:ascii="Calibri" w:hAnsi="Calibri" w:cs="Calibri" w:eastAsia="Calibri"/>
                <w:color w:val="auto"/>
                <w:spacing w:val="0"/>
                <w:position w:val="0"/>
                <w:sz w:val="18"/>
                <w:shd w:fill="auto" w:val="clear"/>
              </w:rPr>
              <w:t xml:space="preserve"> bi iznosile 170,20 t.</w:t>
            </w:r>
          </w:p>
        </w:tc>
      </w:tr>
    </w:tbl>
    <w:p>
      <w:pPr>
        <w:keepNext w:val="true"/>
        <w:keepLines w:val="true"/>
        <w:numPr>
          <w:ilvl w:val="0"/>
          <w:numId w:val="2856"/>
        </w:numPr>
        <w:spacing w:before="240" w:after="120" w:line="240"/>
        <w:ind w:right="0" w:left="720" w:hanging="720"/>
        <w:jc w:val="both"/>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4"/>
          <w:shd w:fill="auto" w:val="clear"/>
        </w:rPr>
        <w:t xml:space="preserve">Klimatski, energetski i financijski efekti planiranih mjera smanjenja emisija CO</w:t>
      </w:r>
      <w:r>
        <w:rPr>
          <w:rFonts w:ascii="Calibri" w:hAnsi="Calibri" w:cs="Calibri" w:eastAsia="Calibri"/>
          <w:b/>
          <w:color w:val="auto"/>
          <w:spacing w:val="0"/>
          <w:position w:val="0"/>
          <w:sz w:val="24"/>
          <w:shd w:fill="auto" w:val="clear"/>
          <w:vertAlign w:val="subscript"/>
        </w:rPr>
        <w:t xml:space="preserve">2 </w:t>
      </w:r>
      <w:r>
        <w:rPr>
          <w:rFonts w:ascii="Calibri" w:hAnsi="Calibri" w:cs="Calibri" w:eastAsia="Calibri"/>
          <w:b/>
          <w:color w:val="auto"/>
          <w:spacing w:val="0"/>
          <w:position w:val="0"/>
          <w:sz w:val="24"/>
          <w:shd w:fill="auto" w:val="clear"/>
        </w:rPr>
        <w:t xml:space="preserve">sa dinami</w:t>
      </w:r>
      <w:r>
        <w:rPr>
          <w:rFonts w:ascii="Calibri" w:hAnsi="Calibri" w:cs="Calibri" w:eastAsia="Calibri"/>
          <w:b/>
          <w:color w:val="auto"/>
          <w:spacing w:val="0"/>
          <w:position w:val="0"/>
          <w:sz w:val="24"/>
          <w:shd w:fill="auto" w:val="clear"/>
        </w:rPr>
        <w:t xml:space="preserve">čkim planom realizacije mjera </w:t>
      </w:r>
    </w:p>
    <w:p>
      <w:pPr>
        <w:spacing w:before="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Plan mjera za ublažavanje posljedica klimatskih promjena sastavljen je od ukupno 9 mjera. Planom su predvi</w:t>
      </w:r>
      <w:r>
        <w:rPr>
          <w:rFonts w:ascii="Calibri" w:hAnsi="Calibri" w:cs="Calibri" w:eastAsia="Calibri"/>
          <w:color w:val="auto"/>
          <w:spacing w:val="0"/>
          <w:position w:val="0"/>
          <w:sz w:val="20"/>
          <w:shd w:fill="auto" w:val="clear"/>
        </w:rPr>
        <w:t xml:space="preserve">đene mjere za smanjenje emisija CO</w:t>
      </w:r>
      <w:r>
        <w:rPr>
          <w:rFonts w:ascii="Calibri" w:hAnsi="Calibri" w:cs="Calibri" w:eastAsia="Calibri"/>
          <w:color w:val="auto"/>
          <w:spacing w:val="0"/>
          <w:position w:val="0"/>
          <w:sz w:val="20"/>
          <w:shd w:fill="auto" w:val="clear"/>
          <w:vertAlign w:val="superscript"/>
        </w:rPr>
        <w:t xml:space="preserve">2</w:t>
      </w:r>
      <w:r>
        <w:rPr>
          <w:rFonts w:ascii="Calibri" w:hAnsi="Calibri" w:cs="Calibri" w:eastAsia="Calibri"/>
          <w:color w:val="auto"/>
          <w:spacing w:val="0"/>
          <w:position w:val="0"/>
          <w:sz w:val="20"/>
          <w:shd w:fill="auto" w:val="clear"/>
        </w:rPr>
        <w:t xml:space="preserve"> iz svih razmatranih sektora - zgradarstva, saobraćaja, javne rasvjete i vodosnabdijevanja. Smanjenje emisija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koje će se do 2030. godine postići realizacijom planiranih mjera za ublažavanje posljedica klimatskih promjena prikazano je na narednom dijagramu.</w:t>
      </w:r>
    </w:p>
    <w:p>
      <w:pPr>
        <w:spacing w:before="0" w:after="0" w:line="276"/>
        <w:ind w:right="0" w:left="0" w:firstLine="0"/>
        <w:jc w:val="both"/>
        <w:rPr>
          <w:rFonts w:ascii="Calibri" w:hAnsi="Calibri" w:cs="Calibri" w:eastAsia="Calibri"/>
          <w:color w:val="auto"/>
          <w:spacing w:val="0"/>
          <w:position w:val="0"/>
          <w:sz w:val="20"/>
          <w:shd w:fill="auto" w:val="clear"/>
        </w:rPr>
      </w:pPr>
    </w:p>
    <w:p>
      <w:pPr>
        <w:spacing w:before="60" w:after="160" w:line="240"/>
        <w:ind w:right="0" w:left="0" w:firstLine="0"/>
        <w:jc w:val="center"/>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Dijagram 539: Prikaz smanjenja emisija CO</w:t>
      </w:r>
      <w:r>
        <w:rPr>
          <w:rFonts w:ascii="Calibri" w:hAnsi="Calibri" w:cs="Calibri" w:eastAsia="Calibri"/>
          <w:color w:val="auto"/>
          <w:spacing w:val="0"/>
          <w:position w:val="0"/>
          <w:sz w:val="18"/>
          <w:shd w:fill="auto" w:val="clear"/>
          <w:vertAlign w:val="subscript"/>
        </w:rPr>
        <w:t xml:space="preserve">2</w:t>
      </w:r>
      <w:r>
        <w:rPr>
          <w:rFonts w:ascii="Calibri" w:hAnsi="Calibri" w:cs="Calibri" w:eastAsia="Calibri"/>
          <w:color w:val="auto"/>
          <w:spacing w:val="0"/>
          <w:position w:val="0"/>
          <w:sz w:val="18"/>
          <w:shd w:fill="auto" w:val="clear"/>
        </w:rPr>
        <w:t xml:space="preserve"> do 2030. godine iz razmatranih sektora</w:t>
      </w:r>
    </w:p>
    <w:p>
      <w:pPr>
        <w:spacing w:before="12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Kao rezultat realizacije planiranih mjera energetske efikasnosti, emisije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na podru</w:t>
      </w:r>
      <w:r>
        <w:rPr>
          <w:rFonts w:ascii="Calibri" w:hAnsi="Calibri" w:cs="Calibri" w:eastAsia="Calibri"/>
          <w:color w:val="auto"/>
          <w:spacing w:val="0"/>
          <w:position w:val="0"/>
          <w:sz w:val="20"/>
          <w:shd w:fill="auto" w:val="clear"/>
        </w:rPr>
        <w:t xml:space="preserve">čju općine Doboj Istok će se do 2030. godine smanjiti za 2.577 t</w:t>
      </w:r>
      <w:r>
        <w:rPr>
          <w:rFonts w:ascii="Calibri" w:hAnsi="Calibri" w:cs="Calibri" w:eastAsia="Calibri"/>
          <w:color w:val="auto"/>
          <w:spacing w:val="0"/>
          <w:position w:val="0"/>
          <w:sz w:val="20"/>
          <w:shd w:fill="auto" w:val="clear"/>
          <w:vertAlign w:val="subscript"/>
        </w:rPr>
        <w:t xml:space="preserve"> </w:t>
      </w:r>
      <w:r>
        <w:rPr>
          <w:rFonts w:ascii="Calibri" w:hAnsi="Calibri" w:cs="Calibri" w:eastAsia="Calibri"/>
          <w:color w:val="auto"/>
          <w:spacing w:val="0"/>
          <w:position w:val="0"/>
          <w:sz w:val="20"/>
          <w:shd w:fill="auto" w:val="clear"/>
        </w:rPr>
        <w:t xml:space="preserve">na godišnjem nivou. Kao što se vidi iz dijagrama, mjere su najvećim djelom fokusirane na smanjenje emisija CO</w:t>
      </w:r>
      <w:r>
        <w:rPr>
          <w:rFonts w:ascii="Calibri" w:hAnsi="Calibri" w:cs="Calibri" w:eastAsia="Calibri"/>
          <w:color w:val="auto"/>
          <w:spacing w:val="0"/>
          <w:position w:val="0"/>
          <w:sz w:val="20"/>
          <w:shd w:fill="auto" w:val="clear"/>
          <w:vertAlign w:val="subscript"/>
        </w:rPr>
        <w:t xml:space="preserve">2 </w:t>
      </w:r>
      <w:r>
        <w:rPr>
          <w:rFonts w:ascii="Calibri" w:hAnsi="Calibri" w:cs="Calibri" w:eastAsia="Calibri"/>
          <w:color w:val="auto"/>
          <w:spacing w:val="0"/>
          <w:position w:val="0"/>
          <w:sz w:val="20"/>
          <w:shd w:fill="auto" w:val="clear"/>
        </w:rPr>
        <w:t xml:space="preserve">iz stambenih zgrada, ali će njihova realizacija dovesti do značajnih smanjenja emisija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i u ostalim sektorima. </w:t>
      </w:r>
    </w:p>
    <w:p>
      <w:pPr>
        <w:spacing w:before="60" w:after="12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Pri planiranju i kreiranju mjera za ublažavanje klimatskih promjena posebna pažnja je posve</w:t>
      </w:r>
      <w:r>
        <w:rPr>
          <w:rFonts w:ascii="Calibri" w:hAnsi="Calibri" w:cs="Calibri" w:eastAsia="Calibri"/>
          <w:color w:val="auto"/>
          <w:spacing w:val="0"/>
          <w:position w:val="0"/>
          <w:sz w:val="20"/>
          <w:shd w:fill="auto" w:val="clear"/>
        </w:rPr>
        <w:t xml:space="preserve">ćena indikatorima financijske isplativosti mjera. Analize pokazuju da je većina planiranh mjera financijski prihvatljiva, jer ima pozitivnu neto sadašnju vrijednost (NPV), dok je prosječni period povrata investicije 11 godina. Na narednom dijagramu su za najznačajnije mjere prikazani životni vijek i period povrata investicije za njihovu realizaciju. </w:t>
      </w:r>
    </w:p>
    <w:p>
      <w:pPr>
        <w:spacing w:before="0" w:after="0" w:line="240"/>
        <w:ind w:right="0" w:left="0" w:firstLine="0"/>
        <w:jc w:val="center"/>
        <w:rPr>
          <w:rFonts w:ascii="Calibri" w:hAnsi="Calibri" w:cs="Calibri" w:eastAsia="Calibri"/>
          <w:color w:val="auto"/>
          <w:spacing w:val="0"/>
          <w:position w:val="0"/>
          <w:sz w:val="18"/>
          <w:shd w:fill="auto" w:val="clear"/>
        </w:rPr>
      </w:pPr>
    </w:p>
    <w:p>
      <w:pPr>
        <w:spacing w:before="60" w:after="200" w:line="240"/>
        <w:ind w:right="0" w:left="0" w:firstLine="0"/>
        <w:jc w:val="center"/>
        <w:rPr>
          <w:rFonts w:ascii="Calibri" w:hAnsi="Calibri" w:cs="Calibri" w:eastAsia="Calibri"/>
          <w:i/>
          <w:color w:val="auto"/>
          <w:spacing w:val="0"/>
          <w:position w:val="0"/>
          <w:sz w:val="18"/>
          <w:shd w:fill="FFFF00" w:val="clear"/>
        </w:rPr>
      </w:pPr>
      <w:r>
        <w:rPr>
          <w:rFonts w:ascii="Calibri" w:hAnsi="Calibri" w:cs="Calibri" w:eastAsia="Calibri"/>
          <w:i/>
          <w:color w:val="auto"/>
          <w:spacing w:val="0"/>
          <w:position w:val="0"/>
          <w:sz w:val="18"/>
          <w:shd w:fill="auto" w:val="clear"/>
        </w:rPr>
        <w:t xml:space="preserve">Dijagram 540: Životni vijek i period povrata investicije za planirane mjere ublažavanja klimatskih promjena</w:t>
      </w:r>
    </w:p>
    <w:p>
      <w:pPr>
        <w:spacing w:before="0" w:after="0" w:line="240"/>
        <w:ind w:right="0" w:left="0" w:firstLine="0"/>
        <w:jc w:val="center"/>
        <w:rPr>
          <w:rFonts w:ascii="Calibri" w:hAnsi="Calibri" w:cs="Calibri" w:eastAsia="Calibri"/>
          <w:i/>
          <w:color w:val="auto"/>
          <w:spacing w:val="0"/>
          <w:position w:val="0"/>
          <w:sz w:val="18"/>
          <w:shd w:fill="FFFF00" w:val="clear"/>
        </w:rPr>
      </w:pPr>
    </w:p>
    <w:p>
      <w:pPr>
        <w:spacing w:before="60" w:after="120" w:line="240"/>
        <w:ind w:right="0" w:left="0" w:firstLine="0"/>
        <w:jc w:val="both"/>
        <w:rPr>
          <w:rFonts w:ascii="Calibri" w:hAnsi="Calibri" w:cs="Calibri" w:eastAsia="Calibri"/>
          <w:color w:val="auto"/>
          <w:spacing w:val="0"/>
          <w:position w:val="0"/>
          <w:sz w:val="20"/>
          <w:shd w:fill="FFFF00" w:val="clear"/>
        </w:rPr>
      </w:pPr>
      <w:r>
        <w:rPr>
          <w:rFonts w:ascii="Calibri" w:hAnsi="Calibri" w:cs="Calibri" w:eastAsia="Calibri"/>
          <w:color w:val="auto"/>
          <w:spacing w:val="0"/>
          <w:position w:val="0"/>
          <w:sz w:val="20"/>
          <w:shd w:fill="auto" w:val="clear"/>
        </w:rPr>
        <w:t xml:space="preserve">U narednoj tabeli zbirno su predstavljeni klimatski, energetski i financijski efekti svih planiranih mjera za ublažavanje posljedica klimatskih promjena. </w:t>
      </w:r>
    </w:p>
    <w:tbl>
      <w:tblPr/>
      <w:tblGrid>
        <w:gridCol w:w="817"/>
        <w:gridCol w:w="4395"/>
        <w:gridCol w:w="1416"/>
        <w:gridCol w:w="1276"/>
        <w:gridCol w:w="1416"/>
        <w:gridCol w:w="994"/>
        <w:gridCol w:w="991"/>
        <w:gridCol w:w="852"/>
        <w:gridCol w:w="1276"/>
      </w:tblGrid>
      <w:tr>
        <w:trPr>
          <w:trHeight w:val="1" w:hRule="atLeast"/>
          <w:jc w:val="left"/>
        </w:trPr>
        <w:tc>
          <w:tcPr>
            <w:tcW w:w="817" w:type="dxa"/>
            <w:tcBorders>
              <w:top w:val="single" w:color="000000" w:sz="4"/>
              <w:left w:val="single" w:color="000000" w:sz="4"/>
              <w:bottom w:val="single" w:color="000000" w:sz="4"/>
              <w:right w:val="single" w:color="000000" w:sz="4"/>
            </w:tcBorders>
            <w:shd w:color="000000" w:fill="9cc2e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b/>
                <w:color w:val="000000"/>
                <w:spacing w:val="0"/>
                <w:position w:val="0"/>
                <w:sz w:val="16"/>
                <w:shd w:fill="auto" w:val="clear"/>
              </w:rPr>
              <w:t xml:space="preserve">Oznaka mjere</w:t>
            </w:r>
          </w:p>
        </w:tc>
        <w:tc>
          <w:tcPr>
            <w:tcW w:w="4395" w:type="dxa"/>
            <w:tcBorders>
              <w:top w:val="single" w:color="000000" w:sz="4"/>
              <w:left w:val="single" w:color="000000" w:sz="0"/>
              <w:bottom w:val="single" w:color="000000" w:sz="4"/>
              <w:right w:val="single" w:color="000000" w:sz="4"/>
            </w:tcBorders>
            <w:shd w:color="000000" w:fill="9cc2e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b/>
                <w:color w:val="000000"/>
                <w:spacing w:val="0"/>
                <w:position w:val="0"/>
                <w:sz w:val="16"/>
                <w:shd w:fill="auto" w:val="clear"/>
              </w:rPr>
              <w:t xml:space="preserve">NAZIV MJERE</w:t>
            </w:r>
          </w:p>
        </w:tc>
        <w:tc>
          <w:tcPr>
            <w:tcW w:w="1416" w:type="dxa"/>
            <w:tcBorders>
              <w:top w:val="single" w:color="000000" w:sz="4"/>
              <w:left w:val="single" w:color="000000" w:sz="0"/>
              <w:bottom w:val="single" w:color="000000" w:sz="4"/>
              <w:right w:val="single" w:color="000000" w:sz="4"/>
            </w:tcBorders>
            <w:shd w:color="000000" w:fill="9cc2e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b/>
                <w:color w:val="000000"/>
                <w:spacing w:val="0"/>
                <w:position w:val="0"/>
                <w:sz w:val="16"/>
                <w:shd w:fill="auto" w:val="clear"/>
              </w:rPr>
              <w:t xml:space="preserve">Investicija (KM)</w:t>
            </w:r>
          </w:p>
        </w:tc>
        <w:tc>
          <w:tcPr>
            <w:tcW w:w="1276" w:type="dxa"/>
            <w:tcBorders>
              <w:top w:val="single" w:color="000000" w:sz="4"/>
              <w:left w:val="single" w:color="000000" w:sz="0"/>
              <w:bottom w:val="single" w:color="000000" w:sz="4"/>
              <w:right w:val="single" w:color="000000" w:sz="4"/>
            </w:tcBorders>
            <w:shd w:color="000000" w:fill="9cc2e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b/>
                <w:color w:val="000000"/>
                <w:spacing w:val="0"/>
                <w:position w:val="0"/>
                <w:sz w:val="16"/>
                <w:shd w:fill="auto" w:val="clear"/>
              </w:rPr>
              <w:t xml:space="preserve">Energetske uštede (MWh)</w:t>
            </w:r>
          </w:p>
        </w:tc>
        <w:tc>
          <w:tcPr>
            <w:tcW w:w="1416" w:type="dxa"/>
            <w:tcBorders>
              <w:top w:val="single" w:color="000000" w:sz="4"/>
              <w:left w:val="single" w:color="000000" w:sz="0"/>
              <w:bottom w:val="single" w:color="000000" w:sz="4"/>
              <w:right w:val="single" w:color="000000" w:sz="4"/>
            </w:tcBorders>
            <w:shd w:color="000000" w:fill="9cc2e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b/>
                <w:color w:val="000000"/>
                <w:spacing w:val="0"/>
                <w:position w:val="0"/>
                <w:sz w:val="16"/>
                <w:shd w:fill="auto" w:val="clear"/>
              </w:rPr>
              <w:t xml:space="preserve">Smanjenje emisija CO</w:t>
            </w:r>
            <w:r>
              <w:rPr>
                <w:rFonts w:ascii="Calibri" w:hAnsi="Calibri" w:cs="Calibri" w:eastAsia="Calibri"/>
                <w:b/>
                <w:color w:val="000000"/>
                <w:spacing w:val="0"/>
                <w:position w:val="0"/>
                <w:sz w:val="16"/>
                <w:shd w:fill="auto" w:val="clear"/>
                <w:vertAlign w:val="subscript"/>
              </w:rPr>
              <w:t xml:space="preserve">2 </w:t>
            </w:r>
            <w:r>
              <w:rPr>
                <w:rFonts w:ascii="Calibri" w:hAnsi="Calibri" w:cs="Calibri" w:eastAsia="Calibri"/>
                <w:b/>
                <w:color w:val="000000"/>
                <w:spacing w:val="0"/>
                <w:position w:val="0"/>
                <w:sz w:val="16"/>
                <w:shd w:fill="auto" w:val="clear"/>
              </w:rPr>
              <w:t xml:space="preserve">(t)</w:t>
            </w:r>
          </w:p>
        </w:tc>
        <w:tc>
          <w:tcPr>
            <w:tcW w:w="994" w:type="dxa"/>
            <w:tcBorders>
              <w:top w:val="single" w:color="000000" w:sz="4"/>
              <w:left w:val="single" w:color="000000" w:sz="0"/>
              <w:bottom w:val="single" w:color="000000" w:sz="4"/>
              <w:right w:val="single" w:color="000000" w:sz="4"/>
            </w:tcBorders>
            <w:shd w:color="000000" w:fill="9cc2e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b/>
                <w:color w:val="000000"/>
                <w:spacing w:val="0"/>
                <w:position w:val="0"/>
                <w:sz w:val="16"/>
                <w:shd w:fill="auto" w:val="clear"/>
              </w:rPr>
              <w:t xml:space="preserve">Uštede u KM/god</w:t>
            </w:r>
          </w:p>
        </w:tc>
        <w:tc>
          <w:tcPr>
            <w:tcW w:w="991" w:type="dxa"/>
            <w:tcBorders>
              <w:top w:val="single" w:color="000000" w:sz="4"/>
              <w:left w:val="single" w:color="000000" w:sz="0"/>
              <w:bottom w:val="single" w:color="000000" w:sz="4"/>
              <w:right w:val="single" w:color="000000" w:sz="4"/>
            </w:tcBorders>
            <w:shd w:color="000000" w:fill="9cc2e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b/>
                <w:color w:val="000000"/>
                <w:spacing w:val="0"/>
                <w:position w:val="0"/>
                <w:sz w:val="16"/>
                <w:shd w:fill="auto" w:val="clear"/>
              </w:rPr>
              <w:t xml:space="preserve">Vijek trajanja mjere (god)</w:t>
            </w:r>
          </w:p>
        </w:tc>
        <w:tc>
          <w:tcPr>
            <w:tcW w:w="852" w:type="dxa"/>
            <w:tcBorders>
              <w:top w:val="single" w:color="000000" w:sz="4"/>
              <w:left w:val="single" w:color="000000" w:sz="0"/>
              <w:bottom w:val="single" w:color="000000" w:sz="4"/>
              <w:right w:val="single" w:color="000000" w:sz="4"/>
            </w:tcBorders>
            <w:shd w:color="000000" w:fill="9cc2e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b/>
                <w:color w:val="000000"/>
                <w:spacing w:val="0"/>
                <w:position w:val="0"/>
                <w:sz w:val="16"/>
                <w:shd w:fill="auto" w:val="clear"/>
              </w:rPr>
              <w:t xml:space="preserve">Period povrata</w:t>
              <w:br/>
              <w:t xml:space="preserve">(god)</w:t>
            </w:r>
          </w:p>
        </w:tc>
        <w:tc>
          <w:tcPr>
            <w:tcW w:w="1276" w:type="dxa"/>
            <w:tcBorders>
              <w:top w:val="single" w:color="000000" w:sz="4"/>
              <w:left w:val="single" w:color="000000" w:sz="0"/>
              <w:bottom w:val="single" w:color="000000" w:sz="4"/>
              <w:right w:val="single" w:color="000000" w:sz="4"/>
            </w:tcBorders>
            <w:shd w:color="000000" w:fill="9cc2e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b/>
                <w:color w:val="000000"/>
                <w:spacing w:val="0"/>
                <w:position w:val="0"/>
                <w:sz w:val="16"/>
                <w:shd w:fill="auto" w:val="clear"/>
              </w:rPr>
              <w:t xml:space="preserve">Neto sadašnja vrijednost mjere (KM)</w:t>
            </w:r>
          </w:p>
        </w:tc>
      </w:tr>
      <w:tr>
        <w:trPr>
          <w:trHeight w:val="1" w:hRule="atLeast"/>
          <w:jc w:val="left"/>
        </w:trPr>
        <w:tc>
          <w:tcPr>
            <w:tcW w:w="13433" w:type="dxa"/>
            <w:gridSpan w:val="9"/>
            <w:tcBorders>
              <w:top w:val="single" w:color="000000" w:sz="4"/>
              <w:left w:val="single" w:color="000000" w:sz="4"/>
              <w:bottom w:val="single" w:color="000000" w:sz="4"/>
              <w:right w:val="single" w:color="000000" w:sz="4"/>
            </w:tcBorders>
            <w:shd w:color="000000" w:fill="deeaf6"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b/>
                <w:i/>
                <w:color w:val="000000"/>
                <w:spacing w:val="0"/>
                <w:position w:val="0"/>
                <w:sz w:val="16"/>
                <w:shd w:fill="auto" w:val="clear"/>
              </w:rPr>
              <w:t xml:space="preserve">Me</w:t>
            </w:r>
            <w:r>
              <w:rPr>
                <w:rFonts w:ascii="Calibri" w:hAnsi="Calibri" w:cs="Calibri" w:eastAsia="Calibri"/>
                <w:b/>
                <w:i/>
                <w:color w:val="000000"/>
                <w:spacing w:val="0"/>
                <w:position w:val="0"/>
                <w:sz w:val="16"/>
                <w:shd w:fill="auto" w:val="clear"/>
              </w:rPr>
              <w:t xml:space="preserve">đusektorske mjere</w:t>
            </w:r>
          </w:p>
        </w:tc>
      </w:tr>
      <w:tr>
        <w:trPr>
          <w:trHeight w:val="1" w:hRule="atLeast"/>
          <w:jc w:val="left"/>
        </w:trPr>
        <w:tc>
          <w:tcPr>
            <w:tcW w:w="81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b/>
                <w:color w:val="000000"/>
                <w:spacing w:val="0"/>
                <w:position w:val="0"/>
                <w:sz w:val="16"/>
                <w:shd w:fill="auto" w:val="clear"/>
              </w:rPr>
              <w:t xml:space="preserve">MS-1</w:t>
            </w:r>
          </w:p>
        </w:tc>
        <w:tc>
          <w:tcPr>
            <w:tcW w:w="439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b/>
                <w:color w:val="000000"/>
                <w:spacing w:val="0"/>
                <w:position w:val="0"/>
                <w:sz w:val="16"/>
                <w:shd w:fill="auto" w:val="clear"/>
              </w:rPr>
              <w:t xml:space="preserve">Kontinuirana edukacija relevantnih uposlenika op</w:t>
            </w:r>
            <w:r>
              <w:rPr>
                <w:rFonts w:ascii="Calibri" w:hAnsi="Calibri" w:cs="Calibri" w:eastAsia="Calibri"/>
                <w:b/>
                <w:color w:val="000000"/>
                <w:spacing w:val="0"/>
                <w:position w:val="0"/>
                <w:sz w:val="16"/>
                <w:shd w:fill="auto" w:val="clear"/>
              </w:rPr>
              <w:t xml:space="preserve">ćine Doboj Istok i pripadajućih javnih preduzeća o zakonskim obavezama u oblasti sistemskog upravljanja energijom</w:t>
            </w:r>
          </w:p>
        </w:tc>
        <w:tc>
          <w:tcPr>
            <w:tcW w:w="141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50.000</w:t>
            </w:r>
          </w:p>
        </w:tc>
        <w:tc>
          <w:tcPr>
            <w:tcW w:w="127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41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99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99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5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7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13433" w:type="dxa"/>
            <w:gridSpan w:val="9"/>
            <w:tcBorders>
              <w:top w:val="single" w:color="000000" w:sz="4"/>
              <w:left w:val="single" w:color="000000" w:sz="4"/>
              <w:bottom w:val="single" w:color="000000" w:sz="4"/>
              <w:right w:val="single" w:color="000000" w:sz="4"/>
            </w:tcBorders>
            <w:shd w:color="auto" w:fill="8eaadb"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b/>
                <w:i/>
                <w:color w:val="000000"/>
                <w:spacing w:val="0"/>
                <w:position w:val="0"/>
                <w:sz w:val="16"/>
                <w:shd w:fill="auto" w:val="clear"/>
              </w:rPr>
              <w:t xml:space="preserve">Mjere za smanjenje emisije CO</w:t>
            </w:r>
            <w:r>
              <w:rPr>
                <w:rFonts w:ascii="Calibri" w:hAnsi="Calibri" w:cs="Calibri" w:eastAsia="Calibri"/>
                <w:b/>
                <w:i/>
                <w:color w:val="000000"/>
                <w:spacing w:val="0"/>
                <w:position w:val="0"/>
                <w:sz w:val="16"/>
                <w:shd w:fill="auto" w:val="clear"/>
                <w:vertAlign w:val="subscript"/>
              </w:rPr>
              <w:t xml:space="preserve">2</w:t>
            </w:r>
            <w:r>
              <w:rPr>
                <w:rFonts w:ascii="Calibri" w:hAnsi="Calibri" w:cs="Calibri" w:eastAsia="Calibri"/>
                <w:b/>
                <w:i/>
                <w:color w:val="000000"/>
                <w:spacing w:val="0"/>
                <w:position w:val="0"/>
                <w:sz w:val="16"/>
                <w:shd w:fill="auto" w:val="clear"/>
              </w:rPr>
              <w:t xml:space="preserve"> iz sektora zgradarstva</w:t>
            </w:r>
          </w:p>
        </w:tc>
      </w:tr>
      <w:tr>
        <w:trPr>
          <w:trHeight w:val="1" w:hRule="atLeast"/>
          <w:jc w:val="left"/>
        </w:trPr>
        <w:tc>
          <w:tcPr>
            <w:tcW w:w="13433" w:type="dxa"/>
            <w:gridSpan w:val="9"/>
            <w:tcBorders>
              <w:top w:val="single" w:color="000000" w:sz="4"/>
              <w:left w:val="single" w:color="000000" w:sz="4"/>
              <w:bottom w:val="single" w:color="000000" w:sz="4"/>
              <w:right w:val="single" w:color="000000" w:sz="4"/>
            </w:tcBorders>
            <w:shd w:color="000000" w:fill="deeaf6"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b/>
                <w:i/>
                <w:color w:val="000000"/>
                <w:spacing w:val="0"/>
                <w:position w:val="0"/>
                <w:sz w:val="16"/>
                <w:shd w:fill="auto" w:val="clear"/>
              </w:rPr>
              <w:t xml:space="preserve">Mjere za podsektor stambenih zgrada</w:t>
            </w:r>
          </w:p>
        </w:tc>
      </w:tr>
      <w:tr>
        <w:trPr>
          <w:trHeight w:val="1" w:hRule="atLeast"/>
          <w:jc w:val="left"/>
        </w:trPr>
        <w:tc>
          <w:tcPr>
            <w:tcW w:w="81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b/>
                <w:color w:val="000000"/>
                <w:spacing w:val="0"/>
                <w:position w:val="0"/>
                <w:sz w:val="16"/>
                <w:shd w:fill="auto" w:val="clear"/>
              </w:rPr>
              <w:t xml:space="preserve">SZ-1</w:t>
            </w:r>
          </w:p>
        </w:tc>
        <w:tc>
          <w:tcPr>
            <w:tcW w:w="439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spacing w:val="0"/>
                <w:position w:val="0"/>
              </w:rPr>
            </w:pPr>
            <w:r>
              <w:rPr>
                <w:rFonts w:ascii="Calibri" w:hAnsi="Calibri" w:cs="Calibri" w:eastAsia="Calibri"/>
                <w:b/>
                <w:color w:val="000000"/>
                <w:spacing w:val="0"/>
                <w:position w:val="0"/>
                <w:sz w:val="16"/>
                <w:shd w:fill="auto" w:val="clear"/>
              </w:rPr>
              <w:t xml:space="preserve">Informiranje javnosti o neophodnosti ublažavanja klimatskih promjena i kontinuirana edukacija gra</w:t>
            </w:r>
            <w:r>
              <w:rPr>
                <w:rFonts w:ascii="Calibri" w:hAnsi="Calibri" w:cs="Calibri" w:eastAsia="Calibri"/>
                <w:b/>
                <w:color w:val="000000"/>
                <w:spacing w:val="0"/>
                <w:position w:val="0"/>
                <w:sz w:val="16"/>
                <w:shd w:fill="auto" w:val="clear"/>
              </w:rPr>
              <w:t xml:space="preserve">đana o praktičnim aspektima energetske efikasnosti</w:t>
            </w:r>
          </w:p>
        </w:tc>
        <w:tc>
          <w:tcPr>
            <w:tcW w:w="141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50.000</w:t>
            </w:r>
          </w:p>
        </w:tc>
        <w:tc>
          <w:tcPr>
            <w:tcW w:w="127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416" w:type="dxa"/>
            <w:tcBorders>
              <w:top w:val="single" w:color="000000" w:sz="0"/>
              <w:left w:val="single" w:color="000000" w:sz="0"/>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994" w:type="dxa"/>
            <w:tcBorders>
              <w:top w:val="single" w:color="000000" w:sz="0"/>
              <w:left w:val="single" w:color="000000" w:sz="0"/>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991" w:type="dxa"/>
            <w:tcBorders>
              <w:top w:val="single" w:color="000000" w:sz="0"/>
              <w:left w:val="single" w:color="000000" w:sz="0"/>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52" w:type="dxa"/>
            <w:tcBorders>
              <w:top w:val="single" w:color="000000" w:sz="0"/>
              <w:left w:val="single" w:color="000000" w:sz="0"/>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76" w:type="dxa"/>
            <w:tcBorders>
              <w:top w:val="single" w:color="000000" w:sz="0"/>
              <w:left w:val="single" w:color="000000" w:sz="0"/>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b/>
                <w:color w:val="000000"/>
                <w:spacing w:val="0"/>
                <w:position w:val="0"/>
                <w:sz w:val="16"/>
                <w:shd w:fill="auto" w:val="clear"/>
              </w:rPr>
              <w:t xml:space="preserve">SZ-2</w:t>
            </w:r>
          </w:p>
        </w:tc>
        <w:tc>
          <w:tcPr>
            <w:tcW w:w="439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b/>
                <w:color w:val="000000"/>
                <w:spacing w:val="0"/>
                <w:position w:val="0"/>
                <w:sz w:val="16"/>
                <w:shd w:fill="auto" w:val="clear"/>
              </w:rPr>
              <w:t xml:space="preserve">Energetska obnova vanjske ovojnice stambenih zgrada individualnog stanovanja</w:t>
            </w:r>
          </w:p>
        </w:tc>
        <w:tc>
          <w:tcPr>
            <w:tcW w:w="141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700.000</w:t>
            </w:r>
          </w:p>
        </w:tc>
        <w:tc>
          <w:tcPr>
            <w:tcW w:w="127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2.833,11</w:t>
            </w:r>
          </w:p>
        </w:tc>
        <w:tc>
          <w:tcPr>
            <w:tcW w:w="141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749,00</w:t>
            </w:r>
          </w:p>
        </w:tc>
        <w:tc>
          <w:tcPr>
            <w:tcW w:w="99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57.106</w:t>
            </w:r>
          </w:p>
        </w:tc>
        <w:tc>
          <w:tcPr>
            <w:tcW w:w="99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30</w:t>
            </w:r>
          </w:p>
        </w:tc>
        <w:tc>
          <w:tcPr>
            <w:tcW w:w="85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12</w:t>
            </w:r>
          </w:p>
        </w:tc>
        <w:tc>
          <w:tcPr>
            <w:tcW w:w="127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177.857</w:t>
            </w:r>
          </w:p>
        </w:tc>
      </w:tr>
      <w:tr>
        <w:trPr>
          <w:trHeight w:val="1" w:hRule="atLeast"/>
          <w:jc w:val="left"/>
        </w:trPr>
        <w:tc>
          <w:tcPr>
            <w:tcW w:w="81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b/>
                <w:color w:val="000000"/>
                <w:spacing w:val="0"/>
                <w:position w:val="0"/>
                <w:sz w:val="16"/>
                <w:shd w:fill="auto" w:val="clear"/>
              </w:rPr>
              <w:t xml:space="preserve">SZ-3</w:t>
            </w:r>
          </w:p>
        </w:tc>
        <w:tc>
          <w:tcPr>
            <w:tcW w:w="439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b/>
                <w:color w:val="000000"/>
                <w:spacing w:val="0"/>
                <w:position w:val="0"/>
                <w:sz w:val="16"/>
                <w:shd w:fill="auto" w:val="clear"/>
              </w:rPr>
              <w:t xml:space="preserve">Poboljšanje energetskih karakteristika postoje</w:t>
            </w:r>
            <w:r>
              <w:rPr>
                <w:rFonts w:ascii="Calibri" w:hAnsi="Calibri" w:cs="Calibri" w:eastAsia="Calibri"/>
                <w:b/>
                <w:color w:val="000000"/>
                <w:spacing w:val="0"/>
                <w:position w:val="0"/>
                <w:sz w:val="16"/>
                <w:shd w:fill="auto" w:val="clear"/>
              </w:rPr>
              <w:t xml:space="preserve">ćih i ugradnja novih energetski efikasnih sistema grijanja u stambenim zgradama individualnog stanovanja</w:t>
            </w:r>
          </w:p>
        </w:tc>
        <w:tc>
          <w:tcPr>
            <w:tcW w:w="141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900.000</w:t>
            </w:r>
          </w:p>
        </w:tc>
        <w:tc>
          <w:tcPr>
            <w:tcW w:w="127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870,25</w:t>
            </w:r>
          </w:p>
        </w:tc>
        <w:tc>
          <w:tcPr>
            <w:tcW w:w="141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771,15</w:t>
            </w:r>
          </w:p>
        </w:tc>
        <w:tc>
          <w:tcPr>
            <w:tcW w:w="99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58.795</w:t>
            </w:r>
          </w:p>
        </w:tc>
        <w:tc>
          <w:tcPr>
            <w:tcW w:w="99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15</w:t>
            </w:r>
          </w:p>
        </w:tc>
        <w:tc>
          <w:tcPr>
            <w:tcW w:w="85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15</w:t>
            </w:r>
          </w:p>
        </w:tc>
        <w:tc>
          <w:tcPr>
            <w:tcW w:w="127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                 289.732</w:t>
            </w:r>
          </w:p>
        </w:tc>
      </w:tr>
      <w:tr>
        <w:trPr>
          <w:trHeight w:val="1" w:hRule="atLeast"/>
          <w:jc w:val="left"/>
        </w:trPr>
        <w:tc>
          <w:tcPr>
            <w:tcW w:w="13433" w:type="dxa"/>
            <w:gridSpan w:val="9"/>
            <w:tcBorders>
              <w:top w:val="single" w:color="000000" w:sz="4"/>
              <w:left w:val="single" w:color="000000" w:sz="4"/>
              <w:bottom w:val="single" w:color="000000" w:sz="4"/>
              <w:right w:val="single" w:color="000000" w:sz="4"/>
            </w:tcBorders>
            <w:shd w:color="000000" w:fill="deeaf6"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i/>
                <w:color w:val="000000"/>
                <w:spacing w:val="0"/>
                <w:position w:val="0"/>
                <w:sz w:val="16"/>
                <w:shd w:fill="auto" w:val="clear"/>
              </w:rPr>
              <w:t xml:space="preserve">Mjere za podsektor javne zgrade u vlasništvu Op</w:t>
            </w:r>
            <w:r>
              <w:rPr>
                <w:rFonts w:ascii="Calibri" w:hAnsi="Calibri" w:cs="Calibri" w:eastAsia="Calibri"/>
                <w:i/>
                <w:color w:val="000000"/>
                <w:spacing w:val="0"/>
                <w:position w:val="0"/>
                <w:sz w:val="16"/>
                <w:shd w:fill="auto" w:val="clear"/>
              </w:rPr>
              <w:t xml:space="preserve">ćine</w:t>
            </w:r>
          </w:p>
        </w:tc>
      </w:tr>
      <w:tr>
        <w:trPr>
          <w:trHeight w:val="1" w:hRule="atLeast"/>
          <w:jc w:val="left"/>
        </w:trPr>
        <w:tc>
          <w:tcPr>
            <w:tcW w:w="81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JZG-1</w:t>
            </w:r>
          </w:p>
        </w:tc>
        <w:tc>
          <w:tcPr>
            <w:tcW w:w="439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Integralna energetska obnova javnih zgrada u vlasništvu Op</w:t>
            </w:r>
            <w:r>
              <w:rPr>
                <w:rFonts w:ascii="Calibri" w:hAnsi="Calibri" w:cs="Calibri" w:eastAsia="Calibri"/>
                <w:color w:val="000000"/>
                <w:spacing w:val="0"/>
                <w:position w:val="0"/>
                <w:sz w:val="16"/>
                <w:shd w:fill="auto" w:val="clear"/>
              </w:rPr>
              <w:t xml:space="preserve">ćine Doboj Istok u kojima se kao energent za grijanje koriste fosilna goriva</w:t>
            </w:r>
          </w:p>
        </w:tc>
        <w:tc>
          <w:tcPr>
            <w:tcW w:w="141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248.500</w:t>
            </w:r>
          </w:p>
        </w:tc>
        <w:tc>
          <w:tcPr>
            <w:tcW w:w="127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646,35</w:t>
            </w:r>
          </w:p>
        </w:tc>
        <w:tc>
          <w:tcPr>
            <w:tcW w:w="141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368,31</w:t>
            </w:r>
          </w:p>
        </w:tc>
        <w:tc>
          <w:tcPr>
            <w:tcW w:w="99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65.075</w:t>
            </w:r>
          </w:p>
        </w:tc>
        <w:tc>
          <w:tcPr>
            <w:tcW w:w="99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25</w:t>
            </w:r>
          </w:p>
        </w:tc>
        <w:tc>
          <w:tcPr>
            <w:tcW w:w="85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4</w:t>
            </w:r>
          </w:p>
        </w:tc>
        <w:tc>
          <w:tcPr>
            <w:tcW w:w="127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668.663</w:t>
            </w:r>
          </w:p>
        </w:tc>
      </w:tr>
      <w:tr>
        <w:trPr>
          <w:trHeight w:val="1" w:hRule="atLeast"/>
          <w:jc w:val="left"/>
        </w:trPr>
        <w:tc>
          <w:tcPr>
            <w:tcW w:w="13433" w:type="dxa"/>
            <w:gridSpan w:val="9"/>
            <w:tcBorders>
              <w:top w:val="single" w:color="000000" w:sz="4"/>
              <w:left w:val="single" w:color="000000" w:sz="4"/>
              <w:bottom w:val="single" w:color="000000" w:sz="4"/>
              <w:right w:val="single" w:color="000000" w:sz="4"/>
            </w:tcBorders>
            <w:shd w:color="000000" w:fill="deeaf6"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i/>
                <w:color w:val="000000"/>
                <w:spacing w:val="0"/>
                <w:position w:val="0"/>
                <w:sz w:val="16"/>
                <w:shd w:fill="auto" w:val="clear"/>
              </w:rPr>
              <w:t xml:space="preserve">Mjere za podsektor javne zgrade koje nisu u vlasništvu Op</w:t>
            </w:r>
            <w:r>
              <w:rPr>
                <w:rFonts w:ascii="Calibri" w:hAnsi="Calibri" w:cs="Calibri" w:eastAsia="Calibri"/>
                <w:i/>
                <w:color w:val="000000"/>
                <w:spacing w:val="0"/>
                <w:position w:val="0"/>
                <w:sz w:val="16"/>
                <w:shd w:fill="auto" w:val="clear"/>
              </w:rPr>
              <w:t xml:space="preserve">ćine</w:t>
            </w:r>
          </w:p>
        </w:tc>
      </w:tr>
      <w:tr>
        <w:trPr>
          <w:trHeight w:val="1" w:hRule="atLeast"/>
          <w:jc w:val="left"/>
        </w:trPr>
        <w:tc>
          <w:tcPr>
            <w:tcW w:w="81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JZO-1</w:t>
            </w:r>
          </w:p>
        </w:tc>
        <w:tc>
          <w:tcPr>
            <w:tcW w:w="439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U</w:t>
            </w:r>
            <w:r>
              <w:rPr>
                <w:rFonts w:ascii="Calibri" w:hAnsi="Calibri" w:cs="Calibri" w:eastAsia="Calibri"/>
                <w:color w:val="000000"/>
                <w:spacing w:val="0"/>
                <w:position w:val="0"/>
                <w:sz w:val="16"/>
                <w:shd w:fill="auto" w:val="clear"/>
              </w:rPr>
              <w:t xml:space="preserve">češće u integralnoj obnovi javnih zgrada koje nisu u vlasništvu Općine u kojima se kao energent za grijanje koriste fosilna goriva</w:t>
            </w:r>
          </w:p>
        </w:tc>
        <w:tc>
          <w:tcPr>
            <w:tcW w:w="141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442.250</w:t>
            </w:r>
          </w:p>
        </w:tc>
        <w:tc>
          <w:tcPr>
            <w:tcW w:w="127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606,74</w:t>
            </w:r>
          </w:p>
        </w:tc>
        <w:tc>
          <w:tcPr>
            <w:tcW w:w="141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231,22</w:t>
            </w:r>
          </w:p>
        </w:tc>
        <w:tc>
          <w:tcPr>
            <w:tcW w:w="99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17.629</w:t>
            </w:r>
          </w:p>
        </w:tc>
        <w:tc>
          <w:tcPr>
            <w:tcW w:w="99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25</w:t>
            </w:r>
          </w:p>
        </w:tc>
        <w:tc>
          <w:tcPr>
            <w:tcW w:w="85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25</w:t>
            </w:r>
          </w:p>
        </w:tc>
        <w:tc>
          <w:tcPr>
            <w:tcW w:w="127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                 193.790</w:t>
            </w:r>
          </w:p>
        </w:tc>
      </w:tr>
      <w:tr>
        <w:trPr>
          <w:trHeight w:val="1" w:hRule="atLeast"/>
          <w:jc w:val="left"/>
        </w:trPr>
        <w:tc>
          <w:tcPr>
            <w:tcW w:w="13433" w:type="dxa"/>
            <w:gridSpan w:val="9"/>
            <w:tcBorders>
              <w:top w:val="single" w:color="000000" w:sz="4"/>
              <w:left w:val="single" w:color="000000" w:sz="4"/>
              <w:bottom w:val="single" w:color="000000" w:sz="4"/>
              <w:right w:val="single" w:color="000000" w:sz="4"/>
            </w:tcBorders>
            <w:shd w:color="000000" w:fill="bdd7ee"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i/>
                <w:color w:val="000000"/>
                <w:spacing w:val="0"/>
                <w:position w:val="0"/>
                <w:sz w:val="16"/>
                <w:shd w:fill="auto" w:val="clear"/>
              </w:rPr>
              <w:t xml:space="preserve">Mjere za smanjenje emisije CO</w:t>
            </w:r>
            <w:r>
              <w:rPr>
                <w:rFonts w:ascii="Calibri" w:hAnsi="Calibri" w:cs="Calibri" w:eastAsia="Calibri"/>
                <w:i/>
                <w:color w:val="000000"/>
                <w:spacing w:val="0"/>
                <w:position w:val="0"/>
                <w:sz w:val="16"/>
                <w:shd w:fill="auto" w:val="clear"/>
                <w:vertAlign w:val="subscript"/>
              </w:rPr>
              <w:t xml:space="preserve">2</w:t>
            </w:r>
            <w:r>
              <w:rPr>
                <w:rFonts w:ascii="Calibri" w:hAnsi="Calibri" w:cs="Calibri" w:eastAsia="Calibri"/>
                <w:i/>
                <w:color w:val="000000"/>
                <w:spacing w:val="0"/>
                <w:position w:val="0"/>
                <w:sz w:val="16"/>
                <w:shd w:fill="auto" w:val="clear"/>
              </w:rPr>
              <w:t xml:space="preserve"> iz sektora saobra</w:t>
            </w:r>
            <w:r>
              <w:rPr>
                <w:rFonts w:ascii="Calibri" w:hAnsi="Calibri" w:cs="Calibri" w:eastAsia="Calibri"/>
                <w:i/>
                <w:color w:val="000000"/>
                <w:spacing w:val="0"/>
                <w:position w:val="0"/>
                <w:sz w:val="16"/>
                <w:shd w:fill="auto" w:val="clear"/>
              </w:rPr>
              <w:t xml:space="preserve">ćaja</w:t>
            </w:r>
          </w:p>
        </w:tc>
      </w:tr>
      <w:tr>
        <w:trPr>
          <w:trHeight w:val="1" w:hRule="atLeast"/>
          <w:jc w:val="left"/>
        </w:trPr>
        <w:tc>
          <w:tcPr>
            <w:tcW w:w="81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SG-1</w:t>
            </w:r>
          </w:p>
        </w:tc>
        <w:tc>
          <w:tcPr>
            <w:tcW w:w="439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Nabavka elektri</w:t>
            </w:r>
            <w:r>
              <w:rPr>
                <w:rFonts w:ascii="Calibri" w:hAnsi="Calibri" w:cs="Calibri" w:eastAsia="Calibri"/>
                <w:color w:val="000000"/>
                <w:spacing w:val="0"/>
                <w:position w:val="0"/>
                <w:sz w:val="16"/>
                <w:shd w:fill="auto" w:val="clear"/>
              </w:rPr>
              <w:t xml:space="preserve">čnih vozila u vlasništvu Općine sa smanjenom emisijom stakleničkih gasova</w:t>
            </w:r>
          </w:p>
        </w:tc>
        <w:tc>
          <w:tcPr>
            <w:tcW w:w="141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180.000</w:t>
            </w:r>
          </w:p>
        </w:tc>
        <w:tc>
          <w:tcPr>
            <w:tcW w:w="127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19,94</w:t>
            </w:r>
          </w:p>
        </w:tc>
        <w:tc>
          <w:tcPr>
            <w:tcW w:w="141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4,89</w:t>
            </w:r>
          </w:p>
        </w:tc>
        <w:tc>
          <w:tcPr>
            <w:tcW w:w="99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812</w:t>
            </w:r>
          </w:p>
        </w:tc>
        <w:tc>
          <w:tcPr>
            <w:tcW w:w="99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10</w:t>
            </w:r>
          </w:p>
        </w:tc>
        <w:tc>
          <w:tcPr>
            <w:tcW w:w="85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222</w:t>
            </w:r>
          </w:p>
        </w:tc>
        <w:tc>
          <w:tcPr>
            <w:tcW w:w="127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                 173.731</w:t>
            </w:r>
          </w:p>
        </w:tc>
      </w:tr>
      <w:tr>
        <w:trPr>
          <w:trHeight w:val="1" w:hRule="atLeast"/>
          <w:jc w:val="left"/>
        </w:trPr>
        <w:tc>
          <w:tcPr>
            <w:tcW w:w="13433" w:type="dxa"/>
            <w:gridSpan w:val="9"/>
            <w:tcBorders>
              <w:top w:val="single" w:color="000000" w:sz="4"/>
              <w:left w:val="single" w:color="000000" w:sz="4"/>
              <w:bottom w:val="single" w:color="000000" w:sz="4"/>
              <w:right w:val="single" w:color="000000" w:sz="4"/>
            </w:tcBorders>
            <w:shd w:color="000000" w:fill="bdd7ee"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i/>
                <w:color w:val="000000"/>
                <w:spacing w:val="0"/>
                <w:position w:val="0"/>
                <w:sz w:val="16"/>
                <w:shd w:fill="auto" w:val="clear"/>
              </w:rPr>
              <w:t xml:space="preserve">Mjere za smanjenje emisije CO</w:t>
            </w:r>
            <w:r>
              <w:rPr>
                <w:rFonts w:ascii="Calibri" w:hAnsi="Calibri" w:cs="Calibri" w:eastAsia="Calibri"/>
                <w:i/>
                <w:color w:val="000000"/>
                <w:spacing w:val="0"/>
                <w:position w:val="0"/>
                <w:sz w:val="16"/>
                <w:shd w:fill="auto" w:val="clear"/>
                <w:vertAlign w:val="subscript"/>
              </w:rPr>
              <w:t xml:space="preserve">2</w:t>
            </w:r>
            <w:r>
              <w:rPr>
                <w:rFonts w:ascii="Calibri" w:hAnsi="Calibri" w:cs="Calibri" w:eastAsia="Calibri"/>
                <w:i/>
                <w:color w:val="000000"/>
                <w:spacing w:val="0"/>
                <w:position w:val="0"/>
                <w:sz w:val="16"/>
                <w:shd w:fill="auto" w:val="clear"/>
              </w:rPr>
              <w:t xml:space="preserve"> iz sektora javna rasvjeta</w:t>
            </w:r>
          </w:p>
        </w:tc>
      </w:tr>
      <w:tr>
        <w:trPr>
          <w:trHeight w:val="1" w:hRule="atLeast"/>
          <w:jc w:val="left"/>
        </w:trPr>
        <w:tc>
          <w:tcPr>
            <w:tcW w:w="817" w:type="dxa"/>
            <w:tcBorders>
              <w:top w:val="single" w:color="000000" w:sz="0"/>
              <w:left w:val="single" w:color="000000" w:sz="4"/>
              <w:bottom w:val="single" w:color="000000" w:sz="0"/>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JR-1</w:t>
            </w:r>
          </w:p>
        </w:tc>
        <w:tc>
          <w:tcPr>
            <w:tcW w:w="4395" w:type="dxa"/>
            <w:tcBorders>
              <w:top w:val="single" w:color="000000" w:sz="0"/>
              <w:left w:val="single" w:color="000000" w:sz="0"/>
              <w:bottom w:val="single" w:color="000000" w:sz="0"/>
              <w:right w:val="single" w:color="000000" w:sz="4"/>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Zamjena energetski neefikasnih rasvjetnih tijela visokoefikasnim i okolišno prihvatljivijim rasvjetnim tijelima</w:t>
            </w:r>
          </w:p>
        </w:tc>
        <w:tc>
          <w:tcPr>
            <w:tcW w:w="1416" w:type="dxa"/>
            <w:tcBorders>
              <w:top w:val="single" w:color="000000" w:sz="0"/>
              <w:left w:val="single" w:color="000000" w:sz="0"/>
              <w:bottom w:val="single" w:color="000000" w:sz="0"/>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373.000</w:t>
            </w:r>
          </w:p>
        </w:tc>
        <w:tc>
          <w:tcPr>
            <w:tcW w:w="127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290,56</w:t>
            </w:r>
          </w:p>
        </w:tc>
        <w:tc>
          <w:tcPr>
            <w:tcW w:w="1416" w:type="dxa"/>
            <w:tcBorders>
              <w:top w:val="single" w:color="000000" w:sz="0"/>
              <w:left w:val="single" w:color="000000" w:sz="0"/>
              <w:bottom w:val="single" w:color="000000" w:sz="0"/>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220,82</w:t>
            </w:r>
          </w:p>
        </w:tc>
        <w:tc>
          <w:tcPr>
            <w:tcW w:w="99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46.350</w:t>
            </w:r>
          </w:p>
        </w:tc>
        <w:tc>
          <w:tcPr>
            <w:tcW w:w="99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12</w:t>
            </w:r>
          </w:p>
        </w:tc>
        <w:tc>
          <w:tcPr>
            <w:tcW w:w="85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8</w:t>
            </w:r>
          </w:p>
        </w:tc>
        <w:tc>
          <w:tcPr>
            <w:tcW w:w="127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37.813</w:t>
            </w:r>
          </w:p>
        </w:tc>
      </w:tr>
      <w:tr>
        <w:trPr>
          <w:trHeight w:val="1" w:hRule="atLeast"/>
          <w:jc w:val="left"/>
        </w:trPr>
        <w:tc>
          <w:tcPr>
            <w:tcW w:w="13433" w:type="dxa"/>
            <w:gridSpan w:val="9"/>
            <w:tcBorders>
              <w:top w:val="single" w:color="000000" w:sz="4"/>
              <w:left w:val="single" w:color="000000" w:sz="4"/>
              <w:bottom w:val="single" w:color="000000" w:sz="4"/>
              <w:right w:val="single" w:color="000000" w:sz="4"/>
            </w:tcBorders>
            <w:shd w:color="000000" w:fill="bdd7ee"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i/>
                <w:color w:val="000000"/>
                <w:spacing w:val="0"/>
                <w:position w:val="0"/>
                <w:sz w:val="16"/>
                <w:shd w:fill="auto" w:val="clear"/>
              </w:rPr>
              <w:t xml:space="preserve">Mjere za smanjenje emisije CO</w:t>
            </w:r>
            <w:r>
              <w:rPr>
                <w:rFonts w:ascii="Calibri" w:hAnsi="Calibri" w:cs="Calibri" w:eastAsia="Calibri"/>
                <w:i/>
                <w:color w:val="000000"/>
                <w:spacing w:val="0"/>
                <w:position w:val="0"/>
                <w:sz w:val="16"/>
                <w:shd w:fill="auto" w:val="clear"/>
                <w:vertAlign w:val="subscript"/>
              </w:rPr>
              <w:t xml:space="preserve">2</w:t>
            </w:r>
            <w:r>
              <w:rPr>
                <w:rFonts w:ascii="Calibri" w:hAnsi="Calibri" w:cs="Calibri" w:eastAsia="Calibri"/>
                <w:i/>
                <w:color w:val="000000"/>
                <w:spacing w:val="0"/>
                <w:position w:val="0"/>
                <w:sz w:val="16"/>
                <w:shd w:fill="auto" w:val="clear"/>
              </w:rPr>
              <w:t xml:space="preserve"> iz sektora vodosnabdijevanje</w:t>
            </w:r>
          </w:p>
        </w:tc>
      </w:tr>
      <w:tr>
        <w:trPr>
          <w:trHeight w:val="1" w:hRule="atLeast"/>
          <w:jc w:val="left"/>
        </w:trPr>
        <w:tc>
          <w:tcPr>
            <w:tcW w:w="81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SV-1</w:t>
            </w:r>
          </w:p>
        </w:tc>
        <w:tc>
          <w:tcPr>
            <w:tcW w:w="439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16"/>
                <w:shd w:fill="auto" w:val="clear"/>
              </w:rPr>
              <w:t xml:space="preserve">Smanjenje potrošnje elektri</w:t>
            </w:r>
            <w:r>
              <w:rPr>
                <w:rFonts w:ascii="Calibri" w:hAnsi="Calibri" w:cs="Calibri" w:eastAsia="Calibri"/>
                <w:color w:val="auto"/>
                <w:spacing w:val="0"/>
                <w:position w:val="0"/>
                <w:sz w:val="16"/>
                <w:shd w:fill="auto" w:val="clear"/>
              </w:rPr>
              <w:t xml:space="preserve">čne energije i emisija CO</w:t>
            </w:r>
            <w:r>
              <w:rPr>
                <w:rFonts w:ascii="Calibri" w:hAnsi="Calibri" w:cs="Calibri" w:eastAsia="Calibri"/>
                <w:color w:val="auto"/>
                <w:spacing w:val="0"/>
                <w:position w:val="0"/>
                <w:sz w:val="16"/>
                <w:shd w:fill="auto" w:val="clear"/>
                <w:vertAlign w:val="subscript"/>
              </w:rPr>
              <w:t xml:space="preserve">2</w:t>
            </w:r>
            <w:r>
              <w:rPr>
                <w:rFonts w:ascii="Calibri" w:hAnsi="Calibri" w:cs="Calibri" w:eastAsia="Calibri"/>
                <w:color w:val="auto"/>
                <w:spacing w:val="0"/>
                <w:position w:val="0"/>
                <w:sz w:val="16"/>
                <w:shd w:fill="auto" w:val="clear"/>
              </w:rPr>
              <w:t xml:space="preserve"> u sistemu vodosnabdijevanja uvođenjem frekventne regulacije rada trenutno nereguliranih pumpi</w:t>
            </w:r>
          </w:p>
        </w:tc>
        <w:tc>
          <w:tcPr>
            <w:tcW w:w="141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11.369</w:t>
            </w:r>
          </w:p>
        </w:tc>
        <w:tc>
          <w:tcPr>
            <w:tcW w:w="127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305,15</w:t>
            </w:r>
          </w:p>
        </w:tc>
        <w:tc>
          <w:tcPr>
            <w:tcW w:w="141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231,91</w:t>
            </w:r>
          </w:p>
        </w:tc>
        <w:tc>
          <w:tcPr>
            <w:tcW w:w="99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51.948</w:t>
            </w:r>
          </w:p>
        </w:tc>
        <w:tc>
          <w:tcPr>
            <w:tcW w:w="99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15</w:t>
            </w:r>
          </w:p>
        </w:tc>
        <w:tc>
          <w:tcPr>
            <w:tcW w:w="85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0,2</w:t>
            </w:r>
          </w:p>
        </w:tc>
        <w:tc>
          <w:tcPr>
            <w:tcW w:w="127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527.832</w:t>
            </w:r>
          </w:p>
        </w:tc>
      </w:tr>
      <w:tr>
        <w:trPr>
          <w:trHeight w:val="1" w:hRule="atLeast"/>
          <w:jc w:val="left"/>
        </w:trPr>
        <w:tc>
          <w:tcPr>
            <w:tcW w:w="5212" w:type="dxa"/>
            <w:gridSpan w:val="2"/>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b/>
                <w:color w:val="000000"/>
                <w:spacing w:val="0"/>
                <w:position w:val="0"/>
                <w:sz w:val="16"/>
                <w:shd w:fill="auto" w:val="clear"/>
              </w:rPr>
              <w:t xml:space="preserve">UKUPNO</w:t>
            </w:r>
          </w:p>
        </w:tc>
        <w:tc>
          <w:tcPr>
            <w:tcW w:w="141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b/>
                <w:color w:val="000000"/>
                <w:spacing w:val="0"/>
                <w:position w:val="0"/>
                <w:sz w:val="16"/>
                <w:shd w:fill="auto" w:val="clear"/>
              </w:rPr>
              <w:t xml:space="preserve">2.955.119</w:t>
            </w:r>
          </w:p>
        </w:tc>
        <w:tc>
          <w:tcPr>
            <w:tcW w:w="127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b/>
                <w:color w:val="000000"/>
                <w:spacing w:val="0"/>
                <w:position w:val="0"/>
                <w:sz w:val="16"/>
                <w:shd w:fill="auto" w:val="clear"/>
              </w:rPr>
              <w:t xml:space="preserve">5.572</w:t>
            </w:r>
          </w:p>
        </w:tc>
        <w:tc>
          <w:tcPr>
            <w:tcW w:w="141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b/>
                <w:color w:val="000000"/>
                <w:spacing w:val="0"/>
                <w:position w:val="0"/>
                <w:sz w:val="16"/>
                <w:shd w:fill="auto" w:val="clear"/>
              </w:rPr>
              <w:t xml:space="preserve">2.577</w:t>
            </w:r>
          </w:p>
        </w:tc>
        <w:tc>
          <w:tcPr>
            <w:tcW w:w="99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b/>
                <w:color w:val="000000"/>
                <w:spacing w:val="0"/>
                <w:position w:val="0"/>
                <w:sz w:val="16"/>
                <w:shd w:fill="auto" w:val="clear"/>
              </w:rPr>
              <w:t xml:space="preserve">297.714</w:t>
            </w:r>
          </w:p>
        </w:tc>
        <w:tc>
          <w:tcPr>
            <w:tcW w:w="3119" w:type="dxa"/>
            <w:gridSpan w:val="3"/>
            <w:tcBorders>
              <w:top w:val="single" w:color="000000" w:sz="0"/>
              <w:left w:val="single" w:color="000000" w:sz="0"/>
              <w:bottom w:val="single" w:color="000000" w:sz="4"/>
              <w:right w:val="single" w:color="000000" w:sz="4"/>
            </w:tcBorders>
            <w:shd w:color="auto" w:fill="bdd6ee"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r>
    </w:tbl>
    <w:p>
      <w:pPr>
        <w:spacing w:before="60" w:after="160" w:line="240"/>
        <w:ind w:right="0" w:left="0" w:firstLine="0"/>
        <w:jc w:val="center"/>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Tabela 559: Financijski okvir i efekti realizacije planiranih mjera za ublažavanje posljedica klimatskih promjena</w:t>
      </w:r>
    </w:p>
    <w:p>
      <w:pPr>
        <w:spacing w:before="60" w:after="0" w:line="240"/>
        <w:ind w:right="0" w:left="0" w:firstLine="0"/>
        <w:jc w:val="both"/>
        <w:rPr>
          <w:rFonts w:ascii="Calibri" w:hAnsi="Calibri" w:cs="Calibri" w:eastAsia="Calibri"/>
          <w:color w:val="000000"/>
          <w:spacing w:val="0"/>
          <w:position w:val="0"/>
          <w:sz w:val="20"/>
          <w:shd w:fill="auto" w:val="clear"/>
        </w:rPr>
      </w:pPr>
      <w:r>
        <w:rPr>
          <w:rFonts w:ascii="Calibri" w:hAnsi="Calibri" w:cs="Calibri" w:eastAsia="Calibri"/>
          <w:color w:val="auto"/>
          <w:spacing w:val="0"/>
          <w:position w:val="0"/>
          <w:sz w:val="20"/>
          <w:shd w:fill="auto" w:val="clear"/>
        </w:rPr>
        <w:t xml:space="preserve">Za realizaciju svih planiranih mjera neophodno je obezbijediti 2.955.119 KM. Za financiranje mjera koristi</w:t>
      </w:r>
      <w:r>
        <w:rPr>
          <w:rFonts w:ascii="Calibri" w:hAnsi="Calibri" w:cs="Calibri" w:eastAsia="Calibri"/>
          <w:color w:val="auto"/>
          <w:spacing w:val="0"/>
          <w:position w:val="0"/>
          <w:sz w:val="20"/>
          <w:shd w:fill="auto" w:val="clear"/>
        </w:rPr>
        <w:t xml:space="preserve">će se sredstva budžeta Općine Doboj Istok, i vanjski izvori finansiranja koji su detaljnije prikazani u </w:t>
      </w:r>
      <w:r>
        <w:rPr>
          <w:rFonts w:ascii="Calibri" w:hAnsi="Calibri" w:cs="Calibri" w:eastAsia="Calibri"/>
          <w:i/>
          <w:color w:val="auto"/>
          <w:spacing w:val="0"/>
          <w:position w:val="0"/>
          <w:sz w:val="20"/>
          <w:shd w:fill="auto" w:val="clear"/>
        </w:rPr>
        <w:t xml:space="preserve">Poglavlju 11</w:t>
      </w:r>
      <w:r>
        <w:rPr>
          <w:rFonts w:ascii="Calibri" w:hAnsi="Calibri" w:cs="Calibri" w:eastAsia="Calibri"/>
          <w:color w:val="auto"/>
          <w:spacing w:val="0"/>
          <w:position w:val="0"/>
          <w:sz w:val="20"/>
          <w:shd w:fill="auto" w:val="clear"/>
        </w:rPr>
        <w:t xml:space="preserve"> - </w:t>
      </w:r>
      <w:r>
        <w:rPr>
          <w:rFonts w:ascii="Calibri" w:hAnsi="Calibri" w:cs="Calibri" w:eastAsia="Calibri"/>
          <w:i/>
          <w:color w:val="auto"/>
          <w:spacing w:val="0"/>
          <w:position w:val="0"/>
          <w:sz w:val="20"/>
          <w:shd w:fill="auto" w:val="clear"/>
        </w:rPr>
        <w:t xml:space="preserve">Mehanizmi financiranja provođenja akcionog plana energetski održivog razvoja i klimatskih promjena.</w:t>
      </w:r>
      <w:r>
        <w:rPr>
          <w:rFonts w:ascii="Calibri" w:hAnsi="Calibri" w:cs="Calibri" w:eastAsia="Calibri"/>
          <w:color w:val="auto"/>
          <w:spacing w:val="0"/>
          <w:position w:val="0"/>
          <w:sz w:val="20"/>
          <w:shd w:fill="auto" w:val="clear"/>
        </w:rPr>
        <w:t xml:space="preserve"> Sve mjere će se realizirati kontinuirano u periodu od 2021. do 2030. godine</w:t>
      </w:r>
      <w:r>
        <w:rPr>
          <w:rFonts w:ascii="Calibri" w:hAnsi="Calibri" w:cs="Calibri" w:eastAsia="Calibri"/>
          <w:color w:val="000000"/>
          <w:spacing w:val="0"/>
          <w:position w:val="0"/>
          <w:sz w:val="20"/>
          <w:shd w:fill="auto" w:val="clear"/>
        </w:rPr>
        <w:t xml:space="preserve">. </w:t>
      </w:r>
    </w:p>
    <w:p>
      <w:pPr>
        <w:spacing w:before="60" w:after="0" w:line="240"/>
        <w:ind w:right="0" w:left="0" w:firstLine="0"/>
        <w:jc w:val="both"/>
        <w:rPr>
          <w:rFonts w:ascii="Calibri" w:hAnsi="Calibri" w:cs="Calibri" w:eastAsia="Calibri"/>
          <w:color w:val="000000"/>
          <w:spacing w:val="0"/>
          <w:position w:val="0"/>
          <w:sz w:val="20"/>
          <w:shd w:fill="auto" w:val="clear"/>
        </w:rPr>
      </w:pPr>
      <w:r>
        <w:rPr>
          <w:rFonts w:ascii="Calibri" w:hAnsi="Calibri" w:cs="Calibri" w:eastAsia="Calibri"/>
          <w:color w:val="000000"/>
          <w:spacing w:val="0"/>
          <w:position w:val="0"/>
          <w:sz w:val="20"/>
          <w:shd w:fill="auto" w:val="clear"/>
        </w:rPr>
        <w:t xml:space="preserve">Dinamika realizacije mjera za ublažavanje posljedica klimatskih promjena predstavljena je u narednoj tabeli.</w:t>
      </w:r>
    </w:p>
    <w:p>
      <w:pPr>
        <w:spacing w:before="60" w:after="0" w:line="240"/>
        <w:ind w:right="0" w:left="0" w:firstLine="0"/>
        <w:jc w:val="both"/>
        <w:rPr>
          <w:rFonts w:ascii="Calibri" w:hAnsi="Calibri" w:cs="Calibri" w:eastAsia="Calibri"/>
          <w:color w:val="auto"/>
          <w:spacing w:val="0"/>
          <w:position w:val="0"/>
          <w:sz w:val="20"/>
          <w:shd w:fill="FFFF00" w:val="clear"/>
        </w:rPr>
      </w:pPr>
    </w:p>
    <w:tbl>
      <w:tblPr>
        <w:tblInd w:w="113" w:type="dxa"/>
      </w:tblPr>
      <w:tblGrid>
        <w:gridCol w:w="846"/>
        <w:gridCol w:w="4314"/>
        <w:gridCol w:w="561"/>
        <w:gridCol w:w="561"/>
        <w:gridCol w:w="561"/>
        <w:gridCol w:w="561"/>
        <w:gridCol w:w="561"/>
        <w:gridCol w:w="561"/>
        <w:gridCol w:w="561"/>
        <w:gridCol w:w="561"/>
        <w:gridCol w:w="561"/>
        <w:gridCol w:w="561"/>
        <w:gridCol w:w="561"/>
        <w:gridCol w:w="2272"/>
      </w:tblGrid>
      <w:tr>
        <w:trPr>
          <w:trHeight w:val="1" w:hRule="atLeast"/>
          <w:jc w:val="left"/>
        </w:trPr>
        <w:tc>
          <w:tcPr>
            <w:tcW w:w="846" w:type="dxa"/>
            <w:vMerge w:val="restart"/>
            <w:tcBorders>
              <w:top w:val="single" w:color="000000" w:sz="4"/>
              <w:left w:val="single" w:color="000000" w:sz="4"/>
              <w:bottom w:val="single" w:color="000000" w:sz="4"/>
              <w:right w:val="single" w:color="000000" w:sz="4"/>
            </w:tcBorders>
            <w:shd w:color="000000" w:fill="9cc2e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b/>
                <w:color w:val="000000"/>
                <w:spacing w:val="0"/>
                <w:position w:val="0"/>
                <w:sz w:val="16"/>
                <w:shd w:fill="auto" w:val="clear"/>
              </w:rPr>
              <w:t xml:space="preserve">Oznaka mjere</w:t>
            </w:r>
          </w:p>
        </w:tc>
        <w:tc>
          <w:tcPr>
            <w:tcW w:w="4314" w:type="dxa"/>
            <w:vMerge w:val="restart"/>
            <w:tcBorders>
              <w:top w:val="single" w:color="000000" w:sz="4"/>
              <w:left w:val="single" w:color="000000" w:sz="0"/>
              <w:bottom w:val="single" w:color="000000" w:sz="4"/>
              <w:right w:val="single" w:color="000000" w:sz="0"/>
            </w:tcBorders>
            <w:shd w:color="000000" w:fill="9cc2e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b/>
                <w:color w:val="000000"/>
                <w:spacing w:val="0"/>
                <w:position w:val="0"/>
                <w:sz w:val="16"/>
                <w:shd w:fill="auto" w:val="clear"/>
              </w:rPr>
              <w:t xml:space="preserve">NAZIV MJERE</w:t>
            </w:r>
          </w:p>
        </w:tc>
        <w:tc>
          <w:tcPr>
            <w:tcW w:w="6171" w:type="dxa"/>
            <w:gridSpan w:val="11"/>
            <w:tcBorders>
              <w:top w:val="single" w:color="000000" w:sz="4"/>
              <w:left w:val="single" w:color="000000" w:sz="4"/>
              <w:bottom w:val="single" w:color="000000" w:sz="4"/>
              <w:right w:val="single" w:color="000000" w:sz="4"/>
            </w:tcBorders>
            <w:shd w:color="000000" w:fill="9cc2e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b/>
                <w:color w:val="000000"/>
                <w:spacing w:val="0"/>
                <w:position w:val="0"/>
                <w:sz w:val="16"/>
                <w:shd w:fill="auto" w:val="clear"/>
              </w:rPr>
              <w:t xml:space="preserve">PERIOD REALIZACIJE </w:t>
            </w:r>
          </w:p>
        </w:tc>
        <w:tc>
          <w:tcPr>
            <w:tcW w:w="2272" w:type="dxa"/>
            <w:vMerge w:val="restart"/>
            <w:tcBorders>
              <w:top w:val="single" w:color="000000" w:sz="4"/>
              <w:left w:val="single" w:color="000000" w:sz="4"/>
              <w:bottom w:val="single" w:color="000000" w:sz="4"/>
              <w:right w:val="single" w:color="000000" w:sz="4"/>
            </w:tcBorders>
            <w:shd w:color="000000" w:fill="9cc2e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b/>
                <w:color w:val="000000"/>
                <w:spacing w:val="0"/>
                <w:position w:val="0"/>
                <w:sz w:val="16"/>
                <w:shd w:fill="auto" w:val="clear"/>
              </w:rPr>
              <w:t xml:space="preserve">Nosioci aktivnosti</w:t>
            </w:r>
          </w:p>
        </w:tc>
      </w:tr>
      <w:tr>
        <w:trPr>
          <w:trHeight w:val="1" w:hRule="atLeast"/>
          <w:jc w:val="left"/>
        </w:trPr>
        <w:tc>
          <w:tcPr>
            <w:tcW w:w="846"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4314" w:type="dxa"/>
            <w:vMerge/>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561" w:type="dxa"/>
            <w:tcBorders>
              <w:top w:val="single" w:color="000000" w:sz="0"/>
              <w:left w:val="single" w:color="000000" w:sz="4"/>
              <w:bottom w:val="single" w:color="000000" w:sz="4"/>
              <w:right w:val="single" w:color="000000" w:sz="4"/>
            </w:tcBorders>
            <w:shd w:color="000000" w:fill="9cc2e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b/>
                <w:color w:val="000000"/>
                <w:spacing w:val="0"/>
                <w:position w:val="0"/>
                <w:sz w:val="16"/>
                <w:shd w:fill="auto" w:val="clear"/>
              </w:rPr>
              <w:t xml:space="preserve">2021</w:t>
            </w:r>
          </w:p>
        </w:tc>
        <w:tc>
          <w:tcPr>
            <w:tcW w:w="561" w:type="dxa"/>
            <w:tcBorders>
              <w:top w:val="single" w:color="000000" w:sz="0"/>
              <w:left w:val="single" w:color="000000" w:sz="0"/>
              <w:bottom w:val="single" w:color="000000" w:sz="4"/>
              <w:right w:val="single" w:color="000000" w:sz="4"/>
            </w:tcBorders>
            <w:shd w:color="000000" w:fill="9cc2e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b/>
                <w:color w:val="000000"/>
                <w:spacing w:val="0"/>
                <w:position w:val="0"/>
                <w:sz w:val="16"/>
                <w:shd w:fill="auto" w:val="clear"/>
              </w:rPr>
              <w:t xml:space="preserve">2020</w:t>
            </w:r>
          </w:p>
        </w:tc>
        <w:tc>
          <w:tcPr>
            <w:tcW w:w="561" w:type="dxa"/>
            <w:tcBorders>
              <w:top w:val="single" w:color="000000" w:sz="0"/>
              <w:left w:val="single" w:color="000000" w:sz="0"/>
              <w:bottom w:val="single" w:color="000000" w:sz="4"/>
              <w:right w:val="single" w:color="000000" w:sz="4"/>
            </w:tcBorders>
            <w:shd w:color="000000" w:fill="9cc2e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b/>
                <w:color w:val="000000"/>
                <w:spacing w:val="0"/>
                <w:position w:val="0"/>
                <w:sz w:val="16"/>
                <w:shd w:fill="auto" w:val="clear"/>
              </w:rPr>
              <w:t xml:space="preserve">2022</w:t>
            </w:r>
          </w:p>
        </w:tc>
        <w:tc>
          <w:tcPr>
            <w:tcW w:w="561" w:type="dxa"/>
            <w:tcBorders>
              <w:top w:val="single" w:color="000000" w:sz="0"/>
              <w:left w:val="single" w:color="000000" w:sz="0"/>
              <w:bottom w:val="single" w:color="000000" w:sz="4"/>
              <w:right w:val="single" w:color="000000" w:sz="4"/>
            </w:tcBorders>
            <w:shd w:color="000000" w:fill="9cc2e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b/>
                <w:color w:val="000000"/>
                <w:spacing w:val="0"/>
                <w:position w:val="0"/>
                <w:sz w:val="16"/>
                <w:shd w:fill="auto" w:val="clear"/>
              </w:rPr>
              <w:t xml:space="preserve">2023</w:t>
            </w:r>
          </w:p>
        </w:tc>
        <w:tc>
          <w:tcPr>
            <w:tcW w:w="561" w:type="dxa"/>
            <w:tcBorders>
              <w:top w:val="single" w:color="000000" w:sz="0"/>
              <w:left w:val="single" w:color="000000" w:sz="0"/>
              <w:bottom w:val="single" w:color="000000" w:sz="4"/>
              <w:right w:val="single" w:color="000000" w:sz="4"/>
            </w:tcBorders>
            <w:shd w:color="000000" w:fill="9cc2e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b/>
                <w:color w:val="000000"/>
                <w:spacing w:val="0"/>
                <w:position w:val="0"/>
                <w:sz w:val="16"/>
                <w:shd w:fill="auto" w:val="clear"/>
              </w:rPr>
              <w:t xml:space="preserve">2024</w:t>
            </w:r>
          </w:p>
        </w:tc>
        <w:tc>
          <w:tcPr>
            <w:tcW w:w="561" w:type="dxa"/>
            <w:tcBorders>
              <w:top w:val="single" w:color="000000" w:sz="0"/>
              <w:left w:val="single" w:color="000000" w:sz="0"/>
              <w:bottom w:val="single" w:color="000000" w:sz="4"/>
              <w:right w:val="single" w:color="000000" w:sz="4"/>
            </w:tcBorders>
            <w:shd w:color="000000" w:fill="9cc2e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b/>
                <w:color w:val="000000"/>
                <w:spacing w:val="0"/>
                <w:position w:val="0"/>
                <w:sz w:val="16"/>
                <w:shd w:fill="auto" w:val="clear"/>
              </w:rPr>
              <w:t xml:space="preserve">2025</w:t>
            </w:r>
          </w:p>
        </w:tc>
        <w:tc>
          <w:tcPr>
            <w:tcW w:w="561" w:type="dxa"/>
            <w:tcBorders>
              <w:top w:val="single" w:color="000000" w:sz="0"/>
              <w:left w:val="single" w:color="000000" w:sz="0"/>
              <w:bottom w:val="single" w:color="000000" w:sz="4"/>
              <w:right w:val="single" w:color="000000" w:sz="4"/>
            </w:tcBorders>
            <w:shd w:color="000000" w:fill="9cc2e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b/>
                <w:color w:val="000000"/>
                <w:spacing w:val="0"/>
                <w:position w:val="0"/>
                <w:sz w:val="16"/>
                <w:shd w:fill="auto" w:val="clear"/>
              </w:rPr>
              <w:t xml:space="preserve">2026</w:t>
            </w:r>
          </w:p>
        </w:tc>
        <w:tc>
          <w:tcPr>
            <w:tcW w:w="561" w:type="dxa"/>
            <w:tcBorders>
              <w:top w:val="single" w:color="000000" w:sz="0"/>
              <w:left w:val="single" w:color="000000" w:sz="0"/>
              <w:bottom w:val="single" w:color="000000" w:sz="4"/>
              <w:right w:val="single" w:color="000000" w:sz="4"/>
            </w:tcBorders>
            <w:shd w:color="000000" w:fill="9cc2e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b/>
                <w:color w:val="000000"/>
                <w:spacing w:val="0"/>
                <w:position w:val="0"/>
                <w:sz w:val="16"/>
                <w:shd w:fill="auto" w:val="clear"/>
              </w:rPr>
              <w:t xml:space="preserve">2027</w:t>
            </w:r>
          </w:p>
        </w:tc>
        <w:tc>
          <w:tcPr>
            <w:tcW w:w="561" w:type="dxa"/>
            <w:tcBorders>
              <w:top w:val="single" w:color="000000" w:sz="0"/>
              <w:left w:val="single" w:color="000000" w:sz="0"/>
              <w:bottom w:val="single" w:color="000000" w:sz="4"/>
              <w:right w:val="single" w:color="000000" w:sz="4"/>
            </w:tcBorders>
            <w:shd w:color="000000" w:fill="9cc2e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b/>
                <w:color w:val="000000"/>
                <w:spacing w:val="0"/>
                <w:position w:val="0"/>
                <w:sz w:val="16"/>
                <w:shd w:fill="auto" w:val="clear"/>
              </w:rPr>
              <w:t xml:space="preserve">2028</w:t>
            </w:r>
          </w:p>
        </w:tc>
        <w:tc>
          <w:tcPr>
            <w:tcW w:w="561" w:type="dxa"/>
            <w:tcBorders>
              <w:top w:val="single" w:color="000000" w:sz="0"/>
              <w:left w:val="single" w:color="000000" w:sz="0"/>
              <w:bottom w:val="single" w:color="000000" w:sz="4"/>
              <w:right w:val="single" w:color="000000" w:sz="4"/>
            </w:tcBorders>
            <w:shd w:color="000000" w:fill="9cc2e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b/>
                <w:color w:val="000000"/>
                <w:spacing w:val="0"/>
                <w:position w:val="0"/>
                <w:sz w:val="16"/>
                <w:shd w:fill="auto" w:val="clear"/>
              </w:rPr>
              <w:t xml:space="preserve">2029</w:t>
            </w:r>
          </w:p>
        </w:tc>
        <w:tc>
          <w:tcPr>
            <w:tcW w:w="561" w:type="dxa"/>
            <w:tcBorders>
              <w:top w:val="single" w:color="000000" w:sz="0"/>
              <w:left w:val="single" w:color="000000" w:sz="0"/>
              <w:bottom w:val="single" w:color="000000" w:sz="4"/>
              <w:right w:val="single" w:color="000000" w:sz="4"/>
            </w:tcBorders>
            <w:shd w:color="000000" w:fill="9cc2e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b/>
                <w:color w:val="000000"/>
                <w:spacing w:val="0"/>
                <w:position w:val="0"/>
                <w:sz w:val="16"/>
                <w:shd w:fill="auto" w:val="clear"/>
              </w:rPr>
              <w:t xml:space="preserve">2030</w:t>
            </w:r>
          </w:p>
        </w:tc>
        <w:tc>
          <w:tcPr>
            <w:tcW w:w="2272"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13603" w:type="dxa"/>
            <w:gridSpan w:val="14"/>
            <w:tcBorders>
              <w:top w:val="single" w:color="000000" w:sz="4"/>
              <w:left w:val="single" w:color="000000" w:sz="4"/>
              <w:bottom w:val="single" w:color="000000" w:sz="4"/>
              <w:right w:val="single" w:color="000000" w:sz="4"/>
            </w:tcBorders>
            <w:shd w:color="000000" w:fill="deeaf6"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b/>
                <w:i/>
                <w:color w:val="000000"/>
                <w:spacing w:val="0"/>
                <w:position w:val="0"/>
                <w:sz w:val="16"/>
                <w:shd w:fill="auto" w:val="clear"/>
              </w:rPr>
              <w:t xml:space="preserve">Me</w:t>
            </w:r>
            <w:r>
              <w:rPr>
                <w:rFonts w:ascii="Calibri" w:hAnsi="Calibri" w:cs="Calibri" w:eastAsia="Calibri"/>
                <w:b/>
                <w:i/>
                <w:color w:val="000000"/>
                <w:spacing w:val="0"/>
                <w:position w:val="0"/>
                <w:sz w:val="16"/>
                <w:shd w:fill="auto" w:val="clear"/>
              </w:rPr>
              <w:t xml:space="preserve">đusektorske mjere </w:t>
            </w:r>
          </w:p>
        </w:tc>
      </w:tr>
      <w:tr>
        <w:trPr>
          <w:trHeight w:val="1" w:hRule="atLeast"/>
          <w:jc w:val="left"/>
        </w:trPr>
        <w:tc>
          <w:tcPr>
            <w:tcW w:w="846" w:type="dxa"/>
            <w:tcBorders>
              <w:top w:val="single" w:color="000000" w:sz="0"/>
              <w:left w:val="single" w:color="000000" w:sz="4"/>
              <w:bottom w:val="single" w:color="000000" w:sz="0"/>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b/>
                <w:color w:val="000000"/>
                <w:spacing w:val="0"/>
                <w:position w:val="0"/>
                <w:sz w:val="16"/>
                <w:shd w:fill="auto" w:val="clear"/>
              </w:rPr>
              <w:t xml:space="preserve">MS-1</w:t>
            </w:r>
          </w:p>
        </w:tc>
        <w:tc>
          <w:tcPr>
            <w:tcW w:w="431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b/>
                <w:color w:val="000000"/>
                <w:spacing w:val="0"/>
                <w:position w:val="0"/>
                <w:sz w:val="16"/>
                <w:shd w:fill="auto" w:val="clear"/>
              </w:rPr>
              <w:t xml:space="preserve">Kontinuirana edukacija relevantnih uposlenika op</w:t>
            </w:r>
            <w:r>
              <w:rPr>
                <w:rFonts w:ascii="Calibri" w:hAnsi="Calibri" w:cs="Calibri" w:eastAsia="Calibri"/>
                <w:b/>
                <w:color w:val="000000"/>
                <w:spacing w:val="0"/>
                <w:position w:val="0"/>
                <w:sz w:val="16"/>
                <w:shd w:fill="auto" w:val="clear"/>
              </w:rPr>
              <w:t xml:space="preserve">ćine Doboj Istok i pripadajućih javnih preduzeća o zakonskim obavezama u oblasti sistemskog upravljanja energijom</w:t>
            </w:r>
          </w:p>
        </w:tc>
        <w:tc>
          <w:tcPr>
            <w:tcW w:w="561" w:type="dxa"/>
            <w:tcBorders>
              <w:top w:val="single" w:color="000000" w:sz="0"/>
              <w:left w:val="single" w:color="000000" w:sz="0"/>
              <w:bottom w:val="single" w:color="000000" w:sz="4"/>
              <w:right w:val="single" w:color="000000" w:sz="4"/>
            </w:tcBorders>
            <w:shd w:color="000000" w:fill="8ea9db"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FFFFFF"/>
                <w:spacing w:val="0"/>
                <w:position w:val="0"/>
                <w:sz w:val="16"/>
                <w:shd w:fill="auto" w:val="clear"/>
              </w:rPr>
              <w:t xml:space="preserve"> </w:t>
            </w:r>
          </w:p>
        </w:tc>
        <w:tc>
          <w:tcPr>
            <w:tcW w:w="561" w:type="dxa"/>
            <w:tcBorders>
              <w:top w:val="single" w:color="000000" w:sz="0"/>
              <w:left w:val="single" w:color="000000" w:sz="0"/>
              <w:bottom w:val="single" w:color="000000" w:sz="4"/>
              <w:right w:val="single" w:color="000000" w:sz="4"/>
            </w:tcBorders>
            <w:shd w:color="000000" w:fill="8ea9db"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FFFFFF"/>
                <w:spacing w:val="0"/>
                <w:position w:val="0"/>
                <w:sz w:val="16"/>
                <w:shd w:fill="auto" w:val="clear"/>
              </w:rPr>
              <w:t xml:space="preserve"> </w:t>
            </w:r>
          </w:p>
        </w:tc>
        <w:tc>
          <w:tcPr>
            <w:tcW w:w="561" w:type="dxa"/>
            <w:tcBorders>
              <w:top w:val="single" w:color="000000" w:sz="0"/>
              <w:left w:val="single" w:color="000000" w:sz="0"/>
              <w:bottom w:val="single" w:color="000000" w:sz="4"/>
              <w:right w:val="single" w:color="000000" w:sz="4"/>
            </w:tcBorders>
            <w:shd w:color="000000" w:fill="8ea9db"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FFFFFF"/>
                <w:spacing w:val="0"/>
                <w:position w:val="0"/>
                <w:sz w:val="16"/>
                <w:shd w:fill="auto" w:val="clear"/>
              </w:rPr>
              <w:t xml:space="preserve"> </w:t>
            </w:r>
          </w:p>
        </w:tc>
        <w:tc>
          <w:tcPr>
            <w:tcW w:w="561" w:type="dxa"/>
            <w:tcBorders>
              <w:top w:val="single" w:color="000000" w:sz="0"/>
              <w:left w:val="single" w:color="000000" w:sz="0"/>
              <w:bottom w:val="single" w:color="000000" w:sz="4"/>
              <w:right w:val="single" w:color="000000" w:sz="4"/>
            </w:tcBorders>
            <w:shd w:color="000000" w:fill="8ea9db"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FFFFFF"/>
                <w:spacing w:val="0"/>
                <w:position w:val="0"/>
                <w:sz w:val="16"/>
                <w:shd w:fill="auto" w:val="clear"/>
              </w:rPr>
              <w:t xml:space="preserve"> </w:t>
            </w:r>
          </w:p>
        </w:tc>
        <w:tc>
          <w:tcPr>
            <w:tcW w:w="561" w:type="dxa"/>
            <w:tcBorders>
              <w:top w:val="single" w:color="000000" w:sz="0"/>
              <w:left w:val="single" w:color="000000" w:sz="0"/>
              <w:bottom w:val="single" w:color="000000" w:sz="4"/>
              <w:right w:val="single" w:color="000000" w:sz="4"/>
            </w:tcBorders>
            <w:shd w:color="000000" w:fill="8ea9db"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FFFFFF"/>
                <w:spacing w:val="0"/>
                <w:position w:val="0"/>
                <w:sz w:val="16"/>
                <w:shd w:fill="auto" w:val="clear"/>
              </w:rPr>
              <w:t xml:space="preserve"> </w:t>
            </w:r>
          </w:p>
        </w:tc>
        <w:tc>
          <w:tcPr>
            <w:tcW w:w="561" w:type="dxa"/>
            <w:tcBorders>
              <w:top w:val="single" w:color="000000" w:sz="0"/>
              <w:left w:val="single" w:color="000000" w:sz="0"/>
              <w:bottom w:val="single" w:color="000000" w:sz="4"/>
              <w:right w:val="single" w:color="000000" w:sz="4"/>
            </w:tcBorders>
            <w:shd w:color="000000" w:fill="8ea9db"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FFFFFF"/>
                <w:spacing w:val="0"/>
                <w:position w:val="0"/>
                <w:sz w:val="16"/>
                <w:shd w:fill="auto" w:val="clear"/>
              </w:rPr>
              <w:t xml:space="preserve"> </w:t>
            </w:r>
          </w:p>
        </w:tc>
        <w:tc>
          <w:tcPr>
            <w:tcW w:w="561" w:type="dxa"/>
            <w:tcBorders>
              <w:top w:val="single" w:color="000000" w:sz="0"/>
              <w:left w:val="single" w:color="000000" w:sz="0"/>
              <w:bottom w:val="single" w:color="000000" w:sz="4"/>
              <w:right w:val="single" w:color="000000" w:sz="4"/>
            </w:tcBorders>
            <w:shd w:color="000000" w:fill="8ea9db"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FFFFFF"/>
                <w:spacing w:val="0"/>
                <w:position w:val="0"/>
                <w:sz w:val="16"/>
                <w:shd w:fill="auto" w:val="clear"/>
              </w:rPr>
              <w:t xml:space="preserve"> </w:t>
            </w:r>
          </w:p>
        </w:tc>
        <w:tc>
          <w:tcPr>
            <w:tcW w:w="561" w:type="dxa"/>
            <w:tcBorders>
              <w:top w:val="single" w:color="000000" w:sz="0"/>
              <w:left w:val="single" w:color="000000" w:sz="0"/>
              <w:bottom w:val="single" w:color="000000" w:sz="4"/>
              <w:right w:val="single" w:color="000000" w:sz="4"/>
            </w:tcBorders>
            <w:shd w:color="000000" w:fill="8ea9db"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FFFFFF"/>
                <w:spacing w:val="0"/>
                <w:position w:val="0"/>
                <w:sz w:val="16"/>
                <w:shd w:fill="auto" w:val="clear"/>
              </w:rPr>
              <w:t xml:space="preserve"> </w:t>
            </w:r>
          </w:p>
        </w:tc>
        <w:tc>
          <w:tcPr>
            <w:tcW w:w="561" w:type="dxa"/>
            <w:tcBorders>
              <w:top w:val="single" w:color="000000" w:sz="0"/>
              <w:left w:val="single" w:color="000000" w:sz="0"/>
              <w:bottom w:val="single" w:color="000000" w:sz="4"/>
              <w:right w:val="single" w:color="000000" w:sz="4"/>
            </w:tcBorders>
            <w:shd w:color="000000" w:fill="8ea9db"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FFFFFF"/>
                <w:spacing w:val="0"/>
                <w:position w:val="0"/>
                <w:sz w:val="16"/>
                <w:shd w:fill="auto" w:val="clear"/>
              </w:rPr>
              <w:t xml:space="preserve"> </w:t>
            </w:r>
          </w:p>
        </w:tc>
        <w:tc>
          <w:tcPr>
            <w:tcW w:w="561" w:type="dxa"/>
            <w:tcBorders>
              <w:top w:val="single" w:color="000000" w:sz="0"/>
              <w:left w:val="single" w:color="000000" w:sz="0"/>
              <w:bottom w:val="single" w:color="000000" w:sz="4"/>
              <w:right w:val="single" w:color="000000" w:sz="4"/>
            </w:tcBorders>
            <w:shd w:color="000000" w:fill="8ea9db"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FFFFFF"/>
                <w:spacing w:val="0"/>
                <w:position w:val="0"/>
                <w:sz w:val="16"/>
                <w:shd w:fill="auto" w:val="clear"/>
              </w:rPr>
              <w:t xml:space="preserve"> </w:t>
            </w:r>
          </w:p>
        </w:tc>
        <w:tc>
          <w:tcPr>
            <w:tcW w:w="561" w:type="dxa"/>
            <w:tcBorders>
              <w:top w:val="single" w:color="000000" w:sz="0"/>
              <w:left w:val="single" w:color="000000" w:sz="0"/>
              <w:bottom w:val="single" w:color="000000" w:sz="4"/>
              <w:right w:val="single" w:color="000000" w:sz="4"/>
            </w:tcBorders>
            <w:shd w:color="000000" w:fill="8ea9db"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FFFFFF"/>
                <w:spacing w:val="0"/>
                <w:position w:val="0"/>
                <w:sz w:val="16"/>
                <w:shd w:fill="auto" w:val="clear"/>
              </w:rPr>
              <w:t xml:space="preserve"> </w:t>
            </w:r>
          </w:p>
        </w:tc>
        <w:tc>
          <w:tcPr>
            <w:tcW w:w="227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Op</w:t>
            </w:r>
            <w:r>
              <w:rPr>
                <w:rFonts w:ascii="Calibri" w:hAnsi="Calibri" w:cs="Calibri" w:eastAsia="Calibri"/>
                <w:color w:val="000000"/>
                <w:spacing w:val="0"/>
                <w:position w:val="0"/>
                <w:sz w:val="16"/>
                <w:shd w:fill="auto" w:val="clear"/>
              </w:rPr>
              <w:t xml:space="preserve">ćina Doboj Istok</w:t>
            </w:r>
          </w:p>
        </w:tc>
      </w:tr>
      <w:tr>
        <w:trPr>
          <w:trHeight w:val="1" w:hRule="atLeast"/>
          <w:jc w:val="left"/>
        </w:trPr>
        <w:tc>
          <w:tcPr>
            <w:tcW w:w="13603" w:type="dxa"/>
            <w:gridSpan w:val="14"/>
            <w:tcBorders>
              <w:top w:val="single" w:color="000000" w:sz="4"/>
              <w:left w:val="single" w:color="000000" w:sz="4"/>
              <w:bottom w:val="single" w:color="000000" w:sz="4"/>
              <w:right w:val="single" w:color="000000" w:sz="4"/>
            </w:tcBorders>
            <w:shd w:color="000000" w:fill="bdd7ee"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b/>
                <w:i/>
                <w:color w:val="000000"/>
                <w:spacing w:val="0"/>
                <w:position w:val="0"/>
                <w:sz w:val="16"/>
                <w:shd w:fill="auto" w:val="clear"/>
              </w:rPr>
              <w:t xml:space="preserve">Mjere za smanjenje emisije CO</w:t>
            </w:r>
            <w:r>
              <w:rPr>
                <w:rFonts w:ascii="Calibri" w:hAnsi="Calibri" w:cs="Calibri" w:eastAsia="Calibri"/>
                <w:b/>
                <w:i/>
                <w:color w:val="000000"/>
                <w:spacing w:val="0"/>
                <w:position w:val="0"/>
                <w:sz w:val="16"/>
                <w:shd w:fill="auto" w:val="clear"/>
                <w:vertAlign w:val="subscript"/>
              </w:rPr>
              <w:t xml:space="preserve">2</w:t>
            </w:r>
            <w:r>
              <w:rPr>
                <w:rFonts w:ascii="Calibri" w:hAnsi="Calibri" w:cs="Calibri" w:eastAsia="Calibri"/>
                <w:b/>
                <w:i/>
                <w:color w:val="000000"/>
                <w:spacing w:val="0"/>
                <w:position w:val="0"/>
                <w:sz w:val="16"/>
                <w:shd w:fill="auto" w:val="clear"/>
              </w:rPr>
              <w:t xml:space="preserve"> iz sektora zgradarstva</w:t>
            </w:r>
          </w:p>
        </w:tc>
      </w:tr>
      <w:tr>
        <w:trPr>
          <w:trHeight w:val="1" w:hRule="atLeast"/>
          <w:jc w:val="left"/>
        </w:trPr>
        <w:tc>
          <w:tcPr>
            <w:tcW w:w="13603" w:type="dxa"/>
            <w:gridSpan w:val="14"/>
            <w:tcBorders>
              <w:top w:val="single" w:color="000000" w:sz="4"/>
              <w:left w:val="single" w:color="000000" w:sz="4"/>
              <w:bottom w:val="single" w:color="000000" w:sz="4"/>
              <w:right w:val="single" w:color="000000" w:sz="4"/>
            </w:tcBorders>
            <w:shd w:color="000000" w:fill="deeaf6"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b/>
                <w:i/>
                <w:color w:val="000000"/>
                <w:spacing w:val="0"/>
                <w:position w:val="0"/>
                <w:sz w:val="16"/>
                <w:shd w:fill="auto" w:val="clear"/>
              </w:rPr>
              <w:t xml:space="preserve">Mjere za podsektor stambene zgrade</w:t>
            </w:r>
          </w:p>
        </w:tc>
      </w:tr>
      <w:tr>
        <w:trPr>
          <w:trHeight w:val="1" w:hRule="atLeast"/>
          <w:jc w:val="left"/>
        </w:trPr>
        <w:tc>
          <w:tcPr>
            <w:tcW w:w="846"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b/>
                <w:color w:val="000000"/>
                <w:spacing w:val="0"/>
                <w:position w:val="0"/>
                <w:sz w:val="16"/>
                <w:shd w:fill="auto" w:val="clear"/>
              </w:rPr>
              <w:t xml:space="preserve">SZ-1</w:t>
            </w:r>
          </w:p>
        </w:tc>
        <w:tc>
          <w:tcPr>
            <w:tcW w:w="431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spacing w:val="0"/>
                <w:position w:val="0"/>
              </w:rPr>
            </w:pPr>
            <w:r>
              <w:rPr>
                <w:rFonts w:ascii="Calibri" w:hAnsi="Calibri" w:cs="Calibri" w:eastAsia="Calibri"/>
                <w:b/>
                <w:color w:val="000000"/>
                <w:spacing w:val="0"/>
                <w:position w:val="0"/>
                <w:sz w:val="16"/>
                <w:shd w:fill="auto" w:val="clear"/>
              </w:rPr>
              <w:t xml:space="preserve">Informiranje javnosti o neophodnosti ublažavanja klimatskih promjena i kontinuirana edukacija gra</w:t>
            </w:r>
            <w:r>
              <w:rPr>
                <w:rFonts w:ascii="Calibri" w:hAnsi="Calibri" w:cs="Calibri" w:eastAsia="Calibri"/>
                <w:b/>
                <w:color w:val="000000"/>
                <w:spacing w:val="0"/>
                <w:position w:val="0"/>
                <w:sz w:val="16"/>
                <w:shd w:fill="auto" w:val="clear"/>
              </w:rPr>
              <w:t xml:space="preserve">đana o praktičnim aspektima energetske efikasnosti</w:t>
            </w:r>
          </w:p>
        </w:tc>
        <w:tc>
          <w:tcPr>
            <w:tcW w:w="561" w:type="dxa"/>
            <w:tcBorders>
              <w:top w:val="single" w:color="000000" w:sz="0"/>
              <w:left w:val="single" w:color="000000" w:sz="0"/>
              <w:bottom w:val="single" w:color="000000" w:sz="4"/>
              <w:right w:val="single" w:color="000000" w:sz="4"/>
            </w:tcBorders>
            <w:shd w:color="000000" w:fill="8ea9db"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FFFFFF"/>
                <w:spacing w:val="0"/>
                <w:position w:val="0"/>
                <w:sz w:val="16"/>
                <w:shd w:fill="auto" w:val="clear"/>
              </w:rPr>
              <w:t xml:space="preserve"> </w:t>
            </w:r>
          </w:p>
        </w:tc>
        <w:tc>
          <w:tcPr>
            <w:tcW w:w="561" w:type="dxa"/>
            <w:tcBorders>
              <w:top w:val="single" w:color="000000" w:sz="0"/>
              <w:left w:val="single" w:color="000000" w:sz="0"/>
              <w:bottom w:val="single" w:color="000000" w:sz="4"/>
              <w:right w:val="single" w:color="000000" w:sz="4"/>
            </w:tcBorders>
            <w:shd w:color="000000" w:fill="8ea9db"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FFFFFF"/>
                <w:spacing w:val="0"/>
                <w:position w:val="0"/>
                <w:sz w:val="16"/>
                <w:shd w:fill="auto" w:val="clear"/>
              </w:rPr>
              <w:t xml:space="preserve"> </w:t>
            </w:r>
          </w:p>
        </w:tc>
        <w:tc>
          <w:tcPr>
            <w:tcW w:w="561" w:type="dxa"/>
            <w:tcBorders>
              <w:top w:val="single" w:color="000000" w:sz="0"/>
              <w:left w:val="single" w:color="000000" w:sz="0"/>
              <w:bottom w:val="single" w:color="000000" w:sz="4"/>
              <w:right w:val="single" w:color="000000" w:sz="4"/>
            </w:tcBorders>
            <w:shd w:color="000000" w:fill="8ea9db"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FFFFFF"/>
                <w:spacing w:val="0"/>
                <w:position w:val="0"/>
                <w:sz w:val="16"/>
                <w:shd w:fill="auto" w:val="clear"/>
              </w:rPr>
              <w:t xml:space="preserve"> </w:t>
            </w:r>
          </w:p>
        </w:tc>
        <w:tc>
          <w:tcPr>
            <w:tcW w:w="561" w:type="dxa"/>
            <w:tcBorders>
              <w:top w:val="single" w:color="000000" w:sz="0"/>
              <w:left w:val="single" w:color="000000" w:sz="0"/>
              <w:bottom w:val="single" w:color="000000" w:sz="4"/>
              <w:right w:val="single" w:color="000000" w:sz="4"/>
            </w:tcBorders>
            <w:shd w:color="000000" w:fill="8ea9db"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FFFFFF"/>
                <w:spacing w:val="0"/>
                <w:position w:val="0"/>
                <w:sz w:val="16"/>
                <w:shd w:fill="auto" w:val="clear"/>
              </w:rPr>
              <w:t xml:space="preserve"> </w:t>
            </w:r>
          </w:p>
        </w:tc>
        <w:tc>
          <w:tcPr>
            <w:tcW w:w="561" w:type="dxa"/>
            <w:tcBorders>
              <w:top w:val="single" w:color="000000" w:sz="0"/>
              <w:left w:val="single" w:color="000000" w:sz="0"/>
              <w:bottom w:val="single" w:color="000000" w:sz="4"/>
              <w:right w:val="single" w:color="000000" w:sz="4"/>
            </w:tcBorders>
            <w:shd w:color="000000" w:fill="8ea9db"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FFFFFF"/>
                <w:spacing w:val="0"/>
                <w:position w:val="0"/>
                <w:sz w:val="16"/>
                <w:shd w:fill="auto" w:val="clear"/>
              </w:rPr>
              <w:t xml:space="preserve"> </w:t>
            </w:r>
          </w:p>
        </w:tc>
        <w:tc>
          <w:tcPr>
            <w:tcW w:w="561" w:type="dxa"/>
            <w:tcBorders>
              <w:top w:val="single" w:color="000000" w:sz="0"/>
              <w:left w:val="single" w:color="000000" w:sz="0"/>
              <w:bottom w:val="single" w:color="000000" w:sz="4"/>
              <w:right w:val="single" w:color="000000" w:sz="4"/>
            </w:tcBorders>
            <w:shd w:color="000000" w:fill="8ea9db"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FFFFFF"/>
                <w:spacing w:val="0"/>
                <w:position w:val="0"/>
                <w:sz w:val="16"/>
                <w:shd w:fill="auto" w:val="clear"/>
              </w:rPr>
              <w:t xml:space="preserve"> </w:t>
            </w:r>
          </w:p>
        </w:tc>
        <w:tc>
          <w:tcPr>
            <w:tcW w:w="561" w:type="dxa"/>
            <w:tcBorders>
              <w:top w:val="single" w:color="000000" w:sz="0"/>
              <w:left w:val="single" w:color="000000" w:sz="0"/>
              <w:bottom w:val="single" w:color="000000" w:sz="4"/>
              <w:right w:val="single" w:color="000000" w:sz="4"/>
            </w:tcBorders>
            <w:shd w:color="000000" w:fill="8ea9db"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FFFFFF"/>
                <w:spacing w:val="0"/>
                <w:position w:val="0"/>
                <w:sz w:val="16"/>
                <w:shd w:fill="auto" w:val="clear"/>
              </w:rPr>
              <w:t xml:space="preserve"> </w:t>
            </w:r>
          </w:p>
        </w:tc>
        <w:tc>
          <w:tcPr>
            <w:tcW w:w="561" w:type="dxa"/>
            <w:tcBorders>
              <w:top w:val="single" w:color="000000" w:sz="0"/>
              <w:left w:val="single" w:color="000000" w:sz="0"/>
              <w:bottom w:val="single" w:color="000000" w:sz="4"/>
              <w:right w:val="single" w:color="000000" w:sz="4"/>
            </w:tcBorders>
            <w:shd w:color="000000" w:fill="8ea9db" w:val="clear"/>
            <w:tcMar>
              <w:left w:w="108" w:type="dxa"/>
              <w:right w:w="108"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FFFFFF"/>
                <w:spacing w:val="0"/>
                <w:position w:val="0"/>
                <w:sz w:val="16"/>
                <w:shd w:fill="auto" w:val="clear"/>
              </w:rPr>
              <w:t xml:space="preserve"> </w:t>
            </w:r>
          </w:p>
        </w:tc>
        <w:tc>
          <w:tcPr>
            <w:tcW w:w="561" w:type="dxa"/>
            <w:tcBorders>
              <w:top w:val="single" w:color="000000" w:sz="0"/>
              <w:left w:val="single" w:color="000000" w:sz="0"/>
              <w:bottom w:val="single" w:color="000000" w:sz="4"/>
              <w:right w:val="single" w:color="000000" w:sz="4"/>
            </w:tcBorders>
            <w:shd w:color="000000" w:fill="8ea9db" w:val="clear"/>
            <w:tcMar>
              <w:left w:w="108" w:type="dxa"/>
              <w:right w:w="108"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FFFFFF"/>
                <w:spacing w:val="0"/>
                <w:position w:val="0"/>
                <w:sz w:val="16"/>
                <w:shd w:fill="auto" w:val="clear"/>
              </w:rPr>
              <w:t xml:space="preserve"> </w:t>
            </w:r>
          </w:p>
        </w:tc>
        <w:tc>
          <w:tcPr>
            <w:tcW w:w="561" w:type="dxa"/>
            <w:tcBorders>
              <w:top w:val="single" w:color="000000" w:sz="0"/>
              <w:left w:val="single" w:color="000000" w:sz="0"/>
              <w:bottom w:val="single" w:color="000000" w:sz="4"/>
              <w:right w:val="single" w:color="000000" w:sz="4"/>
            </w:tcBorders>
            <w:shd w:color="000000" w:fill="8ea9db" w:val="clear"/>
            <w:tcMar>
              <w:left w:w="108" w:type="dxa"/>
              <w:right w:w="108"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FFFFFF"/>
                <w:spacing w:val="0"/>
                <w:position w:val="0"/>
                <w:sz w:val="16"/>
                <w:shd w:fill="auto" w:val="clear"/>
              </w:rPr>
              <w:t xml:space="preserve"> </w:t>
            </w:r>
          </w:p>
        </w:tc>
        <w:tc>
          <w:tcPr>
            <w:tcW w:w="561" w:type="dxa"/>
            <w:tcBorders>
              <w:top w:val="single" w:color="000000" w:sz="0"/>
              <w:left w:val="single" w:color="000000" w:sz="0"/>
              <w:bottom w:val="single" w:color="000000" w:sz="4"/>
              <w:right w:val="single" w:color="000000" w:sz="4"/>
            </w:tcBorders>
            <w:shd w:color="000000" w:fill="8ea9db" w:val="clear"/>
            <w:tcMar>
              <w:left w:w="108" w:type="dxa"/>
              <w:right w:w="108"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FFFFFF"/>
                <w:spacing w:val="0"/>
                <w:position w:val="0"/>
                <w:sz w:val="16"/>
                <w:shd w:fill="auto" w:val="clear"/>
              </w:rPr>
              <w:t xml:space="preserve"> </w:t>
            </w:r>
          </w:p>
        </w:tc>
        <w:tc>
          <w:tcPr>
            <w:tcW w:w="227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Služba za prostorno ure</w:t>
            </w:r>
            <w:r>
              <w:rPr>
                <w:rFonts w:ascii="Calibri" w:hAnsi="Calibri" w:cs="Calibri" w:eastAsia="Calibri"/>
                <w:color w:val="000000"/>
                <w:spacing w:val="0"/>
                <w:position w:val="0"/>
                <w:sz w:val="16"/>
                <w:shd w:fill="auto" w:val="clear"/>
              </w:rPr>
              <w:t xml:space="preserve">đenje</w:t>
            </w:r>
          </w:p>
        </w:tc>
      </w:tr>
      <w:tr>
        <w:trPr>
          <w:trHeight w:val="1" w:hRule="atLeast"/>
          <w:jc w:val="left"/>
        </w:trPr>
        <w:tc>
          <w:tcPr>
            <w:tcW w:w="846"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b/>
                <w:color w:val="000000"/>
                <w:spacing w:val="0"/>
                <w:position w:val="0"/>
                <w:sz w:val="16"/>
                <w:shd w:fill="auto" w:val="clear"/>
              </w:rPr>
              <w:t xml:space="preserve">SZ-2</w:t>
            </w:r>
          </w:p>
        </w:tc>
        <w:tc>
          <w:tcPr>
            <w:tcW w:w="431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b/>
                <w:color w:val="000000"/>
                <w:spacing w:val="0"/>
                <w:position w:val="0"/>
                <w:sz w:val="16"/>
                <w:shd w:fill="auto" w:val="clear"/>
              </w:rPr>
              <w:t xml:space="preserve">Energetska obnova vanjske ovojnice stambenih zgrada individualnog stanovanja</w:t>
            </w:r>
          </w:p>
        </w:tc>
        <w:tc>
          <w:tcPr>
            <w:tcW w:w="561" w:type="dxa"/>
            <w:tcBorders>
              <w:top w:val="single" w:color="000000" w:sz="0"/>
              <w:left w:val="single" w:color="000000" w:sz="0"/>
              <w:bottom w:val="single" w:color="000000" w:sz="4"/>
              <w:right w:val="single" w:color="000000" w:sz="4"/>
            </w:tcBorders>
            <w:shd w:color="000000" w:fill="8ea9db"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FFFFFF"/>
                <w:spacing w:val="0"/>
                <w:position w:val="0"/>
                <w:sz w:val="16"/>
                <w:shd w:fill="auto" w:val="clear"/>
              </w:rPr>
              <w:t xml:space="preserve"> </w:t>
            </w:r>
          </w:p>
        </w:tc>
        <w:tc>
          <w:tcPr>
            <w:tcW w:w="561" w:type="dxa"/>
            <w:tcBorders>
              <w:top w:val="single" w:color="000000" w:sz="0"/>
              <w:left w:val="single" w:color="000000" w:sz="0"/>
              <w:bottom w:val="single" w:color="000000" w:sz="4"/>
              <w:right w:val="single" w:color="000000" w:sz="4"/>
            </w:tcBorders>
            <w:shd w:color="000000" w:fill="8ea9db"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FFFFFF"/>
                <w:spacing w:val="0"/>
                <w:position w:val="0"/>
                <w:sz w:val="16"/>
                <w:shd w:fill="auto" w:val="clear"/>
              </w:rPr>
              <w:t xml:space="preserve"> </w:t>
            </w:r>
          </w:p>
        </w:tc>
        <w:tc>
          <w:tcPr>
            <w:tcW w:w="561" w:type="dxa"/>
            <w:tcBorders>
              <w:top w:val="single" w:color="000000" w:sz="0"/>
              <w:left w:val="single" w:color="000000" w:sz="0"/>
              <w:bottom w:val="single" w:color="000000" w:sz="4"/>
              <w:right w:val="single" w:color="000000" w:sz="4"/>
            </w:tcBorders>
            <w:shd w:color="000000" w:fill="8ea9db"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FFFFFF"/>
                <w:spacing w:val="0"/>
                <w:position w:val="0"/>
                <w:sz w:val="16"/>
                <w:shd w:fill="auto" w:val="clear"/>
              </w:rPr>
              <w:t xml:space="preserve"> </w:t>
            </w:r>
          </w:p>
        </w:tc>
        <w:tc>
          <w:tcPr>
            <w:tcW w:w="561" w:type="dxa"/>
            <w:tcBorders>
              <w:top w:val="single" w:color="000000" w:sz="0"/>
              <w:left w:val="single" w:color="000000" w:sz="0"/>
              <w:bottom w:val="single" w:color="000000" w:sz="4"/>
              <w:right w:val="single" w:color="000000" w:sz="4"/>
            </w:tcBorders>
            <w:shd w:color="000000" w:fill="8ea9db"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FFFFFF"/>
                <w:spacing w:val="0"/>
                <w:position w:val="0"/>
                <w:sz w:val="16"/>
                <w:shd w:fill="auto" w:val="clear"/>
              </w:rPr>
              <w:t xml:space="preserve"> </w:t>
            </w:r>
          </w:p>
        </w:tc>
        <w:tc>
          <w:tcPr>
            <w:tcW w:w="561" w:type="dxa"/>
            <w:tcBorders>
              <w:top w:val="single" w:color="000000" w:sz="0"/>
              <w:left w:val="single" w:color="000000" w:sz="0"/>
              <w:bottom w:val="single" w:color="000000" w:sz="4"/>
              <w:right w:val="single" w:color="000000" w:sz="4"/>
            </w:tcBorders>
            <w:shd w:color="000000" w:fill="8ea9db"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FFFFFF"/>
                <w:spacing w:val="0"/>
                <w:position w:val="0"/>
                <w:sz w:val="16"/>
                <w:shd w:fill="auto" w:val="clear"/>
              </w:rPr>
              <w:t xml:space="preserve"> </w:t>
            </w:r>
          </w:p>
        </w:tc>
        <w:tc>
          <w:tcPr>
            <w:tcW w:w="561" w:type="dxa"/>
            <w:tcBorders>
              <w:top w:val="single" w:color="000000" w:sz="0"/>
              <w:left w:val="single" w:color="000000" w:sz="0"/>
              <w:bottom w:val="single" w:color="000000" w:sz="4"/>
              <w:right w:val="single" w:color="000000" w:sz="4"/>
            </w:tcBorders>
            <w:shd w:color="000000" w:fill="8ea9db"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FFFFFF"/>
                <w:spacing w:val="0"/>
                <w:position w:val="0"/>
                <w:sz w:val="16"/>
                <w:shd w:fill="auto" w:val="clear"/>
              </w:rPr>
              <w:t xml:space="preserve"> </w:t>
            </w:r>
          </w:p>
        </w:tc>
        <w:tc>
          <w:tcPr>
            <w:tcW w:w="561" w:type="dxa"/>
            <w:tcBorders>
              <w:top w:val="single" w:color="000000" w:sz="0"/>
              <w:left w:val="single" w:color="000000" w:sz="0"/>
              <w:bottom w:val="single" w:color="000000" w:sz="4"/>
              <w:right w:val="single" w:color="000000" w:sz="4"/>
            </w:tcBorders>
            <w:shd w:color="000000" w:fill="8ea9db"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FFFFFF"/>
                <w:spacing w:val="0"/>
                <w:position w:val="0"/>
                <w:sz w:val="16"/>
                <w:shd w:fill="auto" w:val="clear"/>
              </w:rPr>
              <w:t xml:space="preserve"> </w:t>
            </w:r>
          </w:p>
        </w:tc>
        <w:tc>
          <w:tcPr>
            <w:tcW w:w="561" w:type="dxa"/>
            <w:tcBorders>
              <w:top w:val="single" w:color="000000" w:sz="0"/>
              <w:left w:val="single" w:color="000000" w:sz="0"/>
              <w:bottom w:val="single" w:color="000000" w:sz="4"/>
              <w:right w:val="single" w:color="000000" w:sz="4"/>
            </w:tcBorders>
            <w:shd w:color="000000" w:fill="8ea9db" w:val="clear"/>
            <w:tcMar>
              <w:left w:w="108" w:type="dxa"/>
              <w:right w:w="108"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FFFFFF"/>
                <w:spacing w:val="0"/>
                <w:position w:val="0"/>
                <w:sz w:val="16"/>
                <w:shd w:fill="auto" w:val="clear"/>
              </w:rPr>
              <w:t xml:space="preserve"> </w:t>
            </w:r>
          </w:p>
        </w:tc>
        <w:tc>
          <w:tcPr>
            <w:tcW w:w="561" w:type="dxa"/>
            <w:tcBorders>
              <w:top w:val="single" w:color="000000" w:sz="0"/>
              <w:left w:val="single" w:color="000000" w:sz="0"/>
              <w:bottom w:val="single" w:color="000000" w:sz="4"/>
              <w:right w:val="single" w:color="000000" w:sz="4"/>
            </w:tcBorders>
            <w:shd w:color="000000" w:fill="8ea9db" w:val="clear"/>
            <w:tcMar>
              <w:left w:w="108" w:type="dxa"/>
              <w:right w:w="108"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FFFFFF"/>
                <w:spacing w:val="0"/>
                <w:position w:val="0"/>
                <w:sz w:val="16"/>
                <w:shd w:fill="auto" w:val="clear"/>
              </w:rPr>
              <w:t xml:space="preserve"> </w:t>
            </w:r>
          </w:p>
        </w:tc>
        <w:tc>
          <w:tcPr>
            <w:tcW w:w="561" w:type="dxa"/>
            <w:tcBorders>
              <w:top w:val="single" w:color="000000" w:sz="0"/>
              <w:left w:val="single" w:color="000000" w:sz="0"/>
              <w:bottom w:val="single" w:color="000000" w:sz="4"/>
              <w:right w:val="single" w:color="000000" w:sz="4"/>
            </w:tcBorders>
            <w:shd w:color="000000" w:fill="8ea9db" w:val="clear"/>
            <w:tcMar>
              <w:left w:w="108" w:type="dxa"/>
              <w:right w:w="108"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FFFFFF"/>
                <w:spacing w:val="0"/>
                <w:position w:val="0"/>
                <w:sz w:val="16"/>
                <w:shd w:fill="auto" w:val="clear"/>
              </w:rPr>
              <w:t xml:space="preserve"> </w:t>
            </w:r>
          </w:p>
        </w:tc>
        <w:tc>
          <w:tcPr>
            <w:tcW w:w="561" w:type="dxa"/>
            <w:tcBorders>
              <w:top w:val="single" w:color="000000" w:sz="0"/>
              <w:left w:val="single" w:color="000000" w:sz="0"/>
              <w:bottom w:val="single" w:color="000000" w:sz="4"/>
              <w:right w:val="single" w:color="000000" w:sz="4"/>
            </w:tcBorders>
            <w:shd w:color="000000" w:fill="8ea9db" w:val="clear"/>
            <w:tcMar>
              <w:left w:w="108" w:type="dxa"/>
              <w:right w:w="108"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FFFFFF"/>
                <w:spacing w:val="0"/>
                <w:position w:val="0"/>
                <w:sz w:val="16"/>
                <w:shd w:fill="auto" w:val="clear"/>
              </w:rPr>
              <w:t xml:space="preserve"> </w:t>
            </w:r>
          </w:p>
        </w:tc>
        <w:tc>
          <w:tcPr>
            <w:tcW w:w="227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Služba za prostorno ure</w:t>
            </w:r>
            <w:r>
              <w:rPr>
                <w:rFonts w:ascii="Calibri" w:hAnsi="Calibri" w:cs="Calibri" w:eastAsia="Calibri"/>
                <w:color w:val="000000"/>
                <w:spacing w:val="0"/>
                <w:position w:val="0"/>
                <w:sz w:val="16"/>
                <w:shd w:fill="auto" w:val="clear"/>
              </w:rPr>
              <w:t xml:space="preserve">đenje</w:t>
            </w:r>
          </w:p>
        </w:tc>
      </w:tr>
      <w:tr>
        <w:trPr>
          <w:trHeight w:val="1" w:hRule="atLeast"/>
          <w:jc w:val="left"/>
        </w:trPr>
        <w:tc>
          <w:tcPr>
            <w:tcW w:w="846"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b/>
                <w:color w:val="000000"/>
                <w:spacing w:val="0"/>
                <w:position w:val="0"/>
                <w:sz w:val="16"/>
                <w:shd w:fill="auto" w:val="clear"/>
              </w:rPr>
              <w:t xml:space="preserve">SZ-3</w:t>
            </w:r>
          </w:p>
        </w:tc>
        <w:tc>
          <w:tcPr>
            <w:tcW w:w="431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b/>
                <w:color w:val="000000"/>
                <w:spacing w:val="0"/>
                <w:position w:val="0"/>
                <w:sz w:val="16"/>
                <w:shd w:fill="auto" w:val="clear"/>
              </w:rPr>
              <w:t xml:space="preserve">Poboljšanje energetskih karakteristika postoje</w:t>
            </w:r>
            <w:r>
              <w:rPr>
                <w:rFonts w:ascii="Calibri" w:hAnsi="Calibri" w:cs="Calibri" w:eastAsia="Calibri"/>
                <w:b/>
                <w:color w:val="000000"/>
                <w:spacing w:val="0"/>
                <w:position w:val="0"/>
                <w:sz w:val="16"/>
                <w:shd w:fill="auto" w:val="clear"/>
              </w:rPr>
              <w:t xml:space="preserve">ćih i ugradnja novih energetski efikasnih sistema grijanja u stambenim zgradama individualnog stanovanja</w:t>
            </w:r>
          </w:p>
        </w:tc>
        <w:tc>
          <w:tcPr>
            <w:tcW w:w="561" w:type="dxa"/>
            <w:tcBorders>
              <w:top w:val="single" w:color="000000" w:sz="0"/>
              <w:left w:val="single" w:color="000000" w:sz="0"/>
              <w:bottom w:val="single" w:color="000000" w:sz="4"/>
              <w:right w:val="single" w:color="000000" w:sz="4"/>
            </w:tcBorders>
            <w:shd w:color="000000" w:fill="8ea9db"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FFFFFF"/>
                <w:spacing w:val="0"/>
                <w:position w:val="0"/>
                <w:sz w:val="16"/>
                <w:shd w:fill="auto" w:val="clear"/>
              </w:rPr>
              <w:t xml:space="preserve"> </w:t>
            </w:r>
          </w:p>
        </w:tc>
        <w:tc>
          <w:tcPr>
            <w:tcW w:w="561" w:type="dxa"/>
            <w:tcBorders>
              <w:top w:val="single" w:color="000000" w:sz="0"/>
              <w:left w:val="single" w:color="000000" w:sz="0"/>
              <w:bottom w:val="single" w:color="000000" w:sz="4"/>
              <w:right w:val="single" w:color="000000" w:sz="4"/>
            </w:tcBorders>
            <w:shd w:color="000000" w:fill="8ea9db"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FFFFFF"/>
                <w:spacing w:val="0"/>
                <w:position w:val="0"/>
                <w:sz w:val="16"/>
                <w:shd w:fill="auto" w:val="clear"/>
              </w:rPr>
              <w:t xml:space="preserve"> </w:t>
            </w:r>
          </w:p>
        </w:tc>
        <w:tc>
          <w:tcPr>
            <w:tcW w:w="561" w:type="dxa"/>
            <w:tcBorders>
              <w:top w:val="single" w:color="000000" w:sz="0"/>
              <w:left w:val="single" w:color="000000" w:sz="0"/>
              <w:bottom w:val="single" w:color="000000" w:sz="4"/>
              <w:right w:val="single" w:color="000000" w:sz="4"/>
            </w:tcBorders>
            <w:shd w:color="000000" w:fill="8ea9db"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FFFFFF"/>
                <w:spacing w:val="0"/>
                <w:position w:val="0"/>
                <w:sz w:val="16"/>
                <w:shd w:fill="auto" w:val="clear"/>
              </w:rPr>
              <w:t xml:space="preserve"> </w:t>
            </w:r>
          </w:p>
        </w:tc>
        <w:tc>
          <w:tcPr>
            <w:tcW w:w="561" w:type="dxa"/>
            <w:tcBorders>
              <w:top w:val="single" w:color="000000" w:sz="0"/>
              <w:left w:val="single" w:color="000000" w:sz="0"/>
              <w:bottom w:val="single" w:color="000000" w:sz="4"/>
              <w:right w:val="single" w:color="000000" w:sz="4"/>
            </w:tcBorders>
            <w:shd w:color="000000" w:fill="8ea9db"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FFFFFF"/>
                <w:spacing w:val="0"/>
                <w:position w:val="0"/>
                <w:sz w:val="16"/>
                <w:shd w:fill="auto" w:val="clear"/>
              </w:rPr>
              <w:t xml:space="preserve"> </w:t>
            </w:r>
          </w:p>
        </w:tc>
        <w:tc>
          <w:tcPr>
            <w:tcW w:w="561" w:type="dxa"/>
            <w:tcBorders>
              <w:top w:val="single" w:color="000000" w:sz="0"/>
              <w:left w:val="single" w:color="000000" w:sz="0"/>
              <w:bottom w:val="single" w:color="000000" w:sz="4"/>
              <w:right w:val="single" w:color="000000" w:sz="4"/>
            </w:tcBorders>
            <w:shd w:color="000000" w:fill="8ea9db"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FFFFFF"/>
                <w:spacing w:val="0"/>
                <w:position w:val="0"/>
                <w:sz w:val="16"/>
                <w:shd w:fill="auto" w:val="clear"/>
              </w:rPr>
              <w:t xml:space="preserve"> </w:t>
            </w:r>
          </w:p>
        </w:tc>
        <w:tc>
          <w:tcPr>
            <w:tcW w:w="561" w:type="dxa"/>
            <w:tcBorders>
              <w:top w:val="single" w:color="000000" w:sz="0"/>
              <w:left w:val="single" w:color="000000" w:sz="0"/>
              <w:bottom w:val="single" w:color="000000" w:sz="4"/>
              <w:right w:val="single" w:color="000000" w:sz="4"/>
            </w:tcBorders>
            <w:shd w:color="000000" w:fill="8ea9db"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FFFFFF"/>
                <w:spacing w:val="0"/>
                <w:position w:val="0"/>
                <w:sz w:val="16"/>
                <w:shd w:fill="auto" w:val="clear"/>
              </w:rPr>
              <w:t xml:space="preserve"> </w:t>
            </w:r>
          </w:p>
        </w:tc>
        <w:tc>
          <w:tcPr>
            <w:tcW w:w="561" w:type="dxa"/>
            <w:tcBorders>
              <w:top w:val="single" w:color="000000" w:sz="0"/>
              <w:left w:val="single" w:color="000000" w:sz="0"/>
              <w:bottom w:val="single" w:color="000000" w:sz="4"/>
              <w:right w:val="single" w:color="000000" w:sz="4"/>
            </w:tcBorders>
            <w:shd w:color="000000" w:fill="8ea9db"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FFFFFF"/>
                <w:spacing w:val="0"/>
                <w:position w:val="0"/>
                <w:sz w:val="16"/>
                <w:shd w:fill="auto" w:val="clear"/>
              </w:rPr>
              <w:t xml:space="preserve"> </w:t>
            </w:r>
          </w:p>
        </w:tc>
        <w:tc>
          <w:tcPr>
            <w:tcW w:w="561" w:type="dxa"/>
            <w:tcBorders>
              <w:top w:val="single" w:color="000000" w:sz="0"/>
              <w:left w:val="single" w:color="000000" w:sz="0"/>
              <w:bottom w:val="single" w:color="000000" w:sz="4"/>
              <w:right w:val="single" w:color="000000" w:sz="4"/>
            </w:tcBorders>
            <w:shd w:color="000000" w:fill="8ea9db" w:val="clear"/>
            <w:tcMar>
              <w:left w:w="108" w:type="dxa"/>
              <w:right w:w="108"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FFFFFF"/>
                <w:spacing w:val="0"/>
                <w:position w:val="0"/>
                <w:sz w:val="16"/>
                <w:shd w:fill="auto" w:val="clear"/>
              </w:rPr>
              <w:t xml:space="preserve"> </w:t>
            </w:r>
          </w:p>
        </w:tc>
        <w:tc>
          <w:tcPr>
            <w:tcW w:w="561" w:type="dxa"/>
            <w:tcBorders>
              <w:top w:val="single" w:color="000000" w:sz="0"/>
              <w:left w:val="single" w:color="000000" w:sz="0"/>
              <w:bottom w:val="single" w:color="000000" w:sz="4"/>
              <w:right w:val="single" w:color="000000" w:sz="4"/>
            </w:tcBorders>
            <w:shd w:color="000000" w:fill="8ea9db" w:val="clear"/>
            <w:tcMar>
              <w:left w:w="108" w:type="dxa"/>
              <w:right w:w="108"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FFFFFF"/>
                <w:spacing w:val="0"/>
                <w:position w:val="0"/>
                <w:sz w:val="16"/>
                <w:shd w:fill="auto" w:val="clear"/>
              </w:rPr>
              <w:t xml:space="preserve"> </w:t>
            </w:r>
          </w:p>
        </w:tc>
        <w:tc>
          <w:tcPr>
            <w:tcW w:w="561" w:type="dxa"/>
            <w:tcBorders>
              <w:top w:val="single" w:color="000000" w:sz="0"/>
              <w:left w:val="single" w:color="000000" w:sz="0"/>
              <w:bottom w:val="single" w:color="000000" w:sz="4"/>
              <w:right w:val="single" w:color="000000" w:sz="4"/>
            </w:tcBorders>
            <w:shd w:color="000000" w:fill="8ea9db" w:val="clear"/>
            <w:tcMar>
              <w:left w:w="108" w:type="dxa"/>
              <w:right w:w="108"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FFFFFF"/>
                <w:spacing w:val="0"/>
                <w:position w:val="0"/>
                <w:sz w:val="16"/>
                <w:shd w:fill="auto" w:val="clear"/>
              </w:rPr>
              <w:t xml:space="preserve"> </w:t>
            </w:r>
          </w:p>
        </w:tc>
        <w:tc>
          <w:tcPr>
            <w:tcW w:w="561" w:type="dxa"/>
            <w:tcBorders>
              <w:top w:val="single" w:color="000000" w:sz="0"/>
              <w:left w:val="single" w:color="000000" w:sz="0"/>
              <w:bottom w:val="single" w:color="000000" w:sz="4"/>
              <w:right w:val="single" w:color="000000" w:sz="4"/>
            </w:tcBorders>
            <w:shd w:color="000000" w:fill="8ea9db" w:val="clear"/>
            <w:tcMar>
              <w:left w:w="108" w:type="dxa"/>
              <w:right w:w="108" w:type="dxa"/>
            </w:tcMar>
            <w:vAlign w:val="bottom"/>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FFFFFF"/>
                <w:spacing w:val="0"/>
                <w:position w:val="0"/>
                <w:sz w:val="16"/>
                <w:shd w:fill="auto" w:val="clear"/>
              </w:rPr>
              <w:t xml:space="preserve"> </w:t>
            </w:r>
          </w:p>
        </w:tc>
        <w:tc>
          <w:tcPr>
            <w:tcW w:w="227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Služba za prostorno ure</w:t>
            </w:r>
            <w:r>
              <w:rPr>
                <w:rFonts w:ascii="Calibri" w:hAnsi="Calibri" w:cs="Calibri" w:eastAsia="Calibri"/>
                <w:color w:val="000000"/>
                <w:spacing w:val="0"/>
                <w:position w:val="0"/>
                <w:sz w:val="16"/>
                <w:shd w:fill="auto" w:val="clear"/>
              </w:rPr>
              <w:t xml:space="preserve">đenje</w:t>
            </w:r>
          </w:p>
        </w:tc>
      </w:tr>
      <w:tr>
        <w:trPr>
          <w:trHeight w:val="1" w:hRule="atLeast"/>
          <w:jc w:val="left"/>
        </w:trPr>
        <w:tc>
          <w:tcPr>
            <w:tcW w:w="13603" w:type="dxa"/>
            <w:gridSpan w:val="14"/>
            <w:tcBorders>
              <w:top w:val="single" w:color="000000" w:sz="4"/>
              <w:left w:val="single" w:color="000000" w:sz="4"/>
              <w:bottom w:val="single" w:color="000000" w:sz="4"/>
              <w:right w:val="single" w:color="000000" w:sz="4"/>
            </w:tcBorders>
            <w:shd w:color="000000" w:fill="deeaf6"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i/>
                <w:color w:val="000000"/>
                <w:spacing w:val="0"/>
                <w:position w:val="0"/>
                <w:sz w:val="16"/>
                <w:shd w:fill="auto" w:val="clear"/>
              </w:rPr>
              <w:t xml:space="preserve">Mjere za za podsektor javne zgrade u vlasništvu Op</w:t>
            </w:r>
            <w:r>
              <w:rPr>
                <w:rFonts w:ascii="Calibri" w:hAnsi="Calibri" w:cs="Calibri" w:eastAsia="Calibri"/>
                <w:i/>
                <w:color w:val="000000"/>
                <w:spacing w:val="0"/>
                <w:position w:val="0"/>
                <w:sz w:val="16"/>
                <w:shd w:fill="auto" w:val="clear"/>
              </w:rPr>
              <w:t xml:space="preserve">ćine</w:t>
            </w:r>
          </w:p>
        </w:tc>
      </w:tr>
      <w:tr>
        <w:trPr>
          <w:trHeight w:val="1" w:hRule="atLeast"/>
          <w:jc w:val="left"/>
        </w:trPr>
        <w:tc>
          <w:tcPr>
            <w:tcW w:w="846"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JZO-1</w:t>
            </w:r>
          </w:p>
        </w:tc>
        <w:tc>
          <w:tcPr>
            <w:tcW w:w="431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Integralna energetska obnova javnih zgrada u vlasništvu Op</w:t>
            </w:r>
            <w:r>
              <w:rPr>
                <w:rFonts w:ascii="Calibri" w:hAnsi="Calibri" w:cs="Calibri" w:eastAsia="Calibri"/>
                <w:color w:val="000000"/>
                <w:spacing w:val="0"/>
                <w:position w:val="0"/>
                <w:sz w:val="16"/>
                <w:shd w:fill="auto" w:val="clear"/>
              </w:rPr>
              <w:t xml:space="preserve">ćine Doboj Istok u kojima se kao energent za grijanje koriste fosilna goriva </w:t>
            </w:r>
          </w:p>
        </w:tc>
        <w:tc>
          <w:tcPr>
            <w:tcW w:w="561" w:type="dxa"/>
            <w:tcBorders>
              <w:top w:val="single" w:color="000000" w:sz="0"/>
              <w:left w:val="single" w:color="000000" w:sz="0"/>
              <w:bottom w:val="single" w:color="000000" w:sz="4"/>
              <w:right w:val="single" w:color="000000" w:sz="4"/>
            </w:tcBorders>
            <w:shd w:color="000000" w:fill="8ea9db"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FFFFFF"/>
                <w:spacing w:val="0"/>
                <w:position w:val="0"/>
                <w:sz w:val="16"/>
                <w:shd w:fill="auto" w:val="clear"/>
              </w:rPr>
              <w:t xml:space="preserve"> </w:t>
            </w:r>
          </w:p>
        </w:tc>
        <w:tc>
          <w:tcPr>
            <w:tcW w:w="561" w:type="dxa"/>
            <w:tcBorders>
              <w:top w:val="single" w:color="000000" w:sz="0"/>
              <w:left w:val="single" w:color="000000" w:sz="0"/>
              <w:bottom w:val="single" w:color="000000" w:sz="4"/>
              <w:right w:val="single" w:color="000000" w:sz="4"/>
            </w:tcBorders>
            <w:shd w:color="000000" w:fill="8ea9db"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FFFFFF"/>
                <w:spacing w:val="0"/>
                <w:position w:val="0"/>
                <w:sz w:val="16"/>
                <w:shd w:fill="auto" w:val="clear"/>
              </w:rPr>
              <w:t xml:space="preserve"> </w:t>
            </w:r>
          </w:p>
        </w:tc>
        <w:tc>
          <w:tcPr>
            <w:tcW w:w="561" w:type="dxa"/>
            <w:tcBorders>
              <w:top w:val="single" w:color="000000" w:sz="0"/>
              <w:left w:val="single" w:color="000000" w:sz="0"/>
              <w:bottom w:val="single" w:color="000000" w:sz="4"/>
              <w:right w:val="single" w:color="000000" w:sz="4"/>
            </w:tcBorders>
            <w:shd w:color="000000" w:fill="8ea9db"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FFFFFF"/>
                <w:spacing w:val="0"/>
                <w:position w:val="0"/>
                <w:sz w:val="16"/>
                <w:shd w:fill="auto" w:val="clear"/>
              </w:rPr>
              <w:t xml:space="preserve"> </w:t>
            </w:r>
          </w:p>
        </w:tc>
        <w:tc>
          <w:tcPr>
            <w:tcW w:w="561" w:type="dxa"/>
            <w:tcBorders>
              <w:top w:val="single" w:color="000000" w:sz="0"/>
              <w:left w:val="single" w:color="000000" w:sz="0"/>
              <w:bottom w:val="single" w:color="000000" w:sz="4"/>
              <w:right w:val="single" w:color="000000" w:sz="4"/>
            </w:tcBorders>
            <w:shd w:color="000000" w:fill="8ea9db"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FFFFFF"/>
                <w:spacing w:val="0"/>
                <w:position w:val="0"/>
                <w:sz w:val="16"/>
                <w:shd w:fill="auto" w:val="clear"/>
              </w:rPr>
              <w:t xml:space="preserve"> </w:t>
            </w:r>
          </w:p>
        </w:tc>
        <w:tc>
          <w:tcPr>
            <w:tcW w:w="561" w:type="dxa"/>
            <w:tcBorders>
              <w:top w:val="single" w:color="000000" w:sz="0"/>
              <w:left w:val="single" w:color="000000" w:sz="0"/>
              <w:bottom w:val="single" w:color="000000" w:sz="4"/>
              <w:right w:val="single" w:color="000000" w:sz="4"/>
            </w:tcBorders>
            <w:shd w:color="000000" w:fill="8ea9db"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FFFFFF"/>
                <w:spacing w:val="0"/>
                <w:position w:val="0"/>
                <w:sz w:val="16"/>
                <w:shd w:fill="auto" w:val="clear"/>
              </w:rPr>
              <w:t xml:space="preserve"> </w:t>
            </w:r>
          </w:p>
        </w:tc>
        <w:tc>
          <w:tcPr>
            <w:tcW w:w="561" w:type="dxa"/>
            <w:tcBorders>
              <w:top w:val="single" w:color="000000" w:sz="0"/>
              <w:left w:val="single" w:color="000000" w:sz="0"/>
              <w:bottom w:val="single" w:color="000000" w:sz="4"/>
              <w:right w:val="single" w:color="000000" w:sz="4"/>
            </w:tcBorders>
            <w:shd w:color="000000" w:fill="8ea9db"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FFFFFF"/>
                <w:spacing w:val="0"/>
                <w:position w:val="0"/>
                <w:sz w:val="16"/>
                <w:shd w:fill="auto" w:val="clear"/>
              </w:rPr>
              <w:t xml:space="preserve"> </w:t>
            </w:r>
          </w:p>
        </w:tc>
        <w:tc>
          <w:tcPr>
            <w:tcW w:w="561" w:type="dxa"/>
            <w:tcBorders>
              <w:top w:val="single" w:color="000000" w:sz="0"/>
              <w:left w:val="single" w:color="000000" w:sz="0"/>
              <w:bottom w:val="single" w:color="000000" w:sz="4"/>
              <w:right w:val="single" w:color="000000" w:sz="4"/>
            </w:tcBorders>
            <w:shd w:color="000000" w:fill="8ea9db"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FFFFFF"/>
                <w:spacing w:val="0"/>
                <w:position w:val="0"/>
                <w:sz w:val="16"/>
                <w:shd w:fill="auto" w:val="clear"/>
              </w:rPr>
              <w:t xml:space="preserve"> </w:t>
            </w:r>
          </w:p>
        </w:tc>
        <w:tc>
          <w:tcPr>
            <w:tcW w:w="561" w:type="dxa"/>
            <w:tcBorders>
              <w:top w:val="single" w:color="000000" w:sz="0"/>
              <w:left w:val="single" w:color="000000" w:sz="0"/>
              <w:bottom w:val="single" w:color="000000" w:sz="4"/>
              <w:right w:val="single" w:color="000000" w:sz="4"/>
            </w:tcBorders>
            <w:shd w:color="000000" w:fill="8ea9db"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FFFFFF"/>
                <w:spacing w:val="0"/>
                <w:position w:val="0"/>
                <w:sz w:val="16"/>
                <w:shd w:fill="auto" w:val="clear"/>
              </w:rPr>
              <w:t xml:space="preserve"> </w:t>
            </w:r>
          </w:p>
        </w:tc>
        <w:tc>
          <w:tcPr>
            <w:tcW w:w="561" w:type="dxa"/>
            <w:tcBorders>
              <w:top w:val="single" w:color="000000" w:sz="0"/>
              <w:left w:val="single" w:color="000000" w:sz="0"/>
              <w:bottom w:val="single" w:color="000000" w:sz="4"/>
              <w:right w:val="single" w:color="000000" w:sz="4"/>
            </w:tcBorders>
            <w:shd w:color="000000" w:fill="8ea9db"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FFFFFF"/>
                <w:spacing w:val="0"/>
                <w:position w:val="0"/>
                <w:sz w:val="16"/>
                <w:shd w:fill="auto" w:val="clear"/>
              </w:rPr>
              <w:t xml:space="preserve"> </w:t>
            </w:r>
          </w:p>
        </w:tc>
        <w:tc>
          <w:tcPr>
            <w:tcW w:w="561" w:type="dxa"/>
            <w:tcBorders>
              <w:top w:val="single" w:color="000000" w:sz="0"/>
              <w:left w:val="single" w:color="000000" w:sz="0"/>
              <w:bottom w:val="single" w:color="000000" w:sz="4"/>
              <w:right w:val="single" w:color="000000" w:sz="4"/>
            </w:tcBorders>
            <w:shd w:color="000000" w:fill="8ea9db"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FFFFFF"/>
                <w:spacing w:val="0"/>
                <w:position w:val="0"/>
                <w:sz w:val="16"/>
                <w:shd w:fill="auto" w:val="clear"/>
              </w:rPr>
              <w:t xml:space="preserve"> </w:t>
            </w:r>
          </w:p>
        </w:tc>
        <w:tc>
          <w:tcPr>
            <w:tcW w:w="561" w:type="dxa"/>
            <w:tcBorders>
              <w:top w:val="single" w:color="000000" w:sz="0"/>
              <w:left w:val="single" w:color="000000" w:sz="0"/>
              <w:bottom w:val="single" w:color="000000" w:sz="4"/>
              <w:right w:val="single" w:color="000000" w:sz="4"/>
            </w:tcBorders>
            <w:shd w:color="000000" w:fill="8ea9db"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FFFFFF"/>
                <w:spacing w:val="0"/>
                <w:position w:val="0"/>
                <w:sz w:val="16"/>
                <w:shd w:fill="auto" w:val="clear"/>
              </w:rPr>
              <w:t xml:space="preserve"> </w:t>
            </w:r>
          </w:p>
        </w:tc>
        <w:tc>
          <w:tcPr>
            <w:tcW w:w="227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Služba za prostorno ure</w:t>
            </w:r>
            <w:r>
              <w:rPr>
                <w:rFonts w:ascii="Calibri" w:hAnsi="Calibri" w:cs="Calibri" w:eastAsia="Calibri"/>
                <w:color w:val="000000"/>
                <w:spacing w:val="0"/>
                <w:position w:val="0"/>
                <w:sz w:val="16"/>
                <w:shd w:fill="auto" w:val="clear"/>
              </w:rPr>
              <w:t xml:space="preserve">đenje</w:t>
            </w:r>
          </w:p>
        </w:tc>
      </w:tr>
      <w:tr>
        <w:trPr>
          <w:trHeight w:val="1" w:hRule="atLeast"/>
          <w:jc w:val="left"/>
        </w:trPr>
        <w:tc>
          <w:tcPr>
            <w:tcW w:w="13603" w:type="dxa"/>
            <w:gridSpan w:val="14"/>
            <w:tcBorders>
              <w:top w:val="single" w:color="000000" w:sz="4"/>
              <w:left w:val="single" w:color="000000" w:sz="4"/>
              <w:bottom w:val="single" w:color="000000" w:sz="4"/>
              <w:right w:val="single" w:color="000000" w:sz="4"/>
            </w:tcBorders>
            <w:shd w:color="000000" w:fill="deeaf6"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i/>
                <w:color w:val="000000"/>
                <w:spacing w:val="0"/>
                <w:position w:val="0"/>
                <w:sz w:val="16"/>
                <w:shd w:fill="auto" w:val="clear"/>
              </w:rPr>
              <w:t xml:space="preserve">Mjere za za podsektor javne zgrade koje nisu u vlasništvu Op</w:t>
            </w:r>
            <w:r>
              <w:rPr>
                <w:rFonts w:ascii="Calibri" w:hAnsi="Calibri" w:cs="Calibri" w:eastAsia="Calibri"/>
                <w:i/>
                <w:color w:val="000000"/>
                <w:spacing w:val="0"/>
                <w:position w:val="0"/>
                <w:sz w:val="16"/>
                <w:shd w:fill="auto" w:val="clear"/>
              </w:rPr>
              <w:t xml:space="preserve">ćine</w:t>
            </w:r>
          </w:p>
        </w:tc>
      </w:tr>
      <w:tr>
        <w:trPr>
          <w:trHeight w:val="1" w:hRule="atLeast"/>
          <w:jc w:val="left"/>
        </w:trPr>
        <w:tc>
          <w:tcPr>
            <w:tcW w:w="846"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JZD-1</w:t>
            </w:r>
          </w:p>
        </w:tc>
        <w:tc>
          <w:tcPr>
            <w:tcW w:w="431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U</w:t>
            </w:r>
            <w:r>
              <w:rPr>
                <w:rFonts w:ascii="Calibri" w:hAnsi="Calibri" w:cs="Calibri" w:eastAsia="Calibri"/>
                <w:color w:val="000000"/>
                <w:spacing w:val="0"/>
                <w:position w:val="0"/>
                <w:sz w:val="16"/>
                <w:shd w:fill="auto" w:val="clear"/>
              </w:rPr>
              <w:t xml:space="preserve">češće u integralnoj energetskoj obnovi javnih zgrada koje nisu u vlasništvu Općine u kojima se kao energent za grijanje koriste fosilna goriva</w:t>
            </w:r>
          </w:p>
        </w:tc>
        <w:tc>
          <w:tcPr>
            <w:tcW w:w="561" w:type="dxa"/>
            <w:tcBorders>
              <w:top w:val="single" w:color="000000" w:sz="0"/>
              <w:left w:val="single" w:color="000000" w:sz="0"/>
              <w:bottom w:val="single" w:color="000000" w:sz="4"/>
              <w:right w:val="single" w:color="000000" w:sz="4"/>
            </w:tcBorders>
            <w:shd w:color="000000" w:fill="8ea9db"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FFFFFF"/>
                <w:spacing w:val="0"/>
                <w:position w:val="0"/>
                <w:sz w:val="16"/>
                <w:shd w:fill="auto" w:val="clear"/>
              </w:rPr>
              <w:t xml:space="preserve"> </w:t>
            </w:r>
          </w:p>
        </w:tc>
        <w:tc>
          <w:tcPr>
            <w:tcW w:w="561" w:type="dxa"/>
            <w:tcBorders>
              <w:top w:val="single" w:color="000000" w:sz="0"/>
              <w:left w:val="single" w:color="000000" w:sz="0"/>
              <w:bottom w:val="single" w:color="000000" w:sz="4"/>
              <w:right w:val="single" w:color="000000" w:sz="4"/>
            </w:tcBorders>
            <w:shd w:color="000000" w:fill="8ea9db"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FFFFFF"/>
                <w:spacing w:val="0"/>
                <w:position w:val="0"/>
                <w:sz w:val="16"/>
                <w:shd w:fill="auto" w:val="clear"/>
              </w:rPr>
              <w:t xml:space="preserve"> </w:t>
            </w:r>
          </w:p>
        </w:tc>
        <w:tc>
          <w:tcPr>
            <w:tcW w:w="561" w:type="dxa"/>
            <w:tcBorders>
              <w:top w:val="single" w:color="000000" w:sz="0"/>
              <w:left w:val="single" w:color="000000" w:sz="0"/>
              <w:bottom w:val="single" w:color="000000" w:sz="4"/>
              <w:right w:val="single" w:color="000000" w:sz="4"/>
            </w:tcBorders>
            <w:shd w:color="000000" w:fill="8ea9db"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FFFFFF"/>
                <w:spacing w:val="0"/>
                <w:position w:val="0"/>
                <w:sz w:val="16"/>
                <w:shd w:fill="auto" w:val="clear"/>
              </w:rPr>
              <w:t xml:space="preserve"> </w:t>
            </w:r>
          </w:p>
        </w:tc>
        <w:tc>
          <w:tcPr>
            <w:tcW w:w="561" w:type="dxa"/>
            <w:tcBorders>
              <w:top w:val="single" w:color="000000" w:sz="0"/>
              <w:left w:val="single" w:color="000000" w:sz="0"/>
              <w:bottom w:val="single" w:color="000000" w:sz="4"/>
              <w:right w:val="single" w:color="000000" w:sz="4"/>
            </w:tcBorders>
            <w:shd w:color="000000" w:fill="8ea9db"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FFFFFF"/>
                <w:spacing w:val="0"/>
                <w:position w:val="0"/>
                <w:sz w:val="16"/>
                <w:shd w:fill="auto" w:val="clear"/>
              </w:rPr>
              <w:t xml:space="preserve"> </w:t>
            </w:r>
          </w:p>
        </w:tc>
        <w:tc>
          <w:tcPr>
            <w:tcW w:w="561" w:type="dxa"/>
            <w:tcBorders>
              <w:top w:val="single" w:color="000000" w:sz="0"/>
              <w:left w:val="single" w:color="000000" w:sz="0"/>
              <w:bottom w:val="single" w:color="000000" w:sz="4"/>
              <w:right w:val="single" w:color="000000" w:sz="4"/>
            </w:tcBorders>
            <w:shd w:color="000000" w:fill="8ea9db"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FFFFFF"/>
                <w:spacing w:val="0"/>
                <w:position w:val="0"/>
                <w:sz w:val="16"/>
                <w:shd w:fill="auto" w:val="clear"/>
              </w:rPr>
              <w:t xml:space="preserve"> </w:t>
            </w:r>
          </w:p>
        </w:tc>
        <w:tc>
          <w:tcPr>
            <w:tcW w:w="561" w:type="dxa"/>
            <w:tcBorders>
              <w:top w:val="single" w:color="000000" w:sz="0"/>
              <w:left w:val="single" w:color="000000" w:sz="0"/>
              <w:bottom w:val="single" w:color="000000" w:sz="4"/>
              <w:right w:val="single" w:color="000000" w:sz="4"/>
            </w:tcBorders>
            <w:shd w:color="000000" w:fill="8ea9db"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FFFFFF"/>
                <w:spacing w:val="0"/>
                <w:position w:val="0"/>
                <w:sz w:val="16"/>
                <w:shd w:fill="auto" w:val="clear"/>
              </w:rPr>
              <w:t xml:space="preserve"> </w:t>
            </w:r>
          </w:p>
        </w:tc>
        <w:tc>
          <w:tcPr>
            <w:tcW w:w="561" w:type="dxa"/>
            <w:tcBorders>
              <w:top w:val="single" w:color="000000" w:sz="0"/>
              <w:left w:val="single" w:color="000000" w:sz="0"/>
              <w:bottom w:val="single" w:color="000000" w:sz="4"/>
              <w:right w:val="single" w:color="000000" w:sz="4"/>
            </w:tcBorders>
            <w:shd w:color="000000" w:fill="8ea9db"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FFFFFF"/>
                <w:spacing w:val="0"/>
                <w:position w:val="0"/>
                <w:sz w:val="16"/>
                <w:shd w:fill="auto" w:val="clear"/>
              </w:rPr>
              <w:t xml:space="preserve"> </w:t>
            </w:r>
          </w:p>
        </w:tc>
        <w:tc>
          <w:tcPr>
            <w:tcW w:w="561" w:type="dxa"/>
            <w:tcBorders>
              <w:top w:val="single" w:color="000000" w:sz="0"/>
              <w:left w:val="single" w:color="000000" w:sz="0"/>
              <w:bottom w:val="single" w:color="000000" w:sz="4"/>
              <w:right w:val="single" w:color="000000" w:sz="4"/>
            </w:tcBorders>
            <w:shd w:color="000000" w:fill="8ea9db"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FFFFFF"/>
                <w:spacing w:val="0"/>
                <w:position w:val="0"/>
                <w:sz w:val="16"/>
                <w:shd w:fill="auto" w:val="clear"/>
              </w:rPr>
              <w:t xml:space="preserve"> </w:t>
            </w:r>
          </w:p>
        </w:tc>
        <w:tc>
          <w:tcPr>
            <w:tcW w:w="561" w:type="dxa"/>
            <w:tcBorders>
              <w:top w:val="single" w:color="000000" w:sz="0"/>
              <w:left w:val="single" w:color="000000" w:sz="0"/>
              <w:bottom w:val="single" w:color="000000" w:sz="4"/>
              <w:right w:val="single" w:color="000000" w:sz="4"/>
            </w:tcBorders>
            <w:shd w:color="000000" w:fill="8ea9db"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FFFFFF"/>
                <w:spacing w:val="0"/>
                <w:position w:val="0"/>
                <w:sz w:val="16"/>
                <w:shd w:fill="auto" w:val="clear"/>
              </w:rPr>
              <w:t xml:space="preserve"> </w:t>
            </w:r>
          </w:p>
        </w:tc>
        <w:tc>
          <w:tcPr>
            <w:tcW w:w="561" w:type="dxa"/>
            <w:tcBorders>
              <w:top w:val="single" w:color="000000" w:sz="0"/>
              <w:left w:val="single" w:color="000000" w:sz="0"/>
              <w:bottom w:val="single" w:color="000000" w:sz="4"/>
              <w:right w:val="single" w:color="000000" w:sz="4"/>
            </w:tcBorders>
            <w:shd w:color="000000" w:fill="8ea9db"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FFFFFF"/>
                <w:spacing w:val="0"/>
                <w:position w:val="0"/>
                <w:sz w:val="16"/>
                <w:shd w:fill="auto" w:val="clear"/>
              </w:rPr>
              <w:t xml:space="preserve"> </w:t>
            </w:r>
          </w:p>
        </w:tc>
        <w:tc>
          <w:tcPr>
            <w:tcW w:w="561" w:type="dxa"/>
            <w:tcBorders>
              <w:top w:val="single" w:color="000000" w:sz="0"/>
              <w:left w:val="single" w:color="000000" w:sz="0"/>
              <w:bottom w:val="single" w:color="000000" w:sz="4"/>
              <w:right w:val="single" w:color="000000" w:sz="4"/>
            </w:tcBorders>
            <w:shd w:color="000000" w:fill="8ea9db"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FFFFFF"/>
                <w:spacing w:val="0"/>
                <w:position w:val="0"/>
                <w:sz w:val="16"/>
                <w:shd w:fill="auto" w:val="clear"/>
              </w:rPr>
              <w:t xml:space="preserve"> </w:t>
            </w:r>
          </w:p>
        </w:tc>
        <w:tc>
          <w:tcPr>
            <w:tcW w:w="227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Op</w:t>
            </w:r>
            <w:r>
              <w:rPr>
                <w:rFonts w:ascii="Calibri" w:hAnsi="Calibri" w:cs="Calibri" w:eastAsia="Calibri"/>
                <w:color w:val="000000"/>
                <w:spacing w:val="0"/>
                <w:position w:val="0"/>
                <w:sz w:val="16"/>
                <w:shd w:fill="auto" w:val="clear"/>
              </w:rPr>
              <w:t xml:space="preserve">ćina Doboj Istok</w:t>
            </w:r>
          </w:p>
        </w:tc>
      </w:tr>
      <w:tr>
        <w:trPr>
          <w:trHeight w:val="1" w:hRule="atLeast"/>
          <w:jc w:val="left"/>
        </w:trPr>
        <w:tc>
          <w:tcPr>
            <w:tcW w:w="13603" w:type="dxa"/>
            <w:gridSpan w:val="14"/>
            <w:tcBorders>
              <w:top w:val="single" w:color="000000" w:sz="4"/>
              <w:left w:val="single" w:color="000000" w:sz="4"/>
              <w:bottom w:val="single" w:color="000000" w:sz="4"/>
              <w:right w:val="single" w:color="000000" w:sz="4"/>
            </w:tcBorders>
            <w:shd w:color="000000" w:fill="bdd7ee"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i/>
                <w:color w:val="000000"/>
                <w:spacing w:val="0"/>
                <w:position w:val="0"/>
                <w:sz w:val="16"/>
                <w:shd w:fill="auto" w:val="clear"/>
              </w:rPr>
              <w:t xml:space="preserve">Mjere za smanjenje emisije CO</w:t>
            </w:r>
            <w:r>
              <w:rPr>
                <w:rFonts w:ascii="Calibri" w:hAnsi="Calibri" w:cs="Calibri" w:eastAsia="Calibri"/>
                <w:i/>
                <w:color w:val="000000"/>
                <w:spacing w:val="0"/>
                <w:position w:val="0"/>
                <w:sz w:val="16"/>
                <w:shd w:fill="auto" w:val="clear"/>
                <w:vertAlign w:val="subscript"/>
              </w:rPr>
              <w:t xml:space="preserve">2</w:t>
            </w:r>
            <w:r>
              <w:rPr>
                <w:rFonts w:ascii="Calibri" w:hAnsi="Calibri" w:cs="Calibri" w:eastAsia="Calibri"/>
                <w:i/>
                <w:color w:val="000000"/>
                <w:spacing w:val="0"/>
                <w:position w:val="0"/>
                <w:sz w:val="16"/>
                <w:shd w:fill="auto" w:val="clear"/>
              </w:rPr>
              <w:t xml:space="preserve"> iz sektora saobra</w:t>
            </w:r>
            <w:r>
              <w:rPr>
                <w:rFonts w:ascii="Calibri" w:hAnsi="Calibri" w:cs="Calibri" w:eastAsia="Calibri"/>
                <w:i/>
                <w:color w:val="000000"/>
                <w:spacing w:val="0"/>
                <w:position w:val="0"/>
                <w:sz w:val="16"/>
                <w:shd w:fill="auto" w:val="clear"/>
              </w:rPr>
              <w:t xml:space="preserve">ćaja</w:t>
            </w:r>
          </w:p>
        </w:tc>
      </w:tr>
      <w:tr>
        <w:trPr>
          <w:trHeight w:val="1" w:hRule="atLeast"/>
          <w:jc w:val="left"/>
        </w:trPr>
        <w:tc>
          <w:tcPr>
            <w:tcW w:w="846"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SG-1</w:t>
            </w:r>
          </w:p>
        </w:tc>
        <w:tc>
          <w:tcPr>
            <w:tcW w:w="431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Nabavka elektri</w:t>
            </w:r>
            <w:r>
              <w:rPr>
                <w:rFonts w:ascii="Calibri" w:hAnsi="Calibri" w:cs="Calibri" w:eastAsia="Calibri"/>
                <w:color w:val="000000"/>
                <w:spacing w:val="0"/>
                <w:position w:val="0"/>
                <w:sz w:val="16"/>
                <w:shd w:fill="auto" w:val="clear"/>
              </w:rPr>
              <w:t xml:space="preserve">čnih vozila u vlasništvu Općine sa smanjenom emisijom stakleničkih gasova</w:t>
            </w:r>
          </w:p>
        </w:tc>
        <w:tc>
          <w:tcPr>
            <w:tcW w:w="561" w:type="dxa"/>
            <w:tcBorders>
              <w:top w:val="single" w:color="000000" w:sz="0"/>
              <w:left w:val="single" w:color="000000" w:sz="0"/>
              <w:bottom w:val="single" w:color="000000" w:sz="4"/>
              <w:right w:val="single" w:color="000000" w:sz="4"/>
            </w:tcBorders>
            <w:shd w:color="000000" w:fill="8ea9db"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FFFFFF"/>
                <w:spacing w:val="0"/>
                <w:position w:val="0"/>
                <w:sz w:val="16"/>
                <w:shd w:fill="auto" w:val="clear"/>
              </w:rPr>
              <w:t xml:space="preserve"> </w:t>
            </w:r>
          </w:p>
        </w:tc>
        <w:tc>
          <w:tcPr>
            <w:tcW w:w="561" w:type="dxa"/>
            <w:tcBorders>
              <w:top w:val="single" w:color="000000" w:sz="0"/>
              <w:left w:val="single" w:color="000000" w:sz="0"/>
              <w:bottom w:val="single" w:color="000000" w:sz="4"/>
              <w:right w:val="single" w:color="000000" w:sz="4"/>
            </w:tcBorders>
            <w:shd w:color="000000" w:fill="8ea9db"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FFFFFF"/>
                <w:spacing w:val="0"/>
                <w:position w:val="0"/>
                <w:sz w:val="16"/>
                <w:shd w:fill="auto" w:val="clear"/>
              </w:rPr>
              <w:t xml:space="preserve"> </w:t>
            </w:r>
          </w:p>
        </w:tc>
        <w:tc>
          <w:tcPr>
            <w:tcW w:w="561" w:type="dxa"/>
            <w:tcBorders>
              <w:top w:val="single" w:color="000000" w:sz="0"/>
              <w:left w:val="single" w:color="000000" w:sz="0"/>
              <w:bottom w:val="single" w:color="000000" w:sz="4"/>
              <w:right w:val="single" w:color="000000" w:sz="4"/>
            </w:tcBorders>
            <w:shd w:color="000000" w:fill="8ea9db"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FFFFFF"/>
                <w:spacing w:val="0"/>
                <w:position w:val="0"/>
                <w:sz w:val="16"/>
                <w:shd w:fill="auto" w:val="clear"/>
              </w:rPr>
              <w:t xml:space="preserve"> </w:t>
            </w:r>
          </w:p>
        </w:tc>
        <w:tc>
          <w:tcPr>
            <w:tcW w:w="561" w:type="dxa"/>
            <w:tcBorders>
              <w:top w:val="single" w:color="000000" w:sz="0"/>
              <w:left w:val="single" w:color="000000" w:sz="0"/>
              <w:bottom w:val="single" w:color="000000" w:sz="4"/>
              <w:right w:val="single" w:color="000000" w:sz="4"/>
            </w:tcBorders>
            <w:shd w:color="000000" w:fill="8ea9db"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FFFFFF"/>
                <w:spacing w:val="0"/>
                <w:position w:val="0"/>
                <w:sz w:val="16"/>
                <w:shd w:fill="auto" w:val="clear"/>
              </w:rPr>
              <w:t xml:space="preserve"> </w:t>
            </w:r>
          </w:p>
        </w:tc>
        <w:tc>
          <w:tcPr>
            <w:tcW w:w="561" w:type="dxa"/>
            <w:tcBorders>
              <w:top w:val="single" w:color="000000" w:sz="0"/>
              <w:left w:val="single" w:color="000000" w:sz="0"/>
              <w:bottom w:val="single" w:color="000000" w:sz="4"/>
              <w:right w:val="single" w:color="000000" w:sz="4"/>
            </w:tcBorders>
            <w:shd w:color="000000" w:fill="8ea9db"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FFFFFF"/>
                <w:spacing w:val="0"/>
                <w:position w:val="0"/>
                <w:sz w:val="16"/>
                <w:shd w:fill="auto" w:val="clear"/>
              </w:rPr>
              <w:t xml:space="preserve"> </w:t>
            </w:r>
          </w:p>
        </w:tc>
        <w:tc>
          <w:tcPr>
            <w:tcW w:w="561" w:type="dxa"/>
            <w:tcBorders>
              <w:top w:val="single" w:color="000000" w:sz="0"/>
              <w:left w:val="single" w:color="000000" w:sz="0"/>
              <w:bottom w:val="single" w:color="000000" w:sz="4"/>
              <w:right w:val="single" w:color="000000" w:sz="4"/>
            </w:tcBorders>
            <w:shd w:color="000000" w:fill="8ea9db"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FFFFFF"/>
                <w:spacing w:val="0"/>
                <w:position w:val="0"/>
                <w:sz w:val="16"/>
                <w:shd w:fill="auto" w:val="clear"/>
              </w:rPr>
              <w:t xml:space="preserve"> </w:t>
            </w:r>
          </w:p>
        </w:tc>
        <w:tc>
          <w:tcPr>
            <w:tcW w:w="561" w:type="dxa"/>
            <w:tcBorders>
              <w:top w:val="single" w:color="000000" w:sz="0"/>
              <w:left w:val="single" w:color="000000" w:sz="0"/>
              <w:bottom w:val="single" w:color="000000" w:sz="4"/>
              <w:right w:val="single" w:color="000000" w:sz="4"/>
            </w:tcBorders>
            <w:shd w:color="000000" w:fill="8ea9db"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FFFFFF"/>
                <w:spacing w:val="0"/>
                <w:position w:val="0"/>
                <w:sz w:val="16"/>
                <w:shd w:fill="auto" w:val="clear"/>
              </w:rPr>
              <w:t xml:space="preserve"> </w:t>
            </w:r>
          </w:p>
        </w:tc>
        <w:tc>
          <w:tcPr>
            <w:tcW w:w="561" w:type="dxa"/>
            <w:tcBorders>
              <w:top w:val="single" w:color="000000" w:sz="0"/>
              <w:left w:val="single" w:color="000000" w:sz="0"/>
              <w:bottom w:val="single" w:color="000000" w:sz="4"/>
              <w:right w:val="single" w:color="000000" w:sz="4"/>
            </w:tcBorders>
            <w:shd w:color="000000" w:fill="8ea9db"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FFFFFF"/>
                <w:spacing w:val="0"/>
                <w:position w:val="0"/>
                <w:sz w:val="16"/>
                <w:shd w:fill="auto" w:val="clear"/>
              </w:rPr>
              <w:t xml:space="preserve"> </w:t>
            </w:r>
          </w:p>
        </w:tc>
        <w:tc>
          <w:tcPr>
            <w:tcW w:w="561" w:type="dxa"/>
            <w:tcBorders>
              <w:top w:val="single" w:color="000000" w:sz="0"/>
              <w:left w:val="single" w:color="000000" w:sz="0"/>
              <w:bottom w:val="single" w:color="000000" w:sz="4"/>
              <w:right w:val="single" w:color="000000" w:sz="4"/>
            </w:tcBorders>
            <w:shd w:color="000000" w:fill="8ea9db"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FFFFFF"/>
                <w:spacing w:val="0"/>
                <w:position w:val="0"/>
                <w:sz w:val="16"/>
                <w:shd w:fill="auto" w:val="clear"/>
              </w:rPr>
              <w:t xml:space="preserve"> </w:t>
            </w:r>
          </w:p>
        </w:tc>
        <w:tc>
          <w:tcPr>
            <w:tcW w:w="561" w:type="dxa"/>
            <w:tcBorders>
              <w:top w:val="single" w:color="000000" w:sz="0"/>
              <w:left w:val="single" w:color="000000" w:sz="0"/>
              <w:bottom w:val="single" w:color="000000" w:sz="4"/>
              <w:right w:val="single" w:color="000000" w:sz="4"/>
            </w:tcBorders>
            <w:shd w:color="000000" w:fill="8ea9db"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FFFFFF"/>
                <w:spacing w:val="0"/>
                <w:position w:val="0"/>
                <w:sz w:val="16"/>
                <w:shd w:fill="auto" w:val="clear"/>
              </w:rPr>
              <w:t xml:space="preserve"> </w:t>
            </w:r>
          </w:p>
        </w:tc>
        <w:tc>
          <w:tcPr>
            <w:tcW w:w="561" w:type="dxa"/>
            <w:tcBorders>
              <w:top w:val="single" w:color="000000" w:sz="0"/>
              <w:left w:val="single" w:color="000000" w:sz="0"/>
              <w:bottom w:val="single" w:color="000000" w:sz="4"/>
              <w:right w:val="single" w:color="000000" w:sz="4"/>
            </w:tcBorders>
            <w:shd w:color="000000" w:fill="8ea9db"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FFFFFF"/>
                <w:spacing w:val="0"/>
                <w:position w:val="0"/>
                <w:sz w:val="16"/>
                <w:shd w:fill="auto" w:val="clear"/>
              </w:rPr>
              <w:t xml:space="preserve"> </w:t>
            </w:r>
          </w:p>
        </w:tc>
        <w:tc>
          <w:tcPr>
            <w:tcW w:w="227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Op</w:t>
            </w:r>
            <w:r>
              <w:rPr>
                <w:rFonts w:ascii="Calibri" w:hAnsi="Calibri" w:cs="Calibri" w:eastAsia="Calibri"/>
                <w:color w:val="000000"/>
                <w:spacing w:val="0"/>
                <w:position w:val="0"/>
                <w:sz w:val="16"/>
                <w:shd w:fill="auto" w:val="clear"/>
              </w:rPr>
              <w:t xml:space="preserve">ćina Doboj Istok</w:t>
            </w:r>
          </w:p>
        </w:tc>
      </w:tr>
      <w:tr>
        <w:trPr>
          <w:trHeight w:val="1" w:hRule="atLeast"/>
          <w:jc w:val="left"/>
        </w:trPr>
        <w:tc>
          <w:tcPr>
            <w:tcW w:w="13603" w:type="dxa"/>
            <w:gridSpan w:val="14"/>
            <w:tcBorders>
              <w:top w:val="single" w:color="000000" w:sz="4"/>
              <w:left w:val="single" w:color="000000" w:sz="4"/>
              <w:bottom w:val="single" w:color="000000" w:sz="4"/>
              <w:right w:val="single" w:color="000000" w:sz="4"/>
            </w:tcBorders>
            <w:shd w:color="000000" w:fill="bdd7ee"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i/>
                <w:color w:val="000000"/>
                <w:spacing w:val="0"/>
                <w:position w:val="0"/>
                <w:sz w:val="16"/>
                <w:shd w:fill="auto" w:val="clear"/>
              </w:rPr>
              <w:t xml:space="preserve">Mjere za smanjenje emisije CO</w:t>
            </w:r>
            <w:r>
              <w:rPr>
                <w:rFonts w:ascii="Calibri" w:hAnsi="Calibri" w:cs="Calibri" w:eastAsia="Calibri"/>
                <w:i/>
                <w:color w:val="000000"/>
                <w:spacing w:val="0"/>
                <w:position w:val="0"/>
                <w:sz w:val="16"/>
                <w:shd w:fill="auto" w:val="clear"/>
                <w:vertAlign w:val="subscript"/>
              </w:rPr>
              <w:t xml:space="preserve">2</w:t>
            </w:r>
            <w:r>
              <w:rPr>
                <w:rFonts w:ascii="Calibri" w:hAnsi="Calibri" w:cs="Calibri" w:eastAsia="Calibri"/>
                <w:i/>
                <w:color w:val="000000"/>
                <w:spacing w:val="0"/>
                <w:position w:val="0"/>
                <w:sz w:val="16"/>
                <w:shd w:fill="auto" w:val="clear"/>
              </w:rPr>
              <w:t xml:space="preserve"> iz sektora javna rasvjeta</w:t>
            </w:r>
          </w:p>
        </w:tc>
      </w:tr>
      <w:tr>
        <w:trPr>
          <w:trHeight w:val="1" w:hRule="atLeast"/>
          <w:jc w:val="left"/>
        </w:trPr>
        <w:tc>
          <w:tcPr>
            <w:tcW w:w="846" w:type="dxa"/>
            <w:tcBorders>
              <w:top w:val="single" w:color="000000" w:sz="0"/>
              <w:left w:val="single" w:color="000000" w:sz="4"/>
              <w:bottom w:val="single" w:color="000000" w:sz="0"/>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JR-1</w:t>
            </w:r>
          </w:p>
        </w:tc>
        <w:tc>
          <w:tcPr>
            <w:tcW w:w="4314" w:type="dxa"/>
            <w:tcBorders>
              <w:top w:val="single" w:color="000000" w:sz="0"/>
              <w:left w:val="single" w:color="000000" w:sz="0"/>
              <w:bottom w:val="single" w:color="000000" w:sz="0"/>
              <w:right w:val="single" w:color="000000" w:sz="4"/>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Zamjena energetski neefikasnih rasvjetnih tijela visokoefikasnim i okolišno prihvatljivijim rasvjetnim tijelima</w:t>
            </w:r>
          </w:p>
        </w:tc>
        <w:tc>
          <w:tcPr>
            <w:tcW w:w="561" w:type="dxa"/>
            <w:tcBorders>
              <w:top w:val="single" w:color="000000" w:sz="0"/>
              <w:left w:val="single" w:color="000000" w:sz="0"/>
              <w:bottom w:val="single" w:color="000000" w:sz="4"/>
              <w:right w:val="single" w:color="000000" w:sz="4"/>
            </w:tcBorders>
            <w:shd w:color="000000" w:fill="8ea9db"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FFFFFF"/>
                <w:spacing w:val="0"/>
                <w:position w:val="0"/>
                <w:sz w:val="16"/>
                <w:shd w:fill="auto" w:val="clear"/>
              </w:rPr>
              <w:t xml:space="preserve"> </w:t>
            </w:r>
          </w:p>
        </w:tc>
        <w:tc>
          <w:tcPr>
            <w:tcW w:w="561" w:type="dxa"/>
            <w:tcBorders>
              <w:top w:val="single" w:color="000000" w:sz="0"/>
              <w:left w:val="single" w:color="000000" w:sz="0"/>
              <w:bottom w:val="single" w:color="000000" w:sz="4"/>
              <w:right w:val="single" w:color="000000" w:sz="4"/>
            </w:tcBorders>
            <w:shd w:color="000000" w:fill="8ea9db"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FFFFFF"/>
                <w:spacing w:val="0"/>
                <w:position w:val="0"/>
                <w:sz w:val="16"/>
                <w:shd w:fill="auto" w:val="clear"/>
              </w:rPr>
              <w:t xml:space="preserve"> </w:t>
            </w:r>
          </w:p>
        </w:tc>
        <w:tc>
          <w:tcPr>
            <w:tcW w:w="561" w:type="dxa"/>
            <w:tcBorders>
              <w:top w:val="single" w:color="000000" w:sz="0"/>
              <w:left w:val="single" w:color="000000" w:sz="0"/>
              <w:bottom w:val="single" w:color="000000" w:sz="4"/>
              <w:right w:val="single" w:color="000000" w:sz="4"/>
            </w:tcBorders>
            <w:shd w:color="000000" w:fill="8ea9db"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FFFFFF"/>
                <w:spacing w:val="0"/>
                <w:position w:val="0"/>
                <w:sz w:val="16"/>
                <w:shd w:fill="auto" w:val="clear"/>
              </w:rPr>
              <w:t xml:space="preserve"> </w:t>
            </w:r>
          </w:p>
        </w:tc>
        <w:tc>
          <w:tcPr>
            <w:tcW w:w="561" w:type="dxa"/>
            <w:tcBorders>
              <w:top w:val="single" w:color="000000" w:sz="0"/>
              <w:left w:val="single" w:color="000000" w:sz="0"/>
              <w:bottom w:val="single" w:color="000000" w:sz="4"/>
              <w:right w:val="single" w:color="000000" w:sz="4"/>
            </w:tcBorders>
            <w:shd w:color="000000" w:fill="8ea9db"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FFFFFF"/>
                <w:spacing w:val="0"/>
                <w:position w:val="0"/>
                <w:sz w:val="16"/>
                <w:shd w:fill="auto" w:val="clear"/>
              </w:rPr>
              <w:t xml:space="preserve"> </w:t>
            </w:r>
          </w:p>
        </w:tc>
        <w:tc>
          <w:tcPr>
            <w:tcW w:w="561" w:type="dxa"/>
            <w:tcBorders>
              <w:top w:val="single" w:color="000000" w:sz="0"/>
              <w:left w:val="single" w:color="000000" w:sz="0"/>
              <w:bottom w:val="single" w:color="000000" w:sz="4"/>
              <w:right w:val="single" w:color="000000" w:sz="4"/>
            </w:tcBorders>
            <w:shd w:color="000000" w:fill="8ea9db"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FFFFFF"/>
                <w:spacing w:val="0"/>
                <w:position w:val="0"/>
                <w:sz w:val="16"/>
                <w:shd w:fill="auto" w:val="clear"/>
              </w:rPr>
              <w:t xml:space="preserve"> </w:t>
            </w:r>
          </w:p>
        </w:tc>
        <w:tc>
          <w:tcPr>
            <w:tcW w:w="561" w:type="dxa"/>
            <w:tcBorders>
              <w:top w:val="single" w:color="000000" w:sz="0"/>
              <w:left w:val="single" w:color="000000" w:sz="0"/>
              <w:bottom w:val="single" w:color="000000" w:sz="4"/>
              <w:right w:val="single" w:color="000000" w:sz="4"/>
            </w:tcBorders>
            <w:shd w:color="000000" w:fill="8ea9db"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FFFFFF"/>
                <w:spacing w:val="0"/>
                <w:position w:val="0"/>
                <w:sz w:val="16"/>
                <w:shd w:fill="auto" w:val="clear"/>
              </w:rPr>
              <w:t xml:space="preserve"> </w:t>
            </w:r>
          </w:p>
        </w:tc>
        <w:tc>
          <w:tcPr>
            <w:tcW w:w="561" w:type="dxa"/>
            <w:tcBorders>
              <w:top w:val="single" w:color="000000" w:sz="0"/>
              <w:left w:val="single" w:color="000000" w:sz="0"/>
              <w:bottom w:val="single" w:color="000000" w:sz="4"/>
              <w:right w:val="single" w:color="000000" w:sz="4"/>
            </w:tcBorders>
            <w:shd w:color="000000" w:fill="8ea9db"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FFFFFF"/>
                <w:spacing w:val="0"/>
                <w:position w:val="0"/>
                <w:sz w:val="16"/>
                <w:shd w:fill="auto" w:val="clear"/>
              </w:rPr>
              <w:t xml:space="preserve"> </w:t>
            </w:r>
          </w:p>
        </w:tc>
        <w:tc>
          <w:tcPr>
            <w:tcW w:w="561" w:type="dxa"/>
            <w:tcBorders>
              <w:top w:val="single" w:color="000000" w:sz="0"/>
              <w:left w:val="single" w:color="000000" w:sz="0"/>
              <w:bottom w:val="single" w:color="000000" w:sz="4"/>
              <w:right w:val="single" w:color="000000" w:sz="4"/>
            </w:tcBorders>
            <w:shd w:color="000000" w:fill="8ea9db"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FFFFFF"/>
                <w:spacing w:val="0"/>
                <w:position w:val="0"/>
                <w:sz w:val="16"/>
                <w:shd w:fill="auto" w:val="clear"/>
              </w:rPr>
              <w:t xml:space="preserve"> </w:t>
            </w:r>
          </w:p>
        </w:tc>
        <w:tc>
          <w:tcPr>
            <w:tcW w:w="561" w:type="dxa"/>
            <w:tcBorders>
              <w:top w:val="single" w:color="000000" w:sz="0"/>
              <w:left w:val="single" w:color="000000" w:sz="0"/>
              <w:bottom w:val="single" w:color="000000" w:sz="4"/>
              <w:right w:val="single" w:color="000000" w:sz="4"/>
            </w:tcBorders>
            <w:shd w:color="000000" w:fill="8ea9db"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FFFFFF"/>
                <w:spacing w:val="0"/>
                <w:position w:val="0"/>
                <w:sz w:val="16"/>
                <w:shd w:fill="auto" w:val="clear"/>
              </w:rPr>
              <w:t xml:space="preserve"> </w:t>
            </w:r>
          </w:p>
        </w:tc>
        <w:tc>
          <w:tcPr>
            <w:tcW w:w="561" w:type="dxa"/>
            <w:tcBorders>
              <w:top w:val="single" w:color="000000" w:sz="0"/>
              <w:left w:val="single" w:color="000000" w:sz="0"/>
              <w:bottom w:val="single" w:color="000000" w:sz="4"/>
              <w:right w:val="single" w:color="000000" w:sz="4"/>
            </w:tcBorders>
            <w:shd w:color="000000" w:fill="8ea9db"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FFFFFF"/>
                <w:spacing w:val="0"/>
                <w:position w:val="0"/>
                <w:sz w:val="16"/>
                <w:shd w:fill="auto" w:val="clear"/>
              </w:rPr>
              <w:t xml:space="preserve"> </w:t>
            </w:r>
          </w:p>
        </w:tc>
        <w:tc>
          <w:tcPr>
            <w:tcW w:w="561" w:type="dxa"/>
            <w:tcBorders>
              <w:top w:val="single" w:color="000000" w:sz="0"/>
              <w:left w:val="single" w:color="000000" w:sz="0"/>
              <w:bottom w:val="single" w:color="000000" w:sz="4"/>
              <w:right w:val="single" w:color="000000" w:sz="4"/>
            </w:tcBorders>
            <w:shd w:color="000000" w:fill="8ea9db"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FFFFFF"/>
                <w:spacing w:val="0"/>
                <w:position w:val="0"/>
                <w:sz w:val="16"/>
                <w:shd w:fill="auto" w:val="clear"/>
              </w:rPr>
              <w:t xml:space="preserve"> </w:t>
            </w:r>
          </w:p>
        </w:tc>
        <w:tc>
          <w:tcPr>
            <w:tcW w:w="227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Služba za finansije i poduzetništvo </w:t>
            </w:r>
          </w:p>
        </w:tc>
      </w:tr>
      <w:tr>
        <w:trPr>
          <w:trHeight w:val="1" w:hRule="atLeast"/>
          <w:jc w:val="left"/>
        </w:trPr>
        <w:tc>
          <w:tcPr>
            <w:tcW w:w="13603" w:type="dxa"/>
            <w:gridSpan w:val="14"/>
            <w:tcBorders>
              <w:top w:val="single" w:color="000000" w:sz="4"/>
              <w:left w:val="single" w:color="000000" w:sz="4"/>
              <w:bottom w:val="single" w:color="000000" w:sz="4"/>
              <w:right w:val="single" w:color="000000" w:sz="4"/>
            </w:tcBorders>
            <w:shd w:color="000000" w:fill="bdd7ee"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i/>
                <w:color w:val="000000"/>
                <w:spacing w:val="0"/>
                <w:position w:val="0"/>
                <w:sz w:val="16"/>
                <w:shd w:fill="auto" w:val="clear"/>
              </w:rPr>
              <w:t xml:space="preserve">Mjere za smanjenje emisije CO</w:t>
            </w:r>
            <w:r>
              <w:rPr>
                <w:rFonts w:ascii="Calibri" w:hAnsi="Calibri" w:cs="Calibri" w:eastAsia="Calibri"/>
                <w:i/>
                <w:color w:val="000000"/>
                <w:spacing w:val="0"/>
                <w:position w:val="0"/>
                <w:sz w:val="16"/>
                <w:shd w:fill="auto" w:val="clear"/>
                <w:vertAlign w:val="subscript"/>
              </w:rPr>
              <w:t xml:space="preserve">2</w:t>
            </w:r>
            <w:r>
              <w:rPr>
                <w:rFonts w:ascii="Calibri" w:hAnsi="Calibri" w:cs="Calibri" w:eastAsia="Calibri"/>
                <w:i/>
                <w:color w:val="000000"/>
                <w:spacing w:val="0"/>
                <w:position w:val="0"/>
                <w:sz w:val="16"/>
                <w:shd w:fill="auto" w:val="clear"/>
              </w:rPr>
              <w:t xml:space="preserve"> iz sektora vodosnabdijevanje</w:t>
            </w:r>
          </w:p>
        </w:tc>
      </w:tr>
      <w:tr>
        <w:trPr>
          <w:trHeight w:val="1" w:hRule="atLeast"/>
          <w:jc w:val="left"/>
        </w:trPr>
        <w:tc>
          <w:tcPr>
            <w:tcW w:w="846"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SV-1</w:t>
            </w:r>
          </w:p>
        </w:tc>
        <w:tc>
          <w:tcPr>
            <w:tcW w:w="431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16"/>
                <w:shd w:fill="auto" w:val="clear"/>
              </w:rPr>
              <w:t xml:space="preserve">Smanjenje potrošnje elektri</w:t>
            </w:r>
            <w:r>
              <w:rPr>
                <w:rFonts w:ascii="Calibri" w:hAnsi="Calibri" w:cs="Calibri" w:eastAsia="Calibri"/>
                <w:color w:val="auto"/>
                <w:spacing w:val="0"/>
                <w:position w:val="0"/>
                <w:sz w:val="16"/>
                <w:shd w:fill="auto" w:val="clear"/>
              </w:rPr>
              <w:t xml:space="preserve">čne energije i emisija CO</w:t>
            </w:r>
            <w:r>
              <w:rPr>
                <w:rFonts w:ascii="Calibri" w:hAnsi="Calibri" w:cs="Calibri" w:eastAsia="Calibri"/>
                <w:color w:val="auto"/>
                <w:spacing w:val="0"/>
                <w:position w:val="0"/>
                <w:sz w:val="16"/>
                <w:shd w:fill="auto" w:val="clear"/>
                <w:vertAlign w:val="subscript"/>
              </w:rPr>
              <w:t xml:space="preserve">2</w:t>
            </w:r>
            <w:r>
              <w:rPr>
                <w:rFonts w:ascii="Calibri" w:hAnsi="Calibri" w:cs="Calibri" w:eastAsia="Calibri"/>
                <w:color w:val="auto"/>
                <w:spacing w:val="0"/>
                <w:position w:val="0"/>
                <w:sz w:val="16"/>
                <w:shd w:fill="auto" w:val="clear"/>
              </w:rPr>
              <w:t xml:space="preserve"> u sistemu vodosnabdijevanja uvođenjem frekventne regulacije rada trenutno nereguliranih pumpi</w:t>
            </w:r>
          </w:p>
        </w:tc>
        <w:tc>
          <w:tcPr>
            <w:tcW w:w="561" w:type="dxa"/>
            <w:tcBorders>
              <w:top w:val="single" w:color="000000" w:sz="0"/>
              <w:left w:val="single" w:color="000000" w:sz="0"/>
              <w:bottom w:val="single" w:color="000000" w:sz="4"/>
              <w:right w:val="single" w:color="000000" w:sz="4"/>
            </w:tcBorders>
            <w:shd w:color="000000" w:fill="8ea9db"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FFFFFF"/>
                <w:spacing w:val="0"/>
                <w:position w:val="0"/>
                <w:sz w:val="16"/>
                <w:shd w:fill="auto" w:val="clear"/>
              </w:rPr>
              <w:t xml:space="preserve"> </w:t>
            </w:r>
          </w:p>
        </w:tc>
        <w:tc>
          <w:tcPr>
            <w:tcW w:w="561" w:type="dxa"/>
            <w:tcBorders>
              <w:top w:val="single" w:color="000000" w:sz="0"/>
              <w:left w:val="single" w:color="000000" w:sz="0"/>
              <w:bottom w:val="single" w:color="000000" w:sz="4"/>
              <w:right w:val="single" w:color="000000" w:sz="4"/>
            </w:tcBorders>
            <w:shd w:color="000000" w:fill="8ea9db"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FFFFFF"/>
                <w:spacing w:val="0"/>
                <w:position w:val="0"/>
                <w:sz w:val="16"/>
                <w:shd w:fill="auto" w:val="clear"/>
              </w:rPr>
              <w:t xml:space="preserve"> </w:t>
            </w:r>
          </w:p>
        </w:tc>
        <w:tc>
          <w:tcPr>
            <w:tcW w:w="561" w:type="dxa"/>
            <w:tcBorders>
              <w:top w:val="single" w:color="000000" w:sz="0"/>
              <w:left w:val="single" w:color="000000" w:sz="0"/>
              <w:bottom w:val="single" w:color="000000" w:sz="4"/>
              <w:right w:val="single" w:color="000000" w:sz="4"/>
            </w:tcBorders>
            <w:shd w:color="000000" w:fill="8ea9db"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FFFFFF"/>
                <w:spacing w:val="0"/>
                <w:position w:val="0"/>
                <w:sz w:val="16"/>
                <w:shd w:fill="auto" w:val="clear"/>
              </w:rPr>
              <w:t xml:space="preserve"> </w:t>
            </w:r>
          </w:p>
        </w:tc>
        <w:tc>
          <w:tcPr>
            <w:tcW w:w="561" w:type="dxa"/>
            <w:tcBorders>
              <w:top w:val="single" w:color="000000" w:sz="0"/>
              <w:left w:val="single" w:color="000000" w:sz="0"/>
              <w:bottom w:val="single" w:color="000000" w:sz="4"/>
              <w:right w:val="single" w:color="000000" w:sz="4"/>
            </w:tcBorders>
            <w:shd w:color="000000" w:fill="8ea9db"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FFFFFF"/>
                <w:spacing w:val="0"/>
                <w:position w:val="0"/>
                <w:sz w:val="16"/>
                <w:shd w:fill="auto" w:val="clear"/>
              </w:rPr>
              <w:t xml:space="preserve"> </w:t>
            </w:r>
          </w:p>
        </w:tc>
        <w:tc>
          <w:tcPr>
            <w:tcW w:w="561" w:type="dxa"/>
            <w:tcBorders>
              <w:top w:val="single" w:color="000000" w:sz="0"/>
              <w:left w:val="single" w:color="000000" w:sz="0"/>
              <w:bottom w:val="single" w:color="000000" w:sz="4"/>
              <w:right w:val="single" w:color="000000" w:sz="4"/>
            </w:tcBorders>
            <w:shd w:color="000000" w:fill="8ea9db"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FFFFFF"/>
                <w:spacing w:val="0"/>
                <w:position w:val="0"/>
                <w:sz w:val="16"/>
                <w:shd w:fill="auto" w:val="clear"/>
              </w:rPr>
              <w:t xml:space="preserve"> </w:t>
            </w:r>
          </w:p>
        </w:tc>
        <w:tc>
          <w:tcPr>
            <w:tcW w:w="561" w:type="dxa"/>
            <w:tcBorders>
              <w:top w:val="single" w:color="000000" w:sz="0"/>
              <w:left w:val="single" w:color="000000" w:sz="0"/>
              <w:bottom w:val="single" w:color="000000" w:sz="4"/>
              <w:right w:val="single" w:color="000000" w:sz="4"/>
            </w:tcBorders>
            <w:shd w:color="000000" w:fill="8ea9db"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FFFFFF"/>
                <w:spacing w:val="0"/>
                <w:position w:val="0"/>
                <w:sz w:val="16"/>
                <w:shd w:fill="auto" w:val="clear"/>
              </w:rPr>
              <w:t xml:space="preserve"> </w:t>
            </w:r>
          </w:p>
        </w:tc>
        <w:tc>
          <w:tcPr>
            <w:tcW w:w="561" w:type="dxa"/>
            <w:tcBorders>
              <w:top w:val="single" w:color="000000" w:sz="0"/>
              <w:left w:val="single" w:color="000000" w:sz="0"/>
              <w:bottom w:val="single" w:color="000000" w:sz="4"/>
              <w:right w:val="single" w:color="000000" w:sz="4"/>
            </w:tcBorders>
            <w:shd w:color="000000" w:fill="8ea9db"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FFFFFF"/>
                <w:spacing w:val="0"/>
                <w:position w:val="0"/>
                <w:sz w:val="16"/>
                <w:shd w:fill="auto" w:val="clear"/>
              </w:rPr>
              <w:t xml:space="preserve"> </w:t>
            </w:r>
          </w:p>
        </w:tc>
        <w:tc>
          <w:tcPr>
            <w:tcW w:w="561" w:type="dxa"/>
            <w:tcBorders>
              <w:top w:val="single" w:color="000000" w:sz="0"/>
              <w:left w:val="single" w:color="000000" w:sz="0"/>
              <w:bottom w:val="single" w:color="000000" w:sz="4"/>
              <w:right w:val="single" w:color="000000" w:sz="4"/>
            </w:tcBorders>
            <w:shd w:color="000000" w:fill="8ea9db"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FFFFFF"/>
                <w:spacing w:val="0"/>
                <w:position w:val="0"/>
                <w:sz w:val="16"/>
                <w:shd w:fill="auto" w:val="clear"/>
              </w:rPr>
              <w:t xml:space="preserve"> </w:t>
            </w:r>
          </w:p>
        </w:tc>
        <w:tc>
          <w:tcPr>
            <w:tcW w:w="561" w:type="dxa"/>
            <w:tcBorders>
              <w:top w:val="single" w:color="000000" w:sz="0"/>
              <w:left w:val="single" w:color="000000" w:sz="0"/>
              <w:bottom w:val="single" w:color="000000" w:sz="4"/>
              <w:right w:val="single" w:color="000000" w:sz="4"/>
            </w:tcBorders>
            <w:shd w:color="000000" w:fill="8ea9db"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FFFFFF"/>
                <w:spacing w:val="0"/>
                <w:position w:val="0"/>
                <w:sz w:val="16"/>
                <w:shd w:fill="auto" w:val="clear"/>
              </w:rPr>
              <w:t xml:space="preserve"> </w:t>
            </w:r>
          </w:p>
        </w:tc>
        <w:tc>
          <w:tcPr>
            <w:tcW w:w="561" w:type="dxa"/>
            <w:tcBorders>
              <w:top w:val="single" w:color="000000" w:sz="0"/>
              <w:left w:val="single" w:color="000000" w:sz="0"/>
              <w:bottom w:val="single" w:color="000000" w:sz="4"/>
              <w:right w:val="single" w:color="000000" w:sz="4"/>
            </w:tcBorders>
            <w:shd w:color="000000" w:fill="8ea9db"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FFFFFF"/>
                <w:spacing w:val="0"/>
                <w:position w:val="0"/>
                <w:sz w:val="16"/>
                <w:shd w:fill="auto" w:val="clear"/>
              </w:rPr>
              <w:t xml:space="preserve"> </w:t>
            </w:r>
          </w:p>
        </w:tc>
        <w:tc>
          <w:tcPr>
            <w:tcW w:w="561" w:type="dxa"/>
            <w:tcBorders>
              <w:top w:val="single" w:color="000000" w:sz="0"/>
              <w:left w:val="single" w:color="000000" w:sz="0"/>
              <w:bottom w:val="single" w:color="000000" w:sz="4"/>
              <w:right w:val="single" w:color="000000" w:sz="4"/>
            </w:tcBorders>
            <w:shd w:color="000000" w:fill="8ea9db"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FFFFFF"/>
                <w:spacing w:val="0"/>
                <w:position w:val="0"/>
                <w:sz w:val="16"/>
                <w:shd w:fill="auto" w:val="clear"/>
              </w:rPr>
              <w:t xml:space="preserve"> </w:t>
            </w:r>
          </w:p>
        </w:tc>
        <w:tc>
          <w:tcPr>
            <w:tcW w:w="227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Služba za finansije i poduzetništvo</w:t>
            </w:r>
          </w:p>
        </w:tc>
      </w:tr>
    </w:tbl>
    <w:p>
      <w:pPr>
        <w:spacing w:before="60" w:after="0" w:line="240"/>
        <w:ind w:right="0" w:left="0" w:firstLine="0"/>
        <w:jc w:val="center"/>
        <w:rPr>
          <w:rFonts w:ascii="Calibri" w:hAnsi="Calibri" w:cs="Calibri" w:eastAsia="Calibri"/>
          <w:i/>
          <w:color w:val="auto"/>
          <w:spacing w:val="0"/>
          <w:position w:val="0"/>
          <w:sz w:val="18"/>
          <w:shd w:fill="FFFF00" w:val="clear"/>
        </w:rPr>
      </w:pPr>
      <w:r>
        <w:rPr>
          <w:rFonts w:ascii="Calibri" w:hAnsi="Calibri" w:cs="Calibri" w:eastAsia="Calibri"/>
          <w:i/>
          <w:color w:val="auto"/>
          <w:spacing w:val="0"/>
          <w:position w:val="0"/>
          <w:sz w:val="18"/>
          <w:shd w:fill="auto" w:val="clear"/>
        </w:rPr>
        <w:t xml:space="preserve">Tabela 560: Dinamika realizacije mjera za ublažavanje posljedica klimatskih promjena</w:t>
      </w:r>
    </w:p>
    <w:p>
      <w:pPr>
        <w:keepNext w:val="true"/>
        <w:keepLines w:val="true"/>
        <w:numPr>
          <w:ilvl w:val="0"/>
          <w:numId w:val="3030"/>
        </w:numPr>
        <w:spacing w:before="240" w:after="0" w:line="240"/>
        <w:ind w:right="0" w:left="578" w:hanging="578"/>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Projekcija smanjenja emisija CO</w:t>
      </w:r>
      <w:r>
        <w:rPr>
          <w:rFonts w:ascii="Calibri" w:hAnsi="Calibri" w:cs="Calibri" w:eastAsia="Calibri"/>
          <w:b/>
          <w:color w:val="auto"/>
          <w:spacing w:val="0"/>
          <w:position w:val="0"/>
          <w:sz w:val="28"/>
          <w:shd w:fill="auto" w:val="clear"/>
          <w:vertAlign w:val="subscript"/>
        </w:rPr>
        <w:t xml:space="preserve">2 </w:t>
      </w:r>
      <w:r>
        <w:rPr>
          <w:rFonts w:ascii="Calibri" w:hAnsi="Calibri" w:cs="Calibri" w:eastAsia="Calibri"/>
          <w:b/>
          <w:color w:val="auto"/>
          <w:spacing w:val="0"/>
          <w:position w:val="0"/>
          <w:sz w:val="28"/>
          <w:shd w:fill="auto" w:val="clear"/>
        </w:rPr>
        <w:t xml:space="preserve">do 2030. godine za scenario sa planiranim mjerama</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Pri modeliranju ovog scenarija, u obzir su uzeti zbirni efekti postoje</w:t>
      </w:r>
      <w:r>
        <w:rPr>
          <w:rFonts w:ascii="Calibri" w:hAnsi="Calibri" w:cs="Calibri" w:eastAsia="Calibri"/>
          <w:color w:val="auto"/>
          <w:spacing w:val="0"/>
          <w:position w:val="0"/>
          <w:sz w:val="20"/>
          <w:shd w:fill="auto" w:val="clear"/>
        </w:rPr>
        <w:t xml:space="preserve">ćih trendova u razmatranim sektorima i podsektorima bez intenzivnijeg učešća Općine; i sistemska realizacija planiranih mjera energetske efikasnosti usmjerenih na ublažavanje klimatskih promjena. U nastavku je dat prikaz projekcija potrošnje finalne energije i pripadajućih emisija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do 2030. godine po pojedinim sektorima, te zbirno za sve razmatrane sektore.</w:t>
      </w:r>
    </w:p>
    <w:p>
      <w:pPr>
        <w:keepNext w:val="true"/>
        <w:keepLines w:val="true"/>
        <w:numPr>
          <w:ilvl w:val="0"/>
          <w:numId w:val="3032"/>
        </w:numPr>
        <w:spacing w:before="120" w:after="0" w:line="240"/>
        <w:ind w:right="0" w:left="720" w:hanging="72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Projekcija emisija CO</w:t>
      </w:r>
      <w:r>
        <w:rPr>
          <w:rFonts w:ascii="Calibri" w:hAnsi="Calibri" w:cs="Calibri" w:eastAsia="Calibri"/>
          <w:b/>
          <w:color w:val="auto"/>
          <w:spacing w:val="0"/>
          <w:position w:val="0"/>
          <w:sz w:val="24"/>
          <w:shd w:fill="auto" w:val="clear"/>
          <w:vertAlign w:val="subscript"/>
        </w:rPr>
        <w:t xml:space="preserve">2</w:t>
      </w:r>
      <w:r>
        <w:rPr>
          <w:rFonts w:ascii="Calibri" w:hAnsi="Calibri" w:cs="Calibri" w:eastAsia="Calibri"/>
          <w:b/>
          <w:color w:val="auto"/>
          <w:spacing w:val="0"/>
          <w:position w:val="0"/>
          <w:sz w:val="24"/>
          <w:shd w:fill="auto" w:val="clear"/>
        </w:rPr>
        <w:t xml:space="preserve"> iz sektora zgradarstva za scenario sa planiranim mjerama</w:t>
      </w:r>
    </w:p>
    <w:p>
      <w:pPr>
        <w:spacing w:before="60" w:after="12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0"/>
          <w:shd w:fill="auto" w:val="clear"/>
        </w:rPr>
        <w:t xml:space="preserve">Pri odre</w:t>
      </w:r>
      <w:r>
        <w:rPr>
          <w:rFonts w:ascii="Calibri" w:hAnsi="Calibri" w:cs="Calibri" w:eastAsia="Calibri"/>
          <w:color w:val="auto"/>
          <w:spacing w:val="0"/>
          <w:position w:val="0"/>
          <w:sz w:val="20"/>
          <w:shd w:fill="auto" w:val="clear"/>
        </w:rPr>
        <w:t xml:space="preserve">đivanju projekcije potrebne finalne energije za grijanje </w:t>
      </w:r>
      <w:r>
        <w:rPr>
          <w:rFonts w:ascii="Calibri" w:hAnsi="Calibri" w:cs="Calibri" w:eastAsia="Calibri"/>
          <w:b/>
          <w:color w:val="auto"/>
          <w:spacing w:val="0"/>
          <w:position w:val="0"/>
          <w:sz w:val="20"/>
          <w:shd w:fill="auto" w:val="clear"/>
        </w:rPr>
        <w:t xml:space="preserve">u podsektorima javnih zgrada</w:t>
      </w:r>
      <w:r>
        <w:rPr>
          <w:rFonts w:ascii="Calibri" w:hAnsi="Calibri" w:cs="Calibri" w:eastAsia="Calibri"/>
          <w:color w:val="auto"/>
          <w:spacing w:val="0"/>
          <w:position w:val="0"/>
          <w:sz w:val="20"/>
          <w:shd w:fill="auto" w:val="clear"/>
        </w:rPr>
        <w:t xml:space="preserve"> i pripadajućih emisija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u obzir su uzeti samo efekti planiranih mjera energetske efikasnosti, jer bi potrošnja energije (a time i emisije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u slučaju izostanka intenzivnog učešća Općine ostala na nivou potrošnje energije i emisija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određenih za 2020. godinu. Rezultati ovog proračuna predstavljeni su u narednoj tabeli.</w:t>
      </w:r>
    </w:p>
    <w:tbl>
      <w:tblPr/>
      <w:tblGrid>
        <w:gridCol w:w="2345"/>
        <w:gridCol w:w="1105"/>
        <w:gridCol w:w="1105"/>
        <w:gridCol w:w="1113"/>
        <w:gridCol w:w="1445"/>
        <w:gridCol w:w="1076"/>
        <w:gridCol w:w="1212"/>
      </w:tblGrid>
      <w:tr>
        <w:trPr>
          <w:trHeight w:val="255" w:hRule="auto"/>
          <w:jc w:val="center"/>
        </w:trPr>
        <w:tc>
          <w:tcPr>
            <w:tcW w:w="2345" w:type="dxa"/>
            <w:vMerge w:val="restart"/>
            <w:tcBorders>
              <w:top w:val="single" w:color="000000" w:sz="4"/>
              <w:left w:val="single" w:color="000000" w:sz="4"/>
              <w:bottom w:val="single" w:color="000000" w:sz="4"/>
              <w:right w:val="single" w:color="000000" w:sz="4"/>
            </w:tcBorders>
            <w:shd w:color="auto" w:fill="bdd6ee"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JAVNE ZGRADE</w:t>
            </w:r>
          </w:p>
        </w:tc>
        <w:tc>
          <w:tcPr>
            <w:tcW w:w="3323" w:type="dxa"/>
            <w:gridSpan w:val="3"/>
            <w:tcBorders>
              <w:top w:val="single" w:color="000000" w:sz="4"/>
              <w:left w:val="single" w:color="000000" w:sz="0"/>
              <w:bottom w:val="single" w:color="000000" w:sz="4"/>
              <w:right w:val="single" w:color="000000" w:sz="4"/>
            </w:tcBorders>
            <w:shd w:color="auto" w:fill="bdd6ee"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POTROŠNJA ENERGIJE [MWh]</w:t>
            </w:r>
          </w:p>
        </w:tc>
        <w:tc>
          <w:tcPr>
            <w:tcW w:w="3733" w:type="dxa"/>
            <w:gridSpan w:val="3"/>
            <w:tcBorders>
              <w:top w:val="single" w:color="000000" w:sz="4"/>
              <w:left w:val="single" w:color="000000" w:sz="0"/>
              <w:bottom w:val="single" w:color="000000" w:sz="4"/>
              <w:right w:val="single" w:color="000000" w:sz="4"/>
            </w:tcBorders>
            <w:shd w:color="auto" w:fill="bdd6ee"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EMISIJE [tCO</w:t>
            </w:r>
            <w:r>
              <w:rPr>
                <w:rFonts w:ascii="Calibri" w:hAnsi="Calibri" w:cs="Calibri" w:eastAsia="Calibri"/>
                <w:color w:val="000000"/>
                <w:spacing w:val="0"/>
                <w:position w:val="0"/>
                <w:sz w:val="18"/>
                <w:shd w:fill="auto" w:val="clear"/>
                <w:vertAlign w:val="subscript"/>
              </w:rPr>
              <w:t xml:space="preserve">2</w:t>
            </w:r>
            <w:r>
              <w:rPr>
                <w:rFonts w:ascii="Calibri" w:hAnsi="Calibri" w:cs="Calibri" w:eastAsia="Calibri"/>
                <w:color w:val="000000"/>
                <w:spacing w:val="0"/>
                <w:position w:val="0"/>
                <w:sz w:val="18"/>
                <w:shd w:fill="auto" w:val="clear"/>
              </w:rPr>
              <w:t xml:space="preserve">]</w:t>
            </w:r>
          </w:p>
        </w:tc>
      </w:tr>
      <w:tr>
        <w:trPr>
          <w:trHeight w:val="255" w:hRule="auto"/>
          <w:jc w:val="center"/>
        </w:trPr>
        <w:tc>
          <w:tcPr>
            <w:tcW w:w="2345"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105" w:type="dxa"/>
            <w:tcBorders>
              <w:top w:val="single" w:color="000000" w:sz="0"/>
              <w:left w:val="single" w:color="000000" w:sz="0"/>
              <w:bottom w:val="single" w:color="000000" w:sz="4"/>
              <w:right w:val="single" w:color="000000" w:sz="4"/>
            </w:tcBorders>
            <w:shd w:color="auto" w:fill="bdd6ee"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2010. god</w:t>
            </w:r>
          </w:p>
        </w:tc>
        <w:tc>
          <w:tcPr>
            <w:tcW w:w="1105" w:type="dxa"/>
            <w:tcBorders>
              <w:top w:val="single" w:color="000000" w:sz="0"/>
              <w:left w:val="single" w:color="000000" w:sz="0"/>
              <w:bottom w:val="single" w:color="000000" w:sz="4"/>
              <w:right w:val="single" w:color="000000" w:sz="4"/>
            </w:tcBorders>
            <w:shd w:color="auto" w:fill="bdd6ee"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2020. god</w:t>
            </w:r>
          </w:p>
        </w:tc>
        <w:tc>
          <w:tcPr>
            <w:tcW w:w="1113" w:type="dxa"/>
            <w:tcBorders>
              <w:top w:val="single" w:color="000000" w:sz="0"/>
              <w:left w:val="single" w:color="000000" w:sz="0"/>
              <w:bottom w:val="single" w:color="000000" w:sz="4"/>
              <w:right w:val="single" w:color="000000" w:sz="4"/>
            </w:tcBorders>
            <w:shd w:color="auto" w:fill="bdd6ee"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2030. god</w:t>
            </w:r>
          </w:p>
        </w:tc>
        <w:tc>
          <w:tcPr>
            <w:tcW w:w="1445" w:type="dxa"/>
            <w:tcBorders>
              <w:top w:val="single" w:color="000000" w:sz="0"/>
              <w:left w:val="single" w:color="000000" w:sz="0"/>
              <w:bottom w:val="single" w:color="000000" w:sz="4"/>
              <w:right w:val="single" w:color="000000" w:sz="4"/>
            </w:tcBorders>
            <w:shd w:color="auto" w:fill="bdd6ee"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2010. god</w:t>
            </w:r>
          </w:p>
        </w:tc>
        <w:tc>
          <w:tcPr>
            <w:tcW w:w="1076" w:type="dxa"/>
            <w:tcBorders>
              <w:top w:val="single" w:color="000000" w:sz="0"/>
              <w:left w:val="single" w:color="000000" w:sz="0"/>
              <w:bottom w:val="single" w:color="000000" w:sz="4"/>
              <w:right w:val="single" w:color="000000" w:sz="4"/>
            </w:tcBorders>
            <w:shd w:color="auto" w:fill="bdd6ee"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2020. god</w:t>
            </w:r>
          </w:p>
        </w:tc>
        <w:tc>
          <w:tcPr>
            <w:tcW w:w="1212" w:type="dxa"/>
            <w:tcBorders>
              <w:top w:val="single" w:color="000000" w:sz="0"/>
              <w:left w:val="single" w:color="000000" w:sz="0"/>
              <w:bottom w:val="single" w:color="000000" w:sz="4"/>
              <w:right w:val="single" w:color="000000" w:sz="4"/>
            </w:tcBorders>
            <w:shd w:color="auto" w:fill="bdd6ee"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2030. god</w:t>
            </w:r>
          </w:p>
        </w:tc>
      </w:tr>
      <w:tr>
        <w:trPr>
          <w:trHeight w:val="255" w:hRule="auto"/>
          <w:jc w:val="center"/>
        </w:trPr>
        <w:tc>
          <w:tcPr>
            <w:tcW w:w="9401" w:type="dxa"/>
            <w:gridSpan w:val="7"/>
            <w:tcBorders>
              <w:top w:val="single" w:color="000000" w:sz="4"/>
              <w:left w:val="single" w:color="000000" w:sz="4"/>
              <w:bottom w:val="single" w:color="000000" w:sz="4"/>
              <w:right w:val="single" w:color="000000" w:sz="4"/>
            </w:tcBorders>
            <w:shd w:color="auto" w:fill="bdd6ee"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JAVNE ZGRADE U VLASNIŠTVU OP</w:t>
            </w:r>
            <w:r>
              <w:rPr>
                <w:rFonts w:ascii="Calibri" w:hAnsi="Calibri" w:cs="Calibri" w:eastAsia="Calibri"/>
                <w:color w:val="000000"/>
                <w:spacing w:val="0"/>
                <w:position w:val="0"/>
                <w:sz w:val="18"/>
                <w:shd w:fill="auto" w:val="clear"/>
              </w:rPr>
              <w:t xml:space="preserve">ĆINE</w:t>
            </w:r>
          </w:p>
        </w:tc>
      </w:tr>
      <w:tr>
        <w:trPr>
          <w:trHeight w:val="255" w:hRule="auto"/>
          <w:jc w:val="center"/>
        </w:trPr>
        <w:tc>
          <w:tcPr>
            <w:tcW w:w="2345" w:type="dxa"/>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Scenario sa mjerama</w:t>
            </w:r>
          </w:p>
        </w:tc>
        <w:tc>
          <w:tcPr>
            <w:tcW w:w="1105" w:type="dxa"/>
            <w:tcBorders>
              <w:top w:val="single" w:color="000000" w:sz="4"/>
              <w:left w:val="single" w:color="000000" w:sz="0"/>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2.074,02</w:t>
            </w:r>
          </w:p>
        </w:tc>
        <w:tc>
          <w:tcPr>
            <w:tcW w:w="11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1.701,65</w:t>
            </w:r>
          </w:p>
        </w:tc>
        <w:tc>
          <w:tcPr>
            <w:tcW w:w="111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1.055,30</w:t>
            </w:r>
          </w:p>
        </w:tc>
        <w:tc>
          <w:tcPr>
            <w:tcW w:w="144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826,39</w:t>
            </w:r>
          </w:p>
        </w:tc>
        <w:tc>
          <w:tcPr>
            <w:tcW w:w="10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876,86</w:t>
            </w:r>
          </w:p>
        </w:tc>
        <w:tc>
          <w:tcPr>
            <w:tcW w:w="12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508,55</w:t>
            </w:r>
          </w:p>
        </w:tc>
      </w:tr>
      <w:tr>
        <w:trPr>
          <w:trHeight w:val="255" w:hRule="auto"/>
          <w:jc w:val="center"/>
        </w:trPr>
        <w:tc>
          <w:tcPr>
            <w:tcW w:w="9401" w:type="dxa"/>
            <w:gridSpan w:val="7"/>
            <w:tcBorders>
              <w:top w:val="single" w:color="000000" w:sz="4"/>
              <w:left w:val="single" w:color="000000" w:sz="4"/>
              <w:bottom w:val="single" w:color="000000" w:sz="4"/>
              <w:right w:val="single" w:color="000000" w:sz="4"/>
            </w:tcBorders>
            <w:shd w:color="auto" w:fill="bdd6ee"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JAVNE ZGRADE KOJE NISU U VLASNIŠTVU OP</w:t>
            </w:r>
            <w:r>
              <w:rPr>
                <w:rFonts w:ascii="Calibri" w:hAnsi="Calibri" w:cs="Calibri" w:eastAsia="Calibri"/>
                <w:color w:val="000000"/>
                <w:spacing w:val="0"/>
                <w:position w:val="0"/>
                <w:sz w:val="18"/>
                <w:shd w:fill="auto" w:val="clear"/>
              </w:rPr>
              <w:t xml:space="preserve">ĆINE</w:t>
            </w:r>
          </w:p>
        </w:tc>
      </w:tr>
      <w:tr>
        <w:trPr>
          <w:trHeight w:val="255" w:hRule="auto"/>
          <w:jc w:val="center"/>
        </w:trPr>
        <w:tc>
          <w:tcPr>
            <w:tcW w:w="2345" w:type="dxa"/>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Scenario sa mjerama</w:t>
            </w:r>
          </w:p>
        </w:tc>
        <w:tc>
          <w:tcPr>
            <w:tcW w:w="1105" w:type="dxa"/>
            <w:tcBorders>
              <w:top w:val="single" w:color="000000" w:sz="4"/>
              <w:left w:val="single" w:color="000000" w:sz="0"/>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1.528,42</w:t>
            </w:r>
          </w:p>
        </w:tc>
        <w:tc>
          <w:tcPr>
            <w:tcW w:w="11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983,16</w:t>
            </w:r>
          </w:p>
        </w:tc>
        <w:tc>
          <w:tcPr>
            <w:tcW w:w="111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376,42</w:t>
            </w:r>
          </w:p>
        </w:tc>
        <w:tc>
          <w:tcPr>
            <w:tcW w:w="144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544,67</w:t>
            </w:r>
          </w:p>
        </w:tc>
        <w:tc>
          <w:tcPr>
            <w:tcW w:w="10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348,44</w:t>
            </w:r>
          </w:p>
        </w:tc>
        <w:tc>
          <w:tcPr>
            <w:tcW w:w="12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117,21</w:t>
            </w:r>
          </w:p>
        </w:tc>
      </w:tr>
    </w:tbl>
    <w:p>
      <w:pPr>
        <w:spacing w:before="60" w:after="120" w:line="240"/>
        <w:ind w:right="0" w:left="0" w:firstLine="0"/>
        <w:jc w:val="center"/>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Tabela 561: Projekcije godišnje potrošnje finalne energije i emisija CO</w:t>
      </w:r>
      <w:r>
        <w:rPr>
          <w:rFonts w:ascii="Calibri" w:hAnsi="Calibri" w:cs="Calibri" w:eastAsia="Calibri"/>
          <w:color w:val="auto"/>
          <w:spacing w:val="0"/>
          <w:position w:val="0"/>
          <w:sz w:val="18"/>
          <w:shd w:fill="auto" w:val="clear"/>
          <w:vertAlign w:val="subscript"/>
        </w:rPr>
        <w:t xml:space="preserve">2</w:t>
      </w:r>
      <w:r>
        <w:rPr>
          <w:rFonts w:ascii="Calibri" w:hAnsi="Calibri" w:cs="Calibri" w:eastAsia="Calibri"/>
          <w:color w:val="auto"/>
          <w:spacing w:val="0"/>
          <w:position w:val="0"/>
          <w:sz w:val="18"/>
          <w:shd w:fill="auto" w:val="clear"/>
        </w:rPr>
        <w:t xml:space="preserve"> do 2030. godine za scenario sa planiranim mjerama -  podsektori javnih zgrada</w:t>
      </w:r>
    </w:p>
    <w:p>
      <w:pPr>
        <w:spacing w:before="60" w:after="12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0"/>
          <w:shd w:fill="auto" w:val="clear"/>
        </w:rPr>
        <w:t xml:space="preserve">Provo</w:t>
      </w:r>
      <w:r>
        <w:rPr>
          <w:rFonts w:ascii="Calibri" w:hAnsi="Calibri" w:cs="Calibri" w:eastAsia="Calibri"/>
          <w:color w:val="auto"/>
          <w:spacing w:val="0"/>
          <w:position w:val="0"/>
          <w:sz w:val="20"/>
          <w:shd w:fill="auto" w:val="clear"/>
        </w:rPr>
        <w:t xml:space="preserve">đenjem integralne energetske obnove </w:t>
      </w:r>
      <w:r>
        <w:rPr>
          <w:rFonts w:ascii="Calibri" w:hAnsi="Calibri" w:cs="Calibri" w:eastAsia="Calibri"/>
          <w:i/>
          <w:color w:val="auto"/>
          <w:spacing w:val="0"/>
          <w:position w:val="0"/>
          <w:sz w:val="20"/>
          <w:shd w:fill="auto" w:val="clear"/>
        </w:rPr>
        <w:t xml:space="preserve">4 javne zgrada u vlasništvu Općine Doboj Istok</w:t>
      </w:r>
      <w:r>
        <w:rPr>
          <w:rFonts w:ascii="Calibri" w:hAnsi="Calibri" w:cs="Calibri" w:eastAsia="Calibri"/>
          <w:color w:val="auto"/>
          <w:spacing w:val="0"/>
          <w:position w:val="0"/>
          <w:sz w:val="20"/>
          <w:shd w:fill="auto" w:val="clear"/>
        </w:rPr>
        <w:t xml:space="preserve"> (mjera JZO-1) potrošnja energije na godišnjem nivou bi se umanjila za 646,35 MWh, a emisije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za 368,31 t, tako da bi za ovaj scenario ukupna godišnja potrošnja finalne energije u ovom podsektoru u 2030. godini iznosila 1.055,30 MWh, a ukupna godišnja emisija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508,55 t. Učešćem Općine u integralnoj energetskoj obnovi </w:t>
      </w:r>
      <w:r>
        <w:rPr>
          <w:rFonts w:ascii="Calibri" w:hAnsi="Calibri" w:cs="Calibri" w:eastAsia="Calibri"/>
          <w:i/>
          <w:color w:val="auto"/>
          <w:spacing w:val="0"/>
          <w:position w:val="0"/>
          <w:sz w:val="20"/>
          <w:shd w:fill="auto" w:val="clear"/>
        </w:rPr>
        <w:t xml:space="preserve">4  javne zgrade koje nisu u vlasništvu Općine Doboj Istok</w:t>
      </w:r>
      <w:r>
        <w:rPr>
          <w:rFonts w:ascii="Calibri" w:hAnsi="Calibri" w:cs="Calibri" w:eastAsia="Calibri"/>
          <w:color w:val="auto"/>
          <w:spacing w:val="0"/>
          <w:position w:val="0"/>
          <w:sz w:val="20"/>
          <w:shd w:fill="auto" w:val="clear"/>
        </w:rPr>
        <w:t xml:space="preserve"> (mjera JZD-1) potrošnja energije bi se na godišnjem nivou umanjila za 606,74 MWh, a emisije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za 231,22 t, pa bi ukupna godišnja potrošnja finalne energije na nivou cijelog podsektora javnih zgrada koje nisu u vlasništvu Općine Doboj Istok u 2030. godini iznosila 376,42 MWh/god., a ukupna godišnja emisija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117,21 t. Za </w:t>
      </w:r>
      <w:r>
        <w:rPr>
          <w:rFonts w:ascii="Calibri" w:hAnsi="Calibri" w:cs="Calibri" w:eastAsia="Calibri"/>
          <w:b/>
          <w:color w:val="auto"/>
          <w:spacing w:val="0"/>
          <w:position w:val="0"/>
          <w:sz w:val="20"/>
          <w:shd w:fill="auto" w:val="clear"/>
        </w:rPr>
        <w:t xml:space="preserve">stambeni podsektor</w:t>
      </w:r>
      <w:r>
        <w:rPr>
          <w:rFonts w:ascii="Calibri" w:hAnsi="Calibri" w:cs="Calibri" w:eastAsia="Calibri"/>
          <w:color w:val="auto"/>
          <w:spacing w:val="0"/>
          <w:position w:val="0"/>
          <w:sz w:val="20"/>
          <w:shd w:fill="auto" w:val="clear"/>
        </w:rPr>
        <w:t xml:space="preserve"> su osim izračunatog nastavka trenda samoinicijativnog ulaganja građana u mjere energetske efikasnosti, uključeni i efekti planiranih sistemskih mjera, koje uključuju tehničku i financijsku podršku vlasnicima stambenih jedinica (ključne mjere SZ-1, SZ-2 i SZ-3). Primjena navedenih mjera će rezultirati ukupnim smanjenjem finalne energije za 3.703,36 MWh/god., odnosno smanjenjem emisija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za 1.520,16 t/god. Rezultati ovog proračuna predstavljeni su u narednoj tabeli.</w:t>
      </w:r>
    </w:p>
    <w:tbl>
      <w:tblPr/>
      <w:tblGrid>
        <w:gridCol w:w="2471"/>
        <w:gridCol w:w="1247"/>
        <w:gridCol w:w="1245"/>
        <w:gridCol w:w="1247"/>
        <w:gridCol w:w="1122"/>
        <w:gridCol w:w="1122"/>
        <w:gridCol w:w="1122"/>
      </w:tblGrid>
      <w:tr>
        <w:trPr>
          <w:trHeight w:val="255" w:hRule="auto"/>
          <w:jc w:val="left"/>
        </w:trPr>
        <w:tc>
          <w:tcPr>
            <w:tcW w:w="2471" w:type="dxa"/>
            <w:vMerge w:val="restart"/>
            <w:tcBorders>
              <w:top w:val="single" w:color="000000" w:sz="4"/>
              <w:left w:val="single" w:color="000000" w:sz="4"/>
              <w:bottom w:val="single" w:color="000000" w:sz="4"/>
              <w:right w:val="single" w:color="000000" w:sz="4"/>
            </w:tcBorders>
            <w:shd w:color="auto" w:fill="9cc2e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STAMBENE ZGRADE</w:t>
            </w:r>
          </w:p>
        </w:tc>
        <w:tc>
          <w:tcPr>
            <w:tcW w:w="3739" w:type="dxa"/>
            <w:gridSpan w:val="3"/>
            <w:tcBorders>
              <w:top w:val="single" w:color="000000" w:sz="4"/>
              <w:left w:val="single" w:color="000000" w:sz="4"/>
              <w:bottom w:val="single" w:color="000000" w:sz="4"/>
              <w:right w:val="single" w:color="000000" w:sz="4"/>
            </w:tcBorders>
            <w:shd w:color="auto" w:fill="9cc2e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POTROŠNJA ENERGIJE [MWh]</w:t>
            </w:r>
          </w:p>
        </w:tc>
        <w:tc>
          <w:tcPr>
            <w:tcW w:w="3366" w:type="dxa"/>
            <w:gridSpan w:val="3"/>
            <w:tcBorders>
              <w:top w:val="single" w:color="000000" w:sz="4"/>
              <w:left w:val="single" w:color="000000" w:sz="4"/>
              <w:bottom w:val="single" w:color="000000" w:sz="4"/>
              <w:right w:val="single" w:color="000000" w:sz="4"/>
            </w:tcBorders>
            <w:shd w:color="auto" w:fill="9cc2e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EMISIJE [tCO</w:t>
            </w:r>
            <w:r>
              <w:rPr>
                <w:rFonts w:ascii="Calibri" w:hAnsi="Calibri" w:cs="Calibri" w:eastAsia="Calibri"/>
                <w:color w:val="000000"/>
                <w:spacing w:val="0"/>
                <w:position w:val="0"/>
                <w:sz w:val="18"/>
                <w:shd w:fill="auto" w:val="clear"/>
                <w:vertAlign w:val="subscript"/>
              </w:rPr>
              <w:t xml:space="preserve">2</w:t>
            </w:r>
            <w:r>
              <w:rPr>
                <w:rFonts w:ascii="Calibri" w:hAnsi="Calibri" w:cs="Calibri" w:eastAsia="Calibri"/>
                <w:color w:val="000000"/>
                <w:spacing w:val="0"/>
                <w:position w:val="0"/>
                <w:sz w:val="18"/>
                <w:shd w:fill="auto" w:val="clear"/>
              </w:rPr>
              <w:t xml:space="preserve">]</w:t>
            </w:r>
          </w:p>
        </w:tc>
      </w:tr>
      <w:tr>
        <w:trPr>
          <w:trHeight w:val="255" w:hRule="auto"/>
          <w:jc w:val="left"/>
        </w:trPr>
        <w:tc>
          <w:tcPr>
            <w:tcW w:w="2471" w:type="dxa"/>
            <w:vMerge/>
            <w:tcBorders>
              <w:top w:val="single" w:color="000000" w:sz="4"/>
              <w:left w:val="single" w:color="000000" w:sz="4"/>
              <w:bottom w:val="single" w:color="000000" w:sz="4"/>
              <w:right w:val="single" w:color="000000" w:sz="4"/>
            </w:tcBorders>
            <w:shd w:color="auto" w:fill="9cc2e5" w:val="clear"/>
            <w:tcMar>
              <w:left w:w="108" w:type="dxa"/>
              <w:right w:w="108"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247" w:type="dxa"/>
            <w:tcBorders>
              <w:top w:val="single" w:color="000000" w:sz="4"/>
              <w:left w:val="single" w:color="000000" w:sz="4"/>
              <w:bottom w:val="single" w:color="000000" w:sz="4"/>
              <w:right w:val="single" w:color="000000" w:sz="4"/>
            </w:tcBorders>
            <w:shd w:color="auto" w:fill="9cc2e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2010. god</w:t>
            </w:r>
          </w:p>
        </w:tc>
        <w:tc>
          <w:tcPr>
            <w:tcW w:w="1245" w:type="dxa"/>
            <w:tcBorders>
              <w:top w:val="single" w:color="000000" w:sz="4"/>
              <w:left w:val="single" w:color="000000" w:sz="4"/>
              <w:bottom w:val="single" w:color="000000" w:sz="4"/>
              <w:right w:val="single" w:color="000000" w:sz="4"/>
            </w:tcBorders>
            <w:shd w:color="auto" w:fill="9cc2e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2020. god</w:t>
            </w:r>
          </w:p>
        </w:tc>
        <w:tc>
          <w:tcPr>
            <w:tcW w:w="1247" w:type="dxa"/>
            <w:tcBorders>
              <w:top w:val="single" w:color="000000" w:sz="4"/>
              <w:left w:val="single" w:color="000000" w:sz="4"/>
              <w:bottom w:val="single" w:color="000000" w:sz="4"/>
              <w:right w:val="single" w:color="000000" w:sz="4"/>
            </w:tcBorders>
            <w:shd w:color="auto" w:fill="9cc2e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2030. god</w:t>
            </w:r>
          </w:p>
        </w:tc>
        <w:tc>
          <w:tcPr>
            <w:tcW w:w="1122" w:type="dxa"/>
            <w:tcBorders>
              <w:top w:val="single" w:color="000000" w:sz="4"/>
              <w:left w:val="single" w:color="000000" w:sz="4"/>
              <w:bottom w:val="single" w:color="000000" w:sz="4"/>
              <w:right w:val="single" w:color="000000" w:sz="4"/>
            </w:tcBorders>
            <w:shd w:color="auto" w:fill="9cc2e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2010. god</w:t>
            </w:r>
          </w:p>
        </w:tc>
        <w:tc>
          <w:tcPr>
            <w:tcW w:w="1122" w:type="dxa"/>
            <w:tcBorders>
              <w:top w:val="single" w:color="000000" w:sz="4"/>
              <w:left w:val="single" w:color="000000" w:sz="4"/>
              <w:bottom w:val="single" w:color="000000" w:sz="4"/>
              <w:right w:val="single" w:color="000000" w:sz="4"/>
            </w:tcBorders>
            <w:shd w:color="auto" w:fill="9cc2e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2020. god</w:t>
            </w:r>
          </w:p>
        </w:tc>
        <w:tc>
          <w:tcPr>
            <w:tcW w:w="1122" w:type="dxa"/>
            <w:tcBorders>
              <w:top w:val="single" w:color="000000" w:sz="4"/>
              <w:left w:val="single" w:color="000000" w:sz="4"/>
              <w:bottom w:val="single" w:color="000000" w:sz="4"/>
              <w:right w:val="single" w:color="000000" w:sz="4"/>
            </w:tcBorders>
            <w:shd w:color="auto" w:fill="9cc2e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2030. god</w:t>
            </w:r>
          </w:p>
        </w:tc>
      </w:tr>
      <w:tr>
        <w:trPr>
          <w:trHeight w:val="255" w:hRule="auto"/>
          <w:jc w:val="left"/>
        </w:trPr>
        <w:tc>
          <w:tcPr>
            <w:tcW w:w="24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Scenario sa mjerama</w:t>
            </w:r>
          </w:p>
        </w:tc>
        <w:tc>
          <w:tcPr>
            <w:tcW w:w="12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54.352,61</w:t>
            </w:r>
          </w:p>
        </w:tc>
        <w:tc>
          <w:tcPr>
            <w:tcW w:w="124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46.525,49</w:t>
            </w:r>
          </w:p>
        </w:tc>
        <w:tc>
          <w:tcPr>
            <w:tcW w:w="12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33.520,04</w:t>
            </w:r>
          </w:p>
        </w:tc>
        <w:tc>
          <w:tcPr>
            <w:tcW w:w="11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19.390,47</w:t>
            </w:r>
          </w:p>
        </w:tc>
        <w:tc>
          <w:tcPr>
            <w:tcW w:w="11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13.922,42</w:t>
            </w:r>
          </w:p>
        </w:tc>
        <w:tc>
          <w:tcPr>
            <w:tcW w:w="11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9.582,30</w:t>
            </w:r>
          </w:p>
        </w:tc>
      </w:tr>
    </w:tbl>
    <w:p>
      <w:pPr>
        <w:spacing w:before="60" w:after="120" w:line="240"/>
        <w:ind w:right="0" w:left="0" w:firstLine="0"/>
        <w:jc w:val="center"/>
        <w:rPr>
          <w:rFonts w:ascii="Calibri" w:hAnsi="Calibri" w:cs="Calibri" w:eastAsia="Calibri"/>
          <w:i/>
          <w:color w:val="auto"/>
          <w:spacing w:val="0"/>
          <w:position w:val="0"/>
          <w:sz w:val="18"/>
          <w:shd w:fill="auto" w:val="clear"/>
        </w:rPr>
      </w:pPr>
      <w:r>
        <w:rPr>
          <w:rFonts w:ascii="Calibri" w:hAnsi="Calibri" w:cs="Calibri" w:eastAsia="Calibri"/>
          <w:i/>
          <w:color w:val="auto"/>
          <w:spacing w:val="0"/>
          <w:position w:val="0"/>
          <w:sz w:val="18"/>
          <w:shd w:fill="auto" w:val="clear"/>
        </w:rPr>
        <w:t xml:space="preserve">Tabela 562: Projekcije godišnje potrošnje finalne energije i emisija CO</w:t>
      </w:r>
      <w:r>
        <w:rPr>
          <w:rFonts w:ascii="Calibri" w:hAnsi="Calibri" w:cs="Calibri" w:eastAsia="Calibri"/>
          <w:i/>
          <w:color w:val="auto"/>
          <w:spacing w:val="0"/>
          <w:position w:val="0"/>
          <w:sz w:val="18"/>
          <w:shd w:fill="auto" w:val="clear"/>
          <w:vertAlign w:val="subscript"/>
        </w:rPr>
        <w:t xml:space="preserve">2</w:t>
      </w:r>
      <w:r>
        <w:rPr>
          <w:rFonts w:ascii="Calibri" w:hAnsi="Calibri" w:cs="Calibri" w:eastAsia="Calibri"/>
          <w:i/>
          <w:color w:val="auto"/>
          <w:spacing w:val="0"/>
          <w:position w:val="0"/>
          <w:sz w:val="18"/>
          <w:shd w:fill="auto" w:val="clear"/>
        </w:rPr>
        <w:t xml:space="preserve"> do 2030. godine za scenario sa planiranim mjerama - podsektor stambenih zgrada</w:t>
      </w:r>
    </w:p>
    <w:p>
      <w:pPr>
        <w:keepNext w:val="true"/>
        <w:keepLines w:val="true"/>
        <w:numPr>
          <w:ilvl w:val="0"/>
          <w:numId w:val="3068"/>
        </w:numPr>
        <w:spacing w:before="120" w:after="0" w:line="240"/>
        <w:ind w:right="0" w:left="720" w:hanging="72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Projekcija emisija CO</w:t>
      </w:r>
      <w:r>
        <w:rPr>
          <w:rFonts w:ascii="Calibri" w:hAnsi="Calibri" w:cs="Calibri" w:eastAsia="Calibri"/>
          <w:b/>
          <w:color w:val="auto"/>
          <w:spacing w:val="0"/>
          <w:position w:val="0"/>
          <w:sz w:val="24"/>
          <w:shd w:fill="auto" w:val="clear"/>
          <w:vertAlign w:val="subscript"/>
        </w:rPr>
        <w:t xml:space="preserve">2</w:t>
      </w:r>
      <w:r>
        <w:rPr>
          <w:rFonts w:ascii="Calibri" w:hAnsi="Calibri" w:cs="Calibri" w:eastAsia="Calibri"/>
          <w:b/>
          <w:color w:val="auto"/>
          <w:spacing w:val="0"/>
          <w:position w:val="0"/>
          <w:sz w:val="24"/>
          <w:shd w:fill="auto" w:val="clear"/>
        </w:rPr>
        <w:t xml:space="preserve"> iz sektora saobra</w:t>
      </w:r>
      <w:r>
        <w:rPr>
          <w:rFonts w:ascii="Calibri" w:hAnsi="Calibri" w:cs="Calibri" w:eastAsia="Calibri"/>
          <w:b/>
          <w:color w:val="auto"/>
          <w:spacing w:val="0"/>
          <w:position w:val="0"/>
          <w:sz w:val="24"/>
          <w:shd w:fill="auto" w:val="clear"/>
        </w:rPr>
        <w:t xml:space="preserve">ćaja za scenario sa planiranim mjerama</w:t>
      </w:r>
    </w:p>
    <w:p>
      <w:pPr>
        <w:spacing w:before="60" w:after="12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U ovaj scenario su uklju</w:t>
      </w:r>
      <w:r>
        <w:rPr>
          <w:rFonts w:ascii="Calibri" w:hAnsi="Calibri" w:cs="Calibri" w:eastAsia="Calibri"/>
          <w:color w:val="auto"/>
          <w:spacing w:val="0"/>
          <w:position w:val="0"/>
          <w:sz w:val="20"/>
          <w:shd w:fill="auto" w:val="clear"/>
        </w:rPr>
        <w:t xml:space="preserve">čeni zbirni efekti ranije opisanog trenda baziranog samo na poboljšanju kvaliteta vozila i istovremenog povećanja broja vozila, kao i uticaja planirane mjere SG-1 na smanjenje potrošnje energije i emisija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Rezultati ovog proračuna prikazani su u narednoj tabeli.</w:t>
      </w:r>
    </w:p>
    <w:tbl>
      <w:tblPr/>
      <w:tblGrid>
        <w:gridCol w:w="2470"/>
        <w:gridCol w:w="1246"/>
        <w:gridCol w:w="1245"/>
        <w:gridCol w:w="1247"/>
        <w:gridCol w:w="1122"/>
        <w:gridCol w:w="1122"/>
        <w:gridCol w:w="1124"/>
      </w:tblGrid>
      <w:tr>
        <w:trPr>
          <w:trHeight w:val="255" w:hRule="auto"/>
          <w:jc w:val="left"/>
        </w:trPr>
        <w:tc>
          <w:tcPr>
            <w:tcW w:w="2470" w:type="dxa"/>
            <w:vMerge w:val="restart"/>
            <w:tcBorders>
              <w:top w:val="single" w:color="000000" w:sz="4"/>
              <w:left w:val="single" w:color="000000" w:sz="4"/>
              <w:bottom w:val="single" w:color="000000" w:sz="4"/>
              <w:right w:val="single" w:color="000000" w:sz="4"/>
            </w:tcBorders>
            <w:shd w:color="auto" w:fill="9cc2e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SAOBRA</w:t>
            </w:r>
            <w:r>
              <w:rPr>
                <w:rFonts w:ascii="Calibri" w:hAnsi="Calibri" w:cs="Calibri" w:eastAsia="Calibri"/>
                <w:color w:val="000000"/>
                <w:spacing w:val="0"/>
                <w:position w:val="0"/>
                <w:sz w:val="18"/>
                <w:shd w:fill="auto" w:val="clear"/>
              </w:rPr>
              <w:t xml:space="preserve">ĆAJ</w:t>
            </w:r>
          </w:p>
        </w:tc>
        <w:tc>
          <w:tcPr>
            <w:tcW w:w="3738" w:type="dxa"/>
            <w:gridSpan w:val="3"/>
            <w:tcBorders>
              <w:top w:val="single" w:color="000000" w:sz="4"/>
              <w:left w:val="single" w:color="000000" w:sz="0"/>
              <w:bottom w:val="single" w:color="000000" w:sz="4"/>
              <w:right w:val="single" w:color="000000" w:sz="4"/>
            </w:tcBorders>
            <w:shd w:color="auto" w:fill="9cc2e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POTROŠNJA ENERGIJE [MWh]</w:t>
            </w:r>
          </w:p>
        </w:tc>
        <w:tc>
          <w:tcPr>
            <w:tcW w:w="3368" w:type="dxa"/>
            <w:gridSpan w:val="3"/>
            <w:tcBorders>
              <w:top w:val="single" w:color="000000" w:sz="4"/>
              <w:left w:val="single" w:color="000000" w:sz="0"/>
              <w:bottom w:val="single" w:color="000000" w:sz="4"/>
              <w:right w:val="single" w:color="000000" w:sz="4"/>
            </w:tcBorders>
            <w:shd w:color="auto" w:fill="9cc2e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EMISIJE [tCO</w:t>
            </w:r>
            <w:r>
              <w:rPr>
                <w:rFonts w:ascii="Calibri" w:hAnsi="Calibri" w:cs="Calibri" w:eastAsia="Calibri"/>
                <w:color w:val="000000"/>
                <w:spacing w:val="0"/>
                <w:position w:val="0"/>
                <w:sz w:val="18"/>
                <w:shd w:fill="auto" w:val="clear"/>
                <w:vertAlign w:val="subscript"/>
              </w:rPr>
              <w:t xml:space="preserve">2</w:t>
            </w:r>
            <w:r>
              <w:rPr>
                <w:rFonts w:ascii="Calibri" w:hAnsi="Calibri" w:cs="Calibri" w:eastAsia="Calibri"/>
                <w:color w:val="000000"/>
                <w:spacing w:val="0"/>
                <w:position w:val="0"/>
                <w:sz w:val="18"/>
                <w:shd w:fill="auto" w:val="clear"/>
              </w:rPr>
              <w:t xml:space="preserve">]</w:t>
            </w:r>
          </w:p>
        </w:tc>
      </w:tr>
      <w:tr>
        <w:trPr>
          <w:trHeight w:val="255" w:hRule="auto"/>
          <w:jc w:val="left"/>
        </w:trPr>
        <w:tc>
          <w:tcPr>
            <w:tcW w:w="2470" w:type="dxa"/>
            <w:vMerge/>
            <w:tcBorders>
              <w:top w:val="single" w:color="000000" w:sz="4"/>
              <w:left w:val="single" w:color="000000" w:sz="4"/>
              <w:bottom w:val="single" w:color="000000" w:sz="4"/>
              <w:right w:val="single" w:color="000000" w:sz="4"/>
            </w:tcBorders>
            <w:shd w:color="auto" w:fill="9cc2e5" w:val="clear"/>
            <w:tcMar>
              <w:left w:w="108" w:type="dxa"/>
              <w:right w:w="108"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246" w:type="dxa"/>
            <w:tcBorders>
              <w:top w:val="single" w:color="000000" w:sz="0"/>
              <w:left w:val="single" w:color="000000" w:sz="0"/>
              <w:bottom w:val="single" w:color="000000" w:sz="4"/>
              <w:right w:val="single" w:color="000000" w:sz="4"/>
            </w:tcBorders>
            <w:shd w:color="auto" w:fill="9cc2e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2010. god</w:t>
            </w:r>
          </w:p>
        </w:tc>
        <w:tc>
          <w:tcPr>
            <w:tcW w:w="1245" w:type="dxa"/>
            <w:tcBorders>
              <w:top w:val="single" w:color="000000" w:sz="0"/>
              <w:left w:val="single" w:color="000000" w:sz="0"/>
              <w:bottom w:val="single" w:color="000000" w:sz="4"/>
              <w:right w:val="single" w:color="000000" w:sz="4"/>
            </w:tcBorders>
            <w:shd w:color="auto" w:fill="9cc2e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2020. god</w:t>
            </w:r>
          </w:p>
        </w:tc>
        <w:tc>
          <w:tcPr>
            <w:tcW w:w="1247" w:type="dxa"/>
            <w:tcBorders>
              <w:top w:val="single" w:color="000000" w:sz="0"/>
              <w:left w:val="single" w:color="000000" w:sz="0"/>
              <w:bottom w:val="single" w:color="000000" w:sz="4"/>
              <w:right w:val="single" w:color="000000" w:sz="4"/>
            </w:tcBorders>
            <w:shd w:color="auto" w:fill="9cc2e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2030. god</w:t>
            </w:r>
          </w:p>
        </w:tc>
        <w:tc>
          <w:tcPr>
            <w:tcW w:w="1122" w:type="dxa"/>
            <w:tcBorders>
              <w:top w:val="single" w:color="000000" w:sz="0"/>
              <w:left w:val="single" w:color="000000" w:sz="0"/>
              <w:bottom w:val="single" w:color="000000" w:sz="4"/>
              <w:right w:val="single" w:color="000000" w:sz="4"/>
            </w:tcBorders>
            <w:shd w:color="auto" w:fill="9cc2e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2010. god</w:t>
            </w:r>
          </w:p>
        </w:tc>
        <w:tc>
          <w:tcPr>
            <w:tcW w:w="1122" w:type="dxa"/>
            <w:tcBorders>
              <w:top w:val="single" w:color="000000" w:sz="0"/>
              <w:left w:val="single" w:color="000000" w:sz="0"/>
              <w:bottom w:val="single" w:color="000000" w:sz="4"/>
              <w:right w:val="single" w:color="000000" w:sz="4"/>
            </w:tcBorders>
            <w:shd w:color="auto" w:fill="9cc2e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2020. god</w:t>
            </w:r>
          </w:p>
        </w:tc>
        <w:tc>
          <w:tcPr>
            <w:tcW w:w="1124" w:type="dxa"/>
            <w:tcBorders>
              <w:top w:val="single" w:color="000000" w:sz="0"/>
              <w:left w:val="single" w:color="000000" w:sz="0"/>
              <w:bottom w:val="single" w:color="000000" w:sz="4"/>
              <w:right w:val="single" w:color="000000" w:sz="4"/>
            </w:tcBorders>
            <w:shd w:color="auto" w:fill="9cc2e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2030. god</w:t>
            </w:r>
          </w:p>
        </w:tc>
      </w:tr>
      <w:tr>
        <w:trPr>
          <w:trHeight w:val="255" w:hRule="auto"/>
          <w:jc w:val="left"/>
        </w:trPr>
        <w:tc>
          <w:tcPr>
            <w:tcW w:w="2470" w:type="dxa"/>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Scenario sa mjerama</w:t>
            </w:r>
          </w:p>
        </w:tc>
        <w:tc>
          <w:tcPr>
            <w:tcW w:w="1246" w:type="dxa"/>
            <w:tcBorders>
              <w:top w:val="single" w:color="000000" w:sz="0"/>
              <w:left w:val="single" w:color="000000" w:sz="0"/>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34.177,95</w:t>
            </w:r>
          </w:p>
        </w:tc>
        <w:tc>
          <w:tcPr>
            <w:tcW w:w="1245" w:type="dxa"/>
            <w:tcBorders>
              <w:top w:val="single" w:color="000000" w:sz="0"/>
              <w:left w:val="single" w:color="000000" w:sz="0"/>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29.334,06 </w:t>
            </w:r>
          </w:p>
        </w:tc>
        <w:tc>
          <w:tcPr>
            <w:tcW w:w="1247" w:type="dxa"/>
            <w:tcBorders>
              <w:top w:val="single" w:color="000000" w:sz="0"/>
              <w:left w:val="single" w:color="000000" w:sz="0"/>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28.199,92 </w:t>
            </w:r>
          </w:p>
        </w:tc>
        <w:tc>
          <w:tcPr>
            <w:tcW w:w="1122" w:type="dxa"/>
            <w:tcBorders>
              <w:top w:val="single" w:color="000000" w:sz="0"/>
              <w:left w:val="single" w:color="000000" w:sz="0"/>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8.925,39</w:t>
            </w:r>
          </w:p>
        </w:tc>
        <w:tc>
          <w:tcPr>
            <w:tcW w:w="1122" w:type="dxa"/>
            <w:tcBorders>
              <w:top w:val="single" w:color="000000" w:sz="0"/>
              <w:left w:val="single" w:color="000000" w:sz="0"/>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7.731,01</w:t>
            </w:r>
          </w:p>
        </w:tc>
        <w:tc>
          <w:tcPr>
            <w:tcW w:w="1124" w:type="dxa"/>
            <w:tcBorders>
              <w:top w:val="single" w:color="000000" w:sz="0"/>
              <w:left w:val="single" w:color="000000" w:sz="0"/>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000000"/>
                <w:spacing w:val="0"/>
                <w:position w:val="0"/>
                <w:sz w:val="18"/>
                <w:shd w:fill="auto" w:val="clear"/>
              </w:rPr>
            </w:pPr>
            <w:r>
              <w:rPr>
                <w:rFonts w:ascii="Calibri" w:hAnsi="Calibri" w:cs="Calibri" w:eastAsia="Calibri"/>
                <w:color w:val="000000"/>
                <w:spacing w:val="0"/>
                <w:position w:val="0"/>
                <w:sz w:val="18"/>
                <w:shd w:fill="auto" w:val="clear"/>
              </w:rPr>
              <w:t xml:space="preserve">7.450,75</w:t>
            </w:r>
          </w:p>
          <w:p>
            <w:pPr>
              <w:spacing w:before="0" w:after="0" w:line="240"/>
              <w:ind w:right="0" w:left="0" w:firstLine="0"/>
              <w:jc w:val="center"/>
              <w:rPr>
                <w:rFonts w:ascii="Calibri" w:hAnsi="Calibri" w:cs="Calibri" w:eastAsia="Calibri"/>
                <w:spacing w:val="0"/>
                <w:position w:val="0"/>
              </w:rPr>
            </w:pPr>
          </w:p>
        </w:tc>
      </w:tr>
    </w:tbl>
    <w:p>
      <w:pPr>
        <w:spacing w:before="60" w:after="120" w:line="240"/>
        <w:ind w:right="0" w:left="0" w:firstLine="0"/>
        <w:jc w:val="center"/>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Tabela 563: Projekcije godišnje potrošnje finalne energije i emisija CO</w:t>
      </w:r>
      <w:r>
        <w:rPr>
          <w:rFonts w:ascii="Calibri" w:hAnsi="Calibri" w:cs="Calibri" w:eastAsia="Calibri"/>
          <w:color w:val="auto"/>
          <w:spacing w:val="0"/>
          <w:position w:val="0"/>
          <w:sz w:val="18"/>
          <w:shd w:fill="auto" w:val="clear"/>
          <w:vertAlign w:val="subscript"/>
        </w:rPr>
        <w:t xml:space="preserve">2</w:t>
      </w:r>
      <w:r>
        <w:rPr>
          <w:rFonts w:ascii="Calibri" w:hAnsi="Calibri" w:cs="Calibri" w:eastAsia="Calibri"/>
          <w:color w:val="auto"/>
          <w:spacing w:val="0"/>
          <w:position w:val="0"/>
          <w:sz w:val="18"/>
          <w:shd w:fill="auto" w:val="clear"/>
        </w:rPr>
        <w:t xml:space="preserve"> do 2030. godine za scenario sa planiranim mjerama - sektor saobra</w:t>
      </w:r>
      <w:r>
        <w:rPr>
          <w:rFonts w:ascii="Calibri" w:hAnsi="Calibri" w:cs="Calibri" w:eastAsia="Calibri"/>
          <w:color w:val="auto"/>
          <w:spacing w:val="0"/>
          <w:position w:val="0"/>
          <w:sz w:val="18"/>
          <w:shd w:fill="auto" w:val="clear"/>
        </w:rPr>
        <w:t xml:space="preserve">ćaja</w:t>
      </w:r>
    </w:p>
    <w:p>
      <w:pPr>
        <w:spacing w:before="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Realizacijom mjere SG-1 (nabavka elektri</w:t>
      </w:r>
      <w:r>
        <w:rPr>
          <w:rFonts w:ascii="Calibri" w:hAnsi="Calibri" w:cs="Calibri" w:eastAsia="Calibri"/>
          <w:color w:val="auto"/>
          <w:spacing w:val="0"/>
          <w:position w:val="0"/>
          <w:sz w:val="20"/>
          <w:shd w:fill="auto" w:val="clear"/>
        </w:rPr>
        <w:t xml:space="preserve">čnih vozila u vlasništvu Općine sa smanjenim emisijama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potrošnja energije na godišnjem nivou u ovom podsektoru bi se smanjila za 19,94 MWh, a pripadajućih emisija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za 4,89 t. Time bi ukupna godišnja potrošnja finalne energije u sektoru saobraćaja iznosila 28.199,92 MWh, a ukupne godišnje emisije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bi iznosile 7.450,75 t.</w:t>
      </w:r>
    </w:p>
    <w:p>
      <w:pPr>
        <w:keepNext w:val="true"/>
        <w:keepLines w:val="true"/>
        <w:numPr>
          <w:ilvl w:val="0"/>
          <w:numId w:val="3082"/>
        </w:numPr>
        <w:spacing w:before="240" w:after="0" w:line="240"/>
        <w:ind w:right="0" w:left="720" w:hanging="72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Projekcija emisija CO</w:t>
      </w:r>
      <w:r>
        <w:rPr>
          <w:rFonts w:ascii="Calibri" w:hAnsi="Calibri" w:cs="Calibri" w:eastAsia="Calibri"/>
          <w:b/>
          <w:color w:val="auto"/>
          <w:spacing w:val="0"/>
          <w:position w:val="0"/>
          <w:sz w:val="24"/>
          <w:shd w:fill="auto" w:val="clear"/>
          <w:vertAlign w:val="subscript"/>
        </w:rPr>
        <w:t xml:space="preserve">2</w:t>
      </w:r>
      <w:r>
        <w:rPr>
          <w:rFonts w:ascii="Calibri" w:hAnsi="Calibri" w:cs="Calibri" w:eastAsia="Calibri"/>
          <w:b/>
          <w:color w:val="auto"/>
          <w:spacing w:val="0"/>
          <w:position w:val="0"/>
          <w:sz w:val="24"/>
          <w:shd w:fill="auto" w:val="clear"/>
        </w:rPr>
        <w:t xml:space="preserve"> iz sektora javne rasvjete za scenario sa planiranim mjerama</w:t>
      </w:r>
    </w:p>
    <w:p>
      <w:pPr>
        <w:spacing w:before="60" w:after="12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Sistem javne rasvjete op</w:t>
      </w:r>
      <w:r>
        <w:rPr>
          <w:rFonts w:ascii="Calibri" w:hAnsi="Calibri" w:cs="Calibri" w:eastAsia="Calibri"/>
          <w:color w:val="auto"/>
          <w:spacing w:val="0"/>
          <w:position w:val="0"/>
          <w:sz w:val="20"/>
          <w:shd w:fill="auto" w:val="clear"/>
        </w:rPr>
        <w:t xml:space="preserve">ćine Doboj Istok uključuje 1.300 svjetiljki, pri čemu u strukturi izvora svjetla sa 88 % dominiraju izvori na bazi električnog pražnjenja (natrijevi, živini i metal-halogeni izvori). Njihovi osnovni nedostaci u odnosu na savremena, energetski visokoefikasna tehnička rješenja (npr. LED rasvjetu) su: znatno veća potrošnja električne energije i emisije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lošije svjetlosne karakteristike kompletnog uređaja osvjetljenja, kraći vijek rada, slabija otpornost na mehaničke i prirodne uticaje, te značajno manja ukupna energetska iskoristivost kompletnog uređaja osvjetljenja. Zamjenom postojećih niskoefikasnih rasvjetnih tijela baziranih na izvorima svjetla na izboj sa visokoefikasnim LED svjetiljkama potrošnju energije je moguće smanjiti u rasponu od 40% do 65%. Kao i u projekcijama emisija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za ranije opisani scenario bez poduzimanja mjera, i u ovom scenariju su kao polazna osnova za izradu projekcija uzeti isti trendovi kretanja ukupnog broja svjetiljki i potrošnje električne energije u periodu od 2010. do 2020. godine, kad je zabilježen ukupni rast potrošnje energije po stopi od 1,45% godišnje. I u ovom slučaju je modelirani proračun emisija za 2030. godinu vršen uzimajući u obzir postojeći stepen pokrivenosti teritorije općine (cca 80%), te stratešku projekciju porasta broja svjetiljki usljed širenja mreže sa sadašnjih 1.300 svjetiljki na 1.436 u 2030. godini (1% godišnje za period 2020.-2030). </w:t>
      </w:r>
    </w:p>
    <w:tbl>
      <w:tblPr/>
      <w:tblGrid>
        <w:gridCol w:w="2091"/>
        <w:gridCol w:w="1277"/>
        <w:gridCol w:w="1417"/>
        <w:gridCol w:w="992"/>
        <w:gridCol w:w="1276"/>
        <w:gridCol w:w="1276"/>
        <w:gridCol w:w="1247"/>
      </w:tblGrid>
      <w:tr>
        <w:trPr>
          <w:trHeight w:val="255" w:hRule="auto"/>
          <w:jc w:val="left"/>
        </w:trPr>
        <w:tc>
          <w:tcPr>
            <w:tcW w:w="2091" w:type="dxa"/>
            <w:vMerge w:val="restart"/>
            <w:tcBorders>
              <w:top w:val="single" w:color="000000" w:sz="8"/>
              <w:left w:val="single" w:color="000000" w:sz="8"/>
              <w:bottom w:val="single" w:color="000000" w:sz="8"/>
              <w:right w:val="single" w:color="000000" w:sz="8"/>
            </w:tcBorders>
            <w:shd w:color="000000" w:fill="9cc2e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JAVNA RASVJETA</w:t>
            </w:r>
          </w:p>
        </w:tc>
        <w:tc>
          <w:tcPr>
            <w:tcW w:w="3686" w:type="dxa"/>
            <w:gridSpan w:val="3"/>
            <w:tcBorders>
              <w:top w:val="single" w:color="000000" w:sz="8"/>
              <w:left w:val="single" w:color="000000" w:sz="0"/>
              <w:bottom w:val="single" w:color="000000" w:sz="8"/>
              <w:right w:val="single" w:color="000000" w:sz="8"/>
            </w:tcBorders>
            <w:shd w:color="000000" w:fill="9cc2e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POTROŠNJA ENERGIJE [MWh]</w:t>
            </w:r>
          </w:p>
        </w:tc>
        <w:tc>
          <w:tcPr>
            <w:tcW w:w="3799" w:type="dxa"/>
            <w:gridSpan w:val="3"/>
            <w:tcBorders>
              <w:top w:val="single" w:color="000000" w:sz="8"/>
              <w:left w:val="single" w:color="000000" w:sz="0"/>
              <w:bottom w:val="single" w:color="000000" w:sz="8"/>
              <w:right w:val="single" w:color="000000" w:sz="8"/>
            </w:tcBorders>
            <w:shd w:color="000000" w:fill="9cc2e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EMISIJE [tCO</w:t>
            </w:r>
            <w:r>
              <w:rPr>
                <w:rFonts w:ascii="Calibri" w:hAnsi="Calibri" w:cs="Calibri" w:eastAsia="Calibri"/>
                <w:color w:val="000000"/>
                <w:spacing w:val="0"/>
                <w:position w:val="0"/>
                <w:sz w:val="18"/>
                <w:shd w:fill="auto" w:val="clear"/>
                <w:vertAlign w:val="subscript"/>
              </w:rPr>
              <w:t xml:space="preserve">2</w:t>
            </w:r>
            <w:r>
              <w:rPr>
                <w:rFonts w:ascii="Calibri" w:hAnsi="Calibri" w:cs="Calibri" w:eastAsia="Calibri"/>
                <w:color w:val="000000"/>
                <w:spacing w:val="0"/>
                <w:position w:val="0"/>
                <w:sz w:val="18"/>
                <w:shd w:fill="auto" w:val="clear"/>
              </w:rPr>
              <w:t xml:space="preserve">]</w:t>
            </w:r>
          </w:p>
        </w:tc>
      </w:tr>
      <w:tr>
        <w:trPr>
          <w:trHeight w:val="255" w:hRule="auto"/>
          <w:jc w:val="left"/>
        </w:trPr>
        <w:tc>
          <w:tcPr>
            <w:tcW w:w="2091" w:type="dxa"/>
            <w:vMerge/>
            <w:tcBorders>
              <w:top w:val="single" w:color="000000" w:sz="8"/>
              <w:left w:val="single" w:color="000000" w:sz="8"/>
              <w:bottom w:val="single" w:color="000000" w:sz="8"/>
              <w:right w:val="single" w:color="000000" w:sz="8"/>
            </w:tcBorders>
            <w:shd w:color="000000" w:fill="ffffff" w:val="clear"/>
            <w:tcMar>
              <w:left w:w="108" w:type="dxa"/>
              <w:right w:w="108"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277" w:type="dxa"/>
            <w:tcBorders>
              <w:top w:val="single" w:color="000000" w:sz="0"/>
              <w:left w:val="single" w:color="000000" w:sz="0"/>
              <w:bottom w:val="single" w:color="000000" w:sz="8"/>
              <w:right w:val="single" w:color="000000" w:sz="8"/>
            </w:tcBorders>
            <w:shd w:color="auto" w:fill="9cc2e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2010. god</w:t>
            </w:r>
          </w:p>
        </w:tc>
        <w:tc>
          <w:tcPr>
            <w:tcW w:w="1417" w:type="dxa"/>
            <w:tcBorders>
              <w:top w:val="single" w:color="000000" w:sz="0"/>
              <w:left w:val="single" w:color="000000" w:sz="0"/>
              <w:bottom w:val="single" w:color="000000" w:sz="8"/>
              <w:right w:val="single" w:color="000000" w:sz="8"/>
            </w:tcBorders>
            <w:shd w:color="000000" w:fill="9cc2e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2020. god.</w:t>
            </w:r>
          </w:p>
        </w:tc>
        <w:tc>
          <w:tcPr>
            <w:tcW w:w="992" w:type="dxa"/>
            <w:tcBorders>
              <w:top w:val="single" w:color="000000" w:sz="0"/>
              <w:left w:val="single" w:color="000000" w:sz="0"/>
              <w:bottom w:val="single" w:color="000000" w:sz="8"/>
              <w:right w:val="single" w:color="000000" w:sz="8"/>
            </w:tcBorders>
            <w:shd w:color="000000" w:fill="9cc2e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2030. god.</w:t>
            </w:r>
          </w:p>
        </w:tc>
        <w:tc>
          <w:tcPr>
            <w:tcW w:w="1276" w:type="dxa"/>
            <w:tcBorders>
              <w:top w:val="single" w:color="000000" w:sz="0"/>
              <w:left w:val="single" w:color="000000" w:sz="0"/>
              <w:bottom w:val="single" w:color="000000" w:sz="8"/>
              <w:right w:val="single" w:color="000000" w:sz="8"/>
            </w:tcBorders>
            <w:shd w:color="auto" w:fill="9cc2e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2010. god</w:t>
            </w:r>
          </w:p>
        </w:tc>
        <w:tc>
          <w:tcPr>
            <w:tcW w:w="1276" w:type="dxa"/>
            <w:tcBorders>
              <w:top w:val="single" w:color="000000" w:sz="0"/>
              <w:left w:val="single" w:color="000000" w:sz="0"/>
              <w:bottom w:val="single" w:color="000000" w:sz="8"/>
              <w:right w:val="single" w:color="000000" w:sz="8"/>
            </w:tcBorders>
            <w:shd w:color="000000" w:fill="9cc2e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2020. god.</w:t>
            </w:r>
          </w:p>
        </w:tc>
        <w:tc>
          <w:tcPr>
            <w:tcW w:w="1247" w:type="dxa"/>
            <w:tcBorders>
              <w:top w:val="single" w:color="000000" w:sz="0"/>
              <w:left w:val="single" w:color="000000" w:sz="0"/>
              <w:bottom w:val="single" w:color="000000" w:sz="8"/>
              <w:right w:val="single" w:color="000000" w:sz="8"/>
            </w:tcBorders>
            <w:shd w:color="000000" w:fill="9cc2e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2030. god.</w:t>
            </w:r>
          </w:p>
        </w:tc>
      </w:tr>
      <w:tr>
        <w:trPr>
          <w:trHeight w:val="255" w:hRule="auto"/>
          <w:jc w:val="left"/>
        </w:trPr>
        <w:tc>
          <w:tcPr>
            <w:tcW w:w="2091" w:type="dxa"/>
            <w:tcBorders>
              <w:top w:val="single" w:color="000000" w:sz="0"/>
              <w:left w:val="single" w:color="000000" w:sz="8"/>
              <w:bottom w:val="single" w:color="000000" w:sz="8"/>
              <w:right w:val="single" w:color="000000" w:sz="8"/>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Scenario sa mjerama</w:t>
            </w:r>
          </w:p>
        </w:tc>
        <w:tc>
          <w:tcPr>
            <w:tcW w:w="12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549,70</w:t>
            </w:r>
          </w:p>
        </w:tc>
        <w:tc>
          <w:tcPr>
            <w:tcW w:w="14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629,50</w:t>
            </w:r>
          </w:p>
        </w:tc>
        <w:tc>
          <w:tcPr>
            <w:tcW w:w="992" w:type="dxa"/>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440,11</w:t>
            </w:r>
          </w:p>
        </w:tc>
        <w:tc>
          <w:tcPr>
            <w:tcW w:w="127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417,77</w:t>
            </w:r>
          </w:p>
        </w:tc>
        <w:tc>
          <w:tcPr>
            <w:tcW w:w="12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478,42</w:t>
            </w:r>
          </w:p>
        </w:tc>
        <w:tc>
          <w:tcPr>
            <w:tcW w:w="124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334,48</w:t>
            </w:r>
          </w:p>
        </w:tc>
      </w:tr>
    </w:tbl>
    <w:p>
      <w:pPr>
        <w:spacing w:before="60" w:after="200" w:line="240"/>
        <w:ind w:right="0" w:left="0" w:firstLine="0"/>
        <w:jc w:val="center"/>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Tabela 564: Projekcije godišnje potrošnje finalne energije i emisija CO</w:t>
      </w:r>
      <w:r>
        <w:rPr>
          <w:rFonts w:ascii="Calibri" w:hAnsi="Calibri" w:cs="Calibri" w:eastAsia="Calibri"/>
          <w:color w:val="auto"/>
          <w:spacing w:val="0"/>
          <w:position w:val="0"/>
          <w:sz w:val="18"/>
          <w:shd w:fill="auto" w:val="clear"/>
          <w:vertAlign w:val="subscript"/>
        </w:rPr>
        <w:t xml:space="preserve">2</w:t>
      </w:r>
      <w:r>
        <w:rPr>
          <w:rFonts w:ascii="Calibri" w:hAnsi="Calibri" w:cs="Calibri" w:eastAsia="Calibri"/>
          <w:color w:val="auto"/>
          <w:spacing w:val="0"/>
          <w:position w:val="0"/>
          <w:sz w:val="18"/>
          <w:shd w:fill="auto" w:val="clear"/>
        </w:rPr>
        <w:t xml:space="preserve"> do 2030. godine za scenario sa planiranim mjerama – sektor javne rasvjete</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U ovom scenariju, koji uzima u obzir i trendove iz scenarija bez mjera, i efekte predloženih mjera, predvi</w:t>
      </w:r>
      <w:r>
        <w:rPr>
          <w:rFonts w:ascii="Calibri" w:hAnsi="Calibri" w:cs="Calibri" w:eastAsia="Calibri"/>
          <w:color w:val="auto"/>
          <w:spacing w:val="0"/>
          <w:position w:val="0"/>
          <w:sz w:val="20"/>
          <w:shd w:fill="auto" w:val="clear"/>
        </w:rPr>
        <w:t xml:space="preserve">đenom zamjenom 1.000 postojećih energetski niskoefikasnih rasvjetnih tijela bi se potrošnja energije na godišnjem nivou umanjila za 290,56 MWh, a godišnje emisije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za 220,82 tCO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tako da bi ukupna godišnja potrošnja energije na nivou cijelog sistema u 2030. godini za ovaj scenario iznosila 440,11 MWh, a ukupna godišnja emisija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na nivou sistema bi iznosila 334,48 tCO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U odnosu na baznu 2010. godinu, uz povećanje ukupnog broja rasvjetnih tijela u sistemu za 94,1 %, ipak dolazi do smanjenja ukupnih emisija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za 19,94 %.  Ukoliko se u narednom periodu stvore dodatne mogućnosti financiranja mjera u ovom sektoru, dodatne uštede u potrošnji električne energije i smanjenje emisija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je moguće ostvariti i uvođenjem višeg nivoa upravljanja - upravljanje vremenom rada i brojem aktivnih rasvjetnih tijela u pojedinim periodima (naročito noću), odnosno uvođenjem centralnog daljinskog upravljanja (telemenadžment). </w:t>
      </w:r>
    </w:p>
    <w:p>
      <w:pPr>
        <w:keepNext w:val="true"/>
        <w:keepLines w:val="true"/>
        <w:numPr>
          <w:ilvl w:val="0"/>
          <w:numId w:val="3096"/>
        </w:numPr>
        <w:spacing w:before="240" w:after="0" w:line="240"/>
        <w:ind w:right="0" w:left="720" w:hanging="72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Projekcije emisija CO</w:t>
      </w:r>
      <w:r>
        <w:rPr>
          <w:rFonts w:ascii="Calibri" w:hAnsi="Calibri" w:cs="Calibri" w:eastAsia="Calibri"/>
          <w:b/>
          <w:color w:val="auto"/>
          <w:spacing w:val="0"/>
          <w:position w:val="0"/>
          <w:sz w:val="24"/>
          <w:shd w:fill="auto" w:val="clear"/>
          <w:vertAlign w:val="subscript"/>
        </w:rPr>
        <w:t xml:space="preserve">2</w:t>
      </w:r>
      <w:r>
        <w:rPr>
          <w:rFonts w:ascii="Calibri" w:hAnsi="Calibri" w:cs="Calibri" w:eastAsia="Calibri"/>
          <w:b/>
          <w:color w:val="auto"/>
          <w:spacing w:val="0"/>
          <w:position w:val="0"/>
          <w:sz w:val="24"/>
          <w:shd w:fill="auto" w:val="clear"/>
        </w:rPr>
        <w:t xml:space="preserve"> iz sektora vodosnabdijevanja za scenario sa planiranim mjerama</w:t>
      </w:r>
    </w:p>
    <w:p>
      <w:pPr>
        <w:spacing w:before="60" w:after="12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Kao i u projekcijama emisija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za scenario bez poduzimanja mjera energetske efikasnosti, i u ovom scenariju su kao polazna osnova za izradu projekcija uzeti isti podaci o trenutnom broj priklju</w:t>
      </w:r>
      <w:r>
        <w:rPr>
          <w:rFonts w:ascii="Calibri" w:hAnsi="Calibri" w:cs="Calibri" w:eastAsia="Calibri"/>
          <w:color w:val="auto"/>
          <w:spacing w:val="0"/>
          <w:position w:val="0"/>
          <w:sz w:val="20"/>
          <w:shd w:fill="auto" w:val="clear"/>
        </w:rPr>
        <w:t xml:space="preserve">čaka (2.750), trenutnom stanju ukupne pokrivenosti teritorije općine Doboj Istok sistemom javnog vodosnabdijevanja od oko 90%, te dosadašnji trendovi smanjenja gubitaka u mreži i istovremenog porasta potrošnje. Polazeći od toga, uzeto je da je strateška projekcija optimalnog rasta broja broja priključaka za naredni period prosječno 0,5 % godišnje tj. prosječno 14 priključaka godišnje, te da će se nastaviti dosadašnji trend blagog rasta potrošnje uzrokovanog rastom životnog standarda od 0,3% godišnje, kao i trend smanjenja gubitaka u mreži ostvaren u proteklih 5 godina, koji ujedno znači i smanjenje potrebnih količina vode na vodozahvatu, odnosno smanjenje količina energije koju pumpe troše za prepumpavanje vode.</w:t>
      </w:r>
    </w:p>
    <w:tbl>
      <w:tblPr/>
      <w:tblGrid>
        <w:gridCol w:w="2087"/>
        <w:gridCol w:w="1275"/>
        <w:gridCol w:w="1275"/>
        <w:gridCol w:w="1071"/>
        <w:gridCol w:w="1343"/>
        <w:gridCol w:w="1136"/>
        <w:gridCol w:w="1389"/>
      </w:tblGrid>
      <w:tr>
        <w:trPr>
          <w:trHeight w:val="255" w:hRule="auto"/>
          <w:jc w:val="left"/>
        </w:trPr>
        <w:tc>
          <w:tcPr>
            <w:tcW w:w="2087" w:type="dxa"/>
            <w:vMerge w:val="restart"/>
            <w:tcBorders>
              <w:top w:val="single" w:color="000000" w:sz="8"/>
              <w:left w:val="single" w:color="000000" w:sz="8"/>
              <w:bottom w:val="single" w:color="000000" w:sz="8"/>
              <w:right w:val="single" w:color="000000" w:sz="8"/>
            </w:tcBorders>
            <w:shd w:color="000000" w:fill="9cc2e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VODOSNABDIJEVANJE</w:t>
            </w:r>
          </w:p>
        </w:tc>
        <w:tc>
          <w:tcPr>
            <w:tcW w:w="3621" w:type="dxa"/>
            <w:gridSpan w:val="3"/>
            <w:tcBorders>
              <w:top w:val="single" w:color="000000" w:sz="8"/>
              <w:left w:val="single" w:color="000000" w:sz="0"/>
              <w:bottom w:val="single" w:color="000000" w:sz="8"/>
              <w:right w:val="single" w:color="000000" w:sz="8"/>
            </w:tcBorders>
            <w:shd w:color="000000" w:fill="9cc2e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POTROŠNJA ENERGIJE [MWh]</w:t>
            </w:r>
          </w:p>
        </w:tc>
        <w:tc>
          <w:tcPr>
            <w:tcW w:w="3868" w:type="dxa"/>
            <w:gridSpan w:val="3"/>
            <w:tcBorders>
              <w:top w:val="single" w:color="000000" w:sz="8"/>
              <w:left w:val="single" w:color="000000" w:sz="0"/>
              <w:bottom w:val="single" w:color="000000" w:sz="8"/>
              <w:right w:val="single" w:color="000000" w:sz="8"/>
            </w:tcBorders>
            <w:shd w:color="000000" w:fill="9cc2e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EMISIJE [tCO</w:t>
            </w:r>
            <w:r>
              <w:rPr>
                <w:rFonts w:ascii="Calibri" w:hAnsi="Calibri" w:cs="Calibri" w:eastAsia="Calibri"/>
                <w:color w:val="000000"/>
                <w:spacing w:val="0"/>
                <w:position w:val="0"/>
                <w:sz w:val="18"/>
                <w:shd w:fill="auto" w:val="clear"/>
                <w:vertAlign w:val="subscript"/>
              </w:rPr>
              <w:t xml:space="preserve">2</w:t>
            </w:r>
            <w:r>
              <w:rPr>
                <w:rFonts w:ascii="Calibri" w:hAnsi="Calibri" w:cs="Calibri" w:eastAsia="Calibri"/>
                <w:color w:val="000000"/>
                <w:spacing w:val="0"/>
                <w:position w:val="0"/>
                <w:sz w:val="18"/>
                <w:shd w:fill="auto" w:val="clear"/>
              </w:rPr>
              <w:t xml:space="preserve">]</w:t>
            </w:r>
          </w:p>
        </w:tc>
      </w:tr>
      <w:tr>
        <w:trPr>
          <w:trHeight w:val="255" w:hRule="auto"/>
          <w:jc w:val="left"/>
        </w:trPr>
        <w:tc>
          <w:tcPr>
            <w:tcW w:w="2087" w:type="dxa"/>
            <w:vMerge/>
            <w:tcBorders>
              <w:top w:val="single" w:color="000000" w:sz="8"/>
              <w:left w:val="single" w:color="000000" w:sz="8"/>
              <w:bottom w:val="single" w:color="000000" w:sz="8"/>
              <w:right w:val="single" w:color="000000" w:sz="8"/>
            </w:tcBorders>
            <w:shd w:color="000000" w:fill="ffffff" w:val="clear"/>
            <w:tcMar>
              <w:left w:w="108" w:type="dxa"/>
              <w:right w:w="108"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275" w:type="dxa"/>
            <w:tcBorders>
              <w:top w:val="single" w:color="000000" w:sz="0"/>
              <w:left w:val="single" w:color="000000" w:sz="0"/>
              <w:bottom w:val="single" w:color="000000" w:sz="8"/>
              <w:right w:val="single" w:color="000000" w:sz="8"/>
            </w:tcBorders>
            <w:shd w:color="000000" w:fill="bdd6ee"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2010. god</w:t>
            </w:r>
          </w:p>
        </w:tc>
        <w:tc>
          <w:tcPr>
            <w:tcW w:w="1275" w:type="dxa"/>
            <w:tcBorders>
              <w:top w:val="single" w:color="000000" w:sz="0"/>
              <w:left w:val="single" w:color="000000" w:sz="0"/>
              <w:bottom w:val="single" w:color="000000" w:sz="8"/>
              <w:right w:val="single" w:color="000000" w:sz="8"/>
            </w:tcBorders>
            <w:shd w:color="000000" w:fill="9cc2e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2020. god.</w:t>
            </w:r>
          </w:p>
        </w:tc>
        <w:tc>
          <w:tcPr>
            <w:tcW w:w="1071" w:type="dxa"/>
            <w:tcBorders>
              <w:top w:val="single" w:color="000000" w:sz="0"/>
              <w:left w:val="single" w:color="000000" w:sz="0"/>
              <w:bottom w:val="single" w:color="000000" w:sz="8"/>
              <w:right w:val="single" w:color="000000" w:sz="8"/>
            </w:tcBorders>
            <w:shd w:color="000000" w:fill="9cc2e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2030. god.</w:t>
            </w:r>
          </w:p>
        </w:tc>
        <w:tc>
          <w:tcPr>
            <w:tcW w:w="1343" w:type="dxa"/>
            <w:tcBorders>
              <w:top w:val="single" w:color="000000" w:sz="0"/>
              <w:left w:val="single" w:color="000000" w:sz="0"/>
              <w:bottom w:val="single" w:color="000000" w:sz="8"/>
              <w:right w:val="single" w:color="000000" w:sz="8"/>
            </w:tcBorders>
            <w:shd w:color="000000" w:fill="bdd6ee"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2010. god</w:t>
            </w:r>
          </w:p>
        </w:tc>
        <w:tc>
          <w:tcPr>
            <w:tcW w:w="1136" w:type="dxa"/>
            <w:tcBorders>
              <w:top w:val="single" w:color="000000" w:sz="0"/>
              <w:left w:val="single" w:color="000000" w:sz="0"/>
              <w:bottom w:val="single" w:color="000000" w:sz="8"/>
              <w:right w:val="single" w:color="000000" w:sz="8"/>
            </w:tcBorders>
            <w:shd w:color="000000" w:fill="9cc2e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2020. god.</w:t>
            </w:r>
          </w:p>
        </w:tc>
        <w:tc>
          <w:tcPr>
            <w:tcW w:w="1389" w:type="dxa"/>
            <w:tcBorders>
              <w:top w:val="single" w:color="000000" w:sz="0"/>
              <w:left w:val="single" w:color="000000" w:sz="0"/>
              <w:bottom w:val="single" w:color="000000" w:sz="8"/>
              <w:right w:val="single" w:color="000000" w:sz="8"/>
            </w:tcBorders>
            <w:shd w:color="000000" w:fill="9cc2e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2030. god.</w:t>
            </w:r>
          </w:p>
        </w:tc>
      </w:tr>
      <w:tr>
        <w:trPr>
          <w:trHeight w:val="255" w:hRule="auto"/>
          <w:jc w:val="left"/>
        </w:trPr>
        <w:tc>
          <w:tcPr>
            <w:tcW w:w="208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Scenario sa mjerama</w:t>
            </w:r>
          </w:p>
        </w:tc>
        <w:tc>
          <w:tcPr>
            <w:tcW w:w="1275"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305,57</w:t>
            </w:r>
          </w:p>
        </w:tc>
        <w:tc>
          <w:tcPr>
            <w:tcW w:w="1275"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499,93</w:t>
            </w:r>
          </w:p>
        </w:tc>
        <w:tc>
          <w:tcPr>
            <w:tcW w:w="1071"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223,93</w:t>
            </w:r>
          </w:p>
        </w:tc>
        <w:tc>
          <w:tcPr>
            <w:tcW w:w="1343"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232,20</w:t>
            </w:r>
          </w:p>
        </w:tc>
        <w:tc>
          <w:tcPr>
            <w:tcW w:w="1136"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379,60</w:t>
            </w:r>
          </w:p>
        </w:tc>
        <w:tc>
          <w:tcPr>
            <w:tcW w:w="1389"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170,20</w:t>
            </w:r>
          </w:p>
        </w:tc>
      </w:tr>
    </w:tbl>
    <w:p>
      <w:pPr>
        <w:spacing w:before="60" w:after="200" w:line="240"/>
        <w:ind w:right="0" w:left="0" w:firstLine="0"/>
        <w:jc w:val="center"/>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Tabela 565: Projekcije godišnje potrošnje finalne energije i emisija CO</w:t>
      </w:r>
      <w:r>
        <w:rPr>
          <w:rFonts w:ascii="Calibri" w:hAnsi="Calibri" w:cs="Calibri" w:eastAsia="Calibri"/>
          <w:color w:val="auto"/>
          <w:spacing w:val="0"/>
          <w:position w:val="0"/>
          <w:sz w:val="18"/>
          <w:shd w:fill="auto" w:val="clear"/>
          <w:vertAlign w:val="subscript"/>
        </w:rPr>
        <w:t xml:space="preserve">2</w:t>
      </w:r>
      <w:r>
        <w:rPr>
          <w:rFonts w:ascii="Calibri" w:hAnsi="Calibri" w:cs="Calibri" w:eastAsia="Calibri"/>
          <w:color w:val="auto"/>
          <w:spacing w:val="0"/>
          <w:position w:val="0"/>
          <w:sz w:val="18"/>
          <w:shd w:fill="auto" w:val="clear"/>
        </w:rPr>
        <w:t xml:space="preserve"> do 2030. godine za scenario sa planiranim mjerama – sektor vodosnabdijevanja</w:t>
      </w:r>
    </w:p>
    <w:p>
      <w:pPr>
        <w:spacing w:before="12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U ovom scenariju, koji uzima u obzir i navedene trendove i efekte predloženih mjera, predvi</w:t>
      </w:r>
      <w:r>
        <w:rPr>
          <w:rFonts w:ascii="Calibri" w:hAnsi="Calibri" w:cs="Calibri" w:eastAsia="Calibri"/>
          <w:color w:val="auto"/>
          <w:spacing w:val="0"/>
          <w:position w:val="0"/>
          <w:sz w:val="20"/>
          <w:shd w:fill="auto" w:val="clear"/>
        </w:rPr>
        <w:t xml:space="preserve">đenim uvođenjem frekventno-reguliranog upravljanja radom pumpi ukupne snage 100 kW i istovremenim smanjenjem gubitaka vode sa 26,3% na 25,0 %, potrošnja energije na godišnjem nivou bi se umanjila za 305,15 MWh, a emisije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umanjile za 231,91 tCO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tako da bi ukupna godišnja potrošnja energije na nivou sva 4 sistema u 2030. god. za ovaj scenario iznosila 223,93 MWh, a ukupna godišnja emisija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bi iznosila 170,20 tCO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Uz navedene projekcije dolazi do smanjenja emisija u visini od 26,70%. u odnosu na baznu 2010. godinu.  </w:t>
      </w:r>
    </w:p>
    <w:p>
      <w:pPr>
        <w:keepNext w:val="true"/>
        <w:keepLines w:val="true"/>
        <w:numPr>
          <w:ilvl w:val="0"/>
          <w:numId w:val="3110"/>
        </w:numPr>
        <w:tabs>
          <w:tab w:val="left" w:pos="6946" w:leader="none"/>
        </w:tabs>
        <w:spacing w:before="240" w:after="0" w:line="240"/>
        <w:ind w:right="0" w:left="720" w:hanging="72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Projekcija ukupnog inventara emisija CO</w:t>
      </w:r>
      <w:r>
        <w:rPr>
          <w:rFonts w:ascii="Calibri" w:hAnsi="Calibri" w:cs="Calibri" w:eastAsia="Calibri"/>
          <w:b/>
          <w:color w:val="auto"/>
          <w:spacing w:val="0"/>
          <w:position w:val="0"/>
          <w:sz w:val="24"/>
          <w:shd w:fill="auto" w:val="clear"/>
          <w:vertAlign w:val="subscript"/>
        </w:rPr>
        <w:t xml:space="preserve">2</w:t>
      </w:r>
      <w:r>
        <w:rPr>
          <w:rFonts w:ascii="Calibri" w:hAnsi="Calibri" w:cs="Calibri" w:eastAsia="Calibri"/>
          <w:b/>
          <w:color w:val="auto"/>
          <w:spacing w:val="0"/>
          <w:position w:val="0"/>
          <w:sz w:val="24"/>
          <w:shd w:fill="auto" w:val="clear"/>
        </w:rPr>
        <w:t xml:space="preserve"> za scenario sa planiranim mjerama</w:t>
      </w:r>
    </w:p>
    <w:p>
      <w:pPr>
        <w:spacing w:before="60" w:after="12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U narednoj tabeli dat je uporedni prikaz cjelokupnog baznog inventara emisija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za sve razmatrane sektore finalne potrošnje energije, i projekcije inventara emisija u 2030. godini za scenario sa efektima planiranih mjera. Tabela tako</w:t>
      </w:r>
      <w:r>
        <w:rPr>
          <w:rFonts w:ascii="Calibri" w:hAnsi="Calibri" w:cs="Calibri" w:eastAsia="Calibri"/>
          <w:color w:val="auto"/>
          <w:spacing w:val="0"/>
          <w:position w:val="0"/>
          <w:sz w:val="20"/>
          <w:shd w:fill="auto" w:val="clear"/>
        </w:rPr>
        <w:t xml:space="preserve">đer sadrži pokazatelje procentualnog smanjenja emisija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u 2030. godini u odnosu na baznu 2010. godinu u svakom sektoru i podsektoru, kao i ukupan procent smanjenja emisija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u periodu od bazne 2010. do 2030. godine.</w:t>
      </w:r>
    </w:p>
    <w:tbl>
      <w:tblPr>
        <w:tblInd w:w="118" w:type="dxa"/>
      </w:tblPr>
      <w:tblGrid>
        <w:gridCol w:w="2700"/>
        <w:gridCol w:w="1560"/>
        <w:gridCol w:w="1740"/>
        <w:gridCol w:w="3100"/>
      </w:tblGrid>
      <w:tr>
        <w:trPr>
          <w:trHeight w:val="1" w:hRule="atLeast"/>
          <w:jc w:val="left"/>
        </w:trPr>
        <w:tc>
          <w:tcPr>
            <w:tcW w:w="2700" w:type="dxa"/>
            <w:vMerge w:val="restart"/>
            <w:tcBorders>
              <w:top w:val="single" w:color="000000" w:sz="4"/>
              <w:left w:val="single" w:color="000000" w:sz="4"/>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SEKTORI</w:t>
            </w:r>
          </w:p>
        </w:tc>
        <w:tc>
          <w:tcPr>
            <w:tcW w:w="3300" w:type="dxa"/>
            <w:gridSpan w:val="2"/>
            <w:tcBorders>
              <w:top w:val="single" w:color="000000" w:sz="4"/>
              <w:left w:val="single" w:color="000000" w:sz="4"/>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Emisije CO</w:t>
            </w:r>
            <w:r>
              <w:rPr>
                <w:rFonts w:ascii="Calibri" w:hAnsi="Calibri" w:cs="Calibri" w:eastAsia="Calibri"/>
                <w:color w:val="000000"/>
                <w:spacing w:val="0"/>
                <w:position w:val="0"/>
                <w:sz w:val="18"/>
                <w:shd w:fill="auto" w:val="clear"/>
                <w:vertAlign w:val="subscript"/>
              </w:rPr>
              <w:t xml:space="preserve">2</w:t>
            </w:r>
            <w:r>
              <w:rPr>
                <w:rFonts w:ascii="Calibri" w:hAnsi="Calibri" w:cs="Calibri" w:eastAsia="Calibri"/>
                <w:color w:val="000000"/>
                <w:spacing w:val="0"/>
                <w:position w:val="0"/>
                <w:sz w:val="18"/>
                <w:shd w:fill="auto" w:val="clear"/>
              </w:rPr>
              <w:t xml:space="preserve"> [tCO</w:t>
            </w:r>
            <w:r>
              <w:rPr>
                <w:rFonts w:ascii="Calibri" w:hAnsi="Calibri" w:cs="Calibri" w:eastAsia="Calibri"/>
                <w:color w:val="000000"/>
                <w:spacing w:val="0"/>
                <w:position w:val="0"/>
                <w:sz w:val="18"/>
                <w:shd w:fill="auto" w:val="clear"/>
                <w:vertAlign w:val="subscript"/>
              </w:rPr>
              <w:t xml:space="preserve">2</w:t>
            </w:r>
            <w:r>
              <w:rPr>
                <w:rFonts w:ascii="Calibri" w:hAnsi="Calibri" w:cs="Calibri" w:eastAsia="Calibri"/>
                <w:color w:val="000000"/>
                <w:spacing w:val="0"/>
                <w:position w:val="0"/>
                <w:sz w:val="18"/>
                <w:shd w:fill="auto" w:val="clear"/>
              </w:rPr>
              <w:t xml:space="preserve">]</w:t>
            </w:r>
          </w:p>
        </w:tc>
        <w:tc>
          <w:tcPr>
            <w:tcW w:w="3100" w:type="dxa"/>
            <w:vMerge w:val="restart"/>
            <w:tcBorders>
              <w:top w:val="single" w:color="000000" w:sz="4"/>
              <w:left w:val="single" w:color="000000" w:sz="4"/>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Smanjenje emisija CO</w:t>
            </w:r>
            <w:r>
              <w:rPr>
                <w:rFonts w:ascii="Calibri" w:hAnsi="Calibri" w:cs="Calibri" w:eastAsia="Calibri"/>
                <w:color w:val="000000"/>
                <w:spacing w:val="0"/>
                <w:position w:val="0"/>
                <w:sz w:val="18"/>
                <w:shd w:fill="auto" w:val="clear"/>
                <w:vertAlign w:val="subscript"/>
              </w:rPr>
              <w:t xml:space="preserve">2</w:t>
            </w:r>
            <w:r>
              <w:rPr>
                <w:rFonts w:ascii="Calibri" w:hAnsi="Calibri" w:cs="Calibri" w:eastAsia="Calibri"/>
                <w:color w:val="000000"/>
                <w:spacing w:val="0"/>
                <w:position w:val="0"/>
                <w:sz w:val="18"/>
                <w:shd w:fill="auto" w:val="clear"/>
              </w:rPr>
              <w:t xml:space="preserve"> u 2030. godini u odnosu na 2010. godinu [%]</w:t>
            </w:r>
          </w:p>
        </w:tc>
      </w:tr>
      <w:tr>
        <w:trPr>
          <w:trHeight w:val="1" w:hRule="atLeast"/>
          <w:jc w:val="left"/>
        </w:trPr>
        <w:tc>
          <w:tcPr>
            <w:tcW w:w="2700"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560" w:type="dxa"/>
            <w:tcBorders>
              <w:top w:val="single" w:color="000000" w:sz="4"/>
              <w:left w:val="single" w:color="000000" w:sz="4"/>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2010. godina</w:t>
            </w:r>
          </w:p>
        </w:tc>
        <w:tc>
          <w:tcPr>
            <w:tcW w:w="1740" w:type="dxa"/>
            <w:tcBorders>
              <w:top w:val="single" w:color="000000" w:sz="4"/>
              <w:left w:val="single" w:color="000000" w:sz="4"/>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2030. godina</w:t>
            </w:r>
          </w:p>
        </w:tc>
        <w:tc>
          <w:tcPr>
            <w:tcW w:w="3100"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2700" w:type="dxa"/>
            <w:tcBorders>
              <w:top w:val="single" w:color="000000" w:sz="4"/>
              <w:left w:val="single" w:color="000000" w:sz="4"/>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ZGRADARSTVO I JAVNA RASVJETA</w:t>
            </w:r>
          </w:p>
        </w:tc>
        <w:tc>
          <w:tcPr>
            <w:tcW w:w="1560" w:type="dxa"/>
            <w:tcBorders>
              <w:top w:val="single" w:color="000000" w:sz="4"/>
              <w:left w:val="single" w:color="000000" w:sz="4"/>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1740" w:type="dxa"/>
            <w:tcBorders>
              <w:top w:val="single" w:color="000000" w:sz="4"/>
              <w:left w:val="single" w:color="000000" w:sz="4"/>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3100" w:type="dxa"/>
            <w:tcBorders>
              <w:top w:val="single" w:color="000000" w:sz="4"/>
              <w:left w:val="single" w:color="000000" w:sz="4"/>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r>
      <w:tr>
        <w:trPr>
          <w:trHeight w:val="1" w:hRule="atLeast"/>
          <w:jc w:val="left"/>
        </w:trPr>
        <w:tc>
          <w:tcPr>
            <w:tcW w:w="2700" w:type="dxa"/>
            <w:tcBorders>
              <w:top w:val="single" w:color="000000" w:sz="4"/>
              <w:left w:val="single" w:color="000000" w:sz="4"/>
              <w:bottom w:val="single" w:color="000000" w:sz="4"/>
              <w:right w:val="single" w:color="000000" w:sz="4"/>
            </w:tcBorders>
            <w:shd w:color="000000" w:fill="d9e1f2"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Javne zgrade u vlasništvu Op</w:t>
            </w:r>
            <w:r>
              <w:rPr>
                <w:rFonts w:ascii="Calibri" w:hAnsi="Calibri" w:cs="Calibri" w:eastAsia="Calibri"/>
                <w:color w:val="000000"/>
                <w:spacing w:val="0"/>
                <w:position w:val="0"/>
                <w:sz w:val="18"/>
                <w:shd w:fill="auto" w:val="clear"/>
              </w:rPr>
              <w:t xml:space="preserve">ćine</w:t>
            </w:r>
          </w:p>
        </w:tc>
        <w:tc>
          <w:tcPr>
            <w:tcW w:w="15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826,39</w:t>
            </w:r>
          </w:p>
        </w:tc>
        <w:tc>
          <w:tcPr>
            <w:tcW w:w="174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508,55</w:t>
            </w:r>
          </w:p>
        </w:tc>
        <w:tc>
          <w:tcPr>
            <w:tcW w:w="31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38,46</w:t>
            </w:r>
          </w:p>
        </w:tc>
      </w:tr>
      <w:tr>
        <w:trPr>
          <w:trHeight w:val="1" w:hRule="atLeast"/>
          <w:jc w:val="left"/>
        </w:trPr>
        <w:tc>
          <w:tcPr>
            <w:tcW w:w="2700" w:type="dxa"/>
            <w:tcBorders>
              <w:top w:val="single" w:color="000000" w:sz="4"/>
              <w:left w:val="single" w:color="000000" w:sz="4"/>
              <w:bottom w:val="single" w:color="000000" w:sz="4"/>
              <w:right w:val="single" w:color="000000" w:sz="4"/>
            </w:tcBorders>
            <w:shd w:color="000000" w:fill="d9e1f2"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Javne zgrade koje nisu u vlasništvu Op</w:t>
            </w:r>
            <w:r>
              <w:rPr>
                <w:rFonts w:ascii="Calibri" w:hAnsi="Calibri" w:cs="Calibri" w:eastAsia="Calibri"/>
                <w:color w:val="000000"/>
                <w:spacing w:val="0"/>
                <w:position w:val="0"/>
                <w:sz w:val="18"/>
                <w:shd w:fill="auto" w:val="clear"/>
              </w:rPr>
              <w:t xml:space="preserve">ćine</w:t>
            </w:r>
          </w:p>
        </w:tc>
        <w:tc>
          <w:tcPr>
            <w:tcW w:w="15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544,67</w:t>
            </w:r>
          </w:p>
        </w:tc>
        <w:tc>
          <w:tcPr>
            <w:tcW w:w="174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117,22</w:t>
            </w:r>
          </w:p>
        </w:tc>
        <w:tc>
          <w:tcPr>
            <w:tcW w:w="31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78,48</w:t>
            </w:r>
          </w:p>
        </w:tc>
      </w:tr>
      <w:tr>
        <w:trPr>
          <w:trHeight w:val="1" w:hRule="atLeast"/>
          <w:jc w:val="left"/>
        </w:trPr>
        <w:tc>
          <w:tcPr>
            <w:tcW w:w="2700" w:type="dxa"/>
            <w:tcBorders>
              <w:top w:val="single" w:color="000000" w:sz="4"/>
              <w:left w:val="single" w:color="000000" w:sz="4"/>
              <w:bottom w:val="single" w:color="000000" w:sz="4"/>
              <w:right w:val="single" w:color="000000" w:sz="4"/>
            </w:tcBorders>
            <w:shd w:color="000000" w:fill="d9e1f2"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Stambene zgrade</w:t>
            </w:r>
          </w:p>
        </w:tc>
        <w:tc>
          <w:tcPr>
            <w:tcW w:w="15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19.390,47</w:t>
            </w:r>
          </w:p>
        </w:tc>
        <w:tc>
          <w:tcPr>
            <w:tcW w:w="174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9.582,31</w:t>
            </w:r>
          </w:p>
        </w:tc>
        <w:tc>
          <w:tcPr>
            <w:tcW w:w="31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50,58</w:t>
            </w:r>
          </w:p>
        </w:tc>
      </w:tr>
      <w:tr>
        <w:trPr>
          <w:trHeight w:val="1" w:hRule="atLeast"/>
          <w:jc w:val="left"/>
        </w:trPr>
        <w:tc>
          <w:tcPr>
            <w:tcW w:w="2700" w:type="dxa"/>
            <w:tcBorders>
              <w:top w:val="single" w:color="000000" w:sz="4"/>
              <w:left w:val="single" w:color="000000" w:sz="4"/>
              <w:bottom w:val="single" w:color="000000" w:sz="4"/>
              <w:right w:val="single" w:color="000000" w:sz="4"/>
            </w:tcBorders>
            <w:shd w:color="000000" w:fill="d9e1f2"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Javna rasvjeta</w:t>
            </w:r>
          </w:p>
        </w:tc>
        <w:tc>
          <w:tcPr>
            <w:tcW w:w="15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417,77</w:t>
            </w:r>
          </w:p>
        </w:tc>
        <w:tc>
          <w:tcPr>
            <w:tcW w:w="174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334,48</w:t>
            </w:r>
          </w:p>
        </w:tc>
        <w:tc>
          <w:tcPr>
            <w:tcW w:w="31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19,94</w:t>
            </w:r>
          </w:p>
        </w:tc>
      </w:tr>
      <w:tr>
        <w:trPr>
          <w:trHeight w:val="1" w:hRule="atLeast"/>
          <w:jc w:val="left"/>
        </w:trPr>
        <w:tc>
          <w:tcPr>
            <w:tcW w:w="2700" w:type="dxa"/>
            <w:tcBorders>
              <w:top w:val="single" w:color="000000" w:sz="4"/>
              <w:left w:val="single" w:color="000000" w:sz="4"/>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SAOBRA</w:t>
            </w:r>
            <w:r>
              <w:rPr>
                <w:rFonts w:ascii="Calibri" w:hAnsi="Calibri" w:cs="Calibri" w:eastAsia="Calibri"/>
                <w:color w:val="000000"/>
                <w:spacing w:val="0"/>
                <w:position w:val="0"/>
                <w:sz w:val="18"/>
                <w:shd w:fill="auto" w:val="clear"/>
              </w:rPr>
              <w:t xml:space="preserve">ĆAJ</w:t>
            </w:r>
          </w:p>
        </w:tc>
        <w:tc>
          <w:tcPr>
            <w:tcW w:w="1560" w:type="dxa"/>
            <w:tcBorders>
              <w:top w:val="single" w:color="000000" w:sz="4"/>
              <w:left w:val="single" w:color="000000" w:sz="4"/>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740" w:type="dxa"/>
            <w:tcBorders>
              <w:top w:val="single" w:color="000000" w:sz="4"/>
              <w:left w:val="single" w:color="000000" w:sz="4"/>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3100" w:type="dxa"/>
            <w:tcBorders>
              <w:top w:val="single" w:color="000000" w:sz="4"/>
              <w:left w:val="single" w:color="000000" w:sz="4"/>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r>
      <w:tr>
        <w:trPr>
          <w:trHeight w:val="1" w:hRule="atLeast"/>
          <w:jc w:val="left"/>
        </w:trPr>
        <w:tc>
          <w:tcPr>
            <w:tcW w:w="2700" w:type="dxa"/>
            <w:tcBorders>
              <w:top w:val="single" w:color="000000" w:sz="4"/>
              <w:left w:val="single" w:color="000000" w:sz="4"/>
              <w:bottom w:val="single" w:color="000000" w:sz="4"/>
              <w:right w:val="single" w:color="000000" w:sz="4"/>
            </w:tcBorders>
            <w:shd w:color="000000" w:fill="d9e1f2"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Vozila u vlasništvu Op</w:t>
            </w:r>
            <w:r>
              <w:rPr>
                <w:rFonts w:ascii="Calibri" w:hAnsi="Calibri" w:cs="Calibri" w:eastAsia="Calibri"/>
                <w:color w:val="000000"/>
                <w:spacing w:val="0"/>
                <w:position w:val="0"/>
                <w:sz w:val="18"/>
                <w:shd w:fill="auto" w:val="clear"/>
              </w:rPr>
              <w:t xml:space="preserve">ćine</w:t>
            </w:r>
          </w:p>
        </w:tc>
        <w:tc>
          <w:tcPr>
            <w:tcW w:w="15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66,03</w:t>
            </w:r>
          </w:p>
        </w:tc>
        <w:tc>
          <w:tcPr>
            <w:tcW w:w="174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48,34</w:t>
            </w:r>
          </w:p>
        </w:tc>
        <w:tc>
          <w:tcPr>
            <w:tcW w:w="31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26,79</w:t>
            </w:r>
          </w:p>
        </w:tc>
      </w:tr>
      <w:tr>
        <w:trPr>
          <w:trHeight w:val="1" w:hRule="atLeast"/>
          <w:jc w:val="left"/>
        </w:trPr>
        <w:tc>
          <w:tcPr>
            <w:tcW w:w="2700" w:type="dxa"/>
            <w:tcBorders>
              <w:top w:val="single" w:color="000000" w:sz="4"/>
              <w:left w:val="single" w:color="000000" w:sz="4"/>
              <w:bottom w:val="single" w:color="000000" w:sz="4"/>
              <w:right w:val="single" w:color="000000" w:sz="4"/>
            </w:tcBorders>
            <w:shd w:color="000000" w:fill="d9e1f2"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Javni prijevoz</w:t>
            </w:r>
          </w:p>
        </w:tc>
        <w:tc>
          <w:tcPr>
            <w:tcW w:w="15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517,59</w:t>
            </w:r>
          </w:p>
        </w:tc>
        <w:tc>
          <w:tcPr>
            <w:tcW w:w="174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538,69</w:t>
            </w:r>
          </w:p>
        </w:tc>
        <w:tc>
          <w:tcPr>
            <w:tcW w:w="31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-4,08</w:t>
            </w:r>
          </w:p>
        </w:tc>
      </w:tr>
      <w:tr>
        <w:trPr>
          <w:trHeight w:val="1" w:hRule="atLeast"/>
          <w:jc w:val="left"/>
        </w:trPr>
        <w:tc>
          <w:tcPr>
            <w:tcW w:w="2700" w:type="dxa"/>
            <w:tcBorders>
              <w:top w:val="single" w:color="000000" w:sz="4"/>
              <w:left w:val="single" w:color="000000" w:sz="4"/>
              <w:bottom w:val="single" w:color="000000" w:sz="4"/>
              <w:right w:val="single" w:color="000000" w:sz="4"/>
            </w:tcBorders>
            <w:shd w:color="000000" w:fill="d9e1f2"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Osobna i komercijalna vozila</w:t>
            </w:r>
          </w:p>
        </w:tc>
        <w:tc>
          <w:tcPr>
            <w:tcW w:w="15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8.341,76</w:t>
            </w:r>
          </w:p>
        </w:tc>
        <w:tc>
          <w:tcPr>
            <w:tcW w:w="174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6.864,15</w:t>
            </w:r>
          </w:p>
        </w:tc>
        <w:tc>
          <w:tcPr>
            <w:tcW w:w="31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17,71</w:t>
            </w:r>
          </w:p>
        </w:tc>
      </w:tr>
      <w:tr>
        <w:trPr>
          <w:trHeight w:val="1" w:hRule="atLeast"/>
          <w:jc w:val="left"/>
        </w:trPr>
        <w:tc>
          <w:tcPr>
            <w:tcW w:w="2700" w:type="dxa"/>
            <w:tcBorders>
              <w:top w:val="single" w:color="000000" w:sz="4"/>
              <w:left w:val="single" w:color="000000" w:sz="4"/>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NEENERGETSKI SEKTORI</w:t>
            </w:r>
          </w:p>
        </w:tc>
        <w:tc>
          <w:tcPr>
            <w:tcW w:w="1560" w:type="dxa"/>
            <w:tcBorders>
              <w:top w:val="single" w:color="000000" w:sz="4"/>
              <w:left w:val="single" w:color="000000" w:sz="4"/>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740" w:type="dxa"/>
            <w:tcBorders>
              <w:top w:val="single" w:color="000000" w:sz="4"/>
              <w:left w:val="single" w:color="000000" w:sz="4"/>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3100" w:type="dxa"/>
            <w:tcBorders>
              <w:top w:val="single" w:color="000000" w:sz="4"/>
              <w:left w:val="single" w:color="000000" w:sz="4"/>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r>
      <w:tr>
        <w:trPr>
          <w:trHeight w:val="1" w:hRule="atLeast"/>
          <w:jc w:val="left"/>
        </w:trPr>
        <w:tc>
          <w:tcPr>
            <w:tcW w:w="2700" w:type="dxa"/>
            <w:tcBorders>
              <w:top w:val="single" w:color="000000" w:sz="4"/>
              <w:left w:val="single" w:color="000000" w:sz="4"/>
              <w:bottom w:val="single" w:color="000000" w:sz="4"/>
              <w:right w:val="single" w:color="000000" w:sz="4"/>
            </w:tcBorders>
            <w:shd w:color="000000" w:fill="d9e1f2" w:val="clear"/>
            <w:tcMar>
              <w:left w:w="108" w:type="dxa"/>
              <w:right w:w="108" w:type="dxa"/>
            </w:tcMar>
            <w:vAlign w:val="center"/>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Vodosnabdijevanje</w:t>
            </w:r>
          </w:p>
        </w:tc>
        <w:tc>
          <w:tcPr>
            <w:tcW w:w="15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232,20</w:t>
            </w:r>
          </w:p>
        </w:tc>
        <w:tc>
          <w:tcPr>
            <w:tcW w:w="174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170,23</w:t>
            </w:r>
          </w:p>
        </w:tc>
        <w:tc>
          <w:tcPr>
            <w:tcW w:w="31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26,69</w:t>
            </w:r>
          </w:p>
        </w:tc>
      </w:tr>
      <w:tr>
        <w:trPr>
          <w:trHeight w:val="1" w:hRule="atLeast"/>
          <w:jc w:val="left"/>
        </w:trPr>
        <w:tc>
          <w:tcPr>
            <w:tcW w:w="2700" w:type="dxa"/>
            <w:tcBorders>
              <w:top w:val="single" w:color="000000" w:sz="4"/>
              <w:left w:val="single" w:color="000000" w:sz="4"/>
              <w:bottom w:val="single" w:color="000000" w:sz="4"/>
              <w:right w:val="single" w:color="000000" w:sz="4"/>
            </w:tcBorders>
            <w:shd w:color="000000" w:fill="9cc2e5" w:val="clear"/>
            <w:tcMar>
              <w:left w:w="108" w:type="dxa"/>
              <w:right w:w="108" w:type="dxa"/>
            </w:tcMar>
            <w:vAlign w:val="center"/>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UKUPNO</w:t>
            </w:r>
          </w:p>
        </w:tc>
        <w:tc>
          <w:tcPr>
            <w:tcW w:w="1560" w:type="dxa"/>
            <w:tcBorders>
              <w:top w:val="single" w:color="000000" w:sz="4"/>
              <w:left w:val="single" w:color="000000" w:sz="4"/>
              <w:bottom w:val="single" w:color="000000" w:sz="4"/>
              <w:right w:val="single" w:color="000000" w:sz="4"/>
            </w:tcBorders>
            <w:shd w:color="000000" w:fill="9cc2e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30.336,88</w:t>
            </w:r>
          </w:p>
        </w:tc>
        <w:tc>
          <w:tcPr>
            <w:tcW w:w="1740" w:type="dxa"/>
            <w:tcBorders>
              <w:top w:val="single" w:color="000000" w:sz="4"/>
              <w:left w:val="single" w:color="000000" w:sz="4"/>
              <w:bottom w:val="single" w:color="000000" w:sz="4"/>
              <w:right w:val="single" w:color="000000" w:sz="4"/>
            </w:tcBorders>
            <w:shd w:color="000000" w:fill="9cc2e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18.163,97</w:t>
            </w:r>
          </w:p>
        </w:tc>
        <w:tc>
          <w:tcPr>
            <w:tcW w:w="3100" w:type="dxa"/>
            <w:tcBorders>
              <w:top w:val="single" w:color="000000" w:sz="4"/>
              <w:left w:val="single" w:color="000000" w:sz="4"/>
              <w:bottom w:val="single" w:color="000000" w:sz="4"/>
              <w:right w:val="single" w:color="000000" w:sz="4"/>
            </w:tcBorders>
            <w:shd w:color="000000" w:fill="9cc2e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40,13</w:t>
            </w:r>
          </w:p>
        </w:tc>
      </w:tr>
    </w:tbl>
    <w:p>
      <w:pPr>
        <w:spacing w:before="60" w:after="120" w:line="240"/>
        <w:ind w:right="0" w:left="0" w:firstLine="0"/>
        <w:jc w:val="center"/>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Tabela 566: Uporedni prikaz ukupnog baznog inventara emisija CO</w:t>
      </w:r>
      <w:r>
        <w:rPr>
          <w:rFonts w:ascii="Calibri" w:hAnsi="Calibri" w:cs="Calibri" w:eastAsia="Calibri"/>
          <w:color w:val="auto"/>
          <w:spacing w:val="0"/>
          <w:position w:val="0"/>
          <w:sz w:val="18"/>
          <w:shd w:fill="auto" w:val="clear"/>
          <w:vertAlign w:val="subscript"/>
        </w:rPr>
        <w:t xml:space="preserve">2</w:t>
      </w:r>
      <w:r>
        <w:rPr>
          <w:rFonts w:ascii="Calibri" w:hAnsi="Calibri" w:cs="Calibri" w:eastAsia="Calibri"/>
          <w:color w:val="auto"/>
          <w:spacing w:val="0"/>
          <w:position w:val="0"/>
          <w:sz w:val="18"/>
          <w:shd w:fill="auto" w:val="clear"/>
        </w:rPr>
        <w:t xml:space="preserve"> i projekcije inventara emisija u 2030. godini za scenario sa planiranim mjerama</w:t>
      </w:r>
    </w:p>
    <w:p>
      <w:pPr>
        <w:spacing w:before="60" w:after="0" w:line="240"/>
        <w:ind w:right="0" w:left="0" w:firstLine="0"/>
        <w:jc w:val="both"/>
        <w:rPr>
          <w:rFonts w:ascii="Calibri" w:hAnsi="Calibri" w:cs="Calibri" w:eastAsia="Calibri"/>
          <w:b/>
          <w:color w:val="auto"/>
          <w:spacing w:val="0"/>
          <w:position w:val="0"/>
          <w:sz w:val="20"/>
          <w:shd w:fill="auto" w:val="clear"/>
        </w:rPr>
      </w:pPr>
      <w:r>
        <w:rPr>
          <w:rFonts w:ascii="Calibri" w:hAnsi="Calibri" w:cs="Calibri" w:eastAsia="Calibri"/>
          <w:color w:val="auto"/>
          <w:spacing w:val="0"/>
          <w:position w:val="0"/>
          <w:sz w:val="20"/>
          <w:shd w:fill="auto" w:val="clear"/>
        </w:rPr>
        <w:t xml:space="preserve">Prema ovim projekcijama, ukupne godišnje emisije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do 2030. godine za scenario koji uklju</w:t>
      </w:r>
      <w:r>
        <w:rPr>
          <w:rFonts w:ascii="Calibri" w:hAnsi="Calibri" w:cs="Calibri" w:eastAsia="Calibri"/>
          <w:color w:val="auto"/>
          <w:spacing w:val="0"/>
          <w:position w:val="0"/>
          <w:sz w:val="20"/>
          <w:shd w:fill="auto" w:val="clear"/>
        </w:rPr>
        <w:t xml:space="preserve">čuje efekte planiranih mjera su 18,163,97 t, što u odnosu na emisije u baznoj 2010. godini predstavlja </w:t>
      </w:r>
      <w:r>
        <w:rPr>
          <w:rFonts w:ascii="Calibri" w:hAnsi="Calibri" w:cs="Calibri" w:eastAsia="Calibri"/>
          <w:b/>
          <w:i/>
          <w:color w:val="auto"/>
          <w:spacing w:val="0"/>
          <w:position w:val="0"/>
          <w:sz w:val="20"/>
          <w:shd w:fill="auto" w:val="clear"/>
        </w:rPr>
        <w:t xml:space="preserve">smanjenje u ukupnim emisijama od 40,13%</w:t>
      </w:r>
      <w:r>
        <w:rPr>
          <w:rFonts w:ascii="Calibri" w:hAnsi="Calibri" w:cs="Calibri" w:eastAsia="Calibri"/>
          <w:b/>
          <w:color w:val="auto"/>
          <w:spacing w:val="0"/>
          <w:position w:val="0"/>
          <w:sz w:val="20"/>
          <w:shd w:fill="auto" w:val="clear"/>
        </w:rPr>
        <w:t xml:space="preserve">,</w:t>
      </w:r>
      <w:r>
        <w:rPr>
          <w:rFonts w:ascii="Calibri" w:hAnsi="Calibri" w:cs="Calibri" w:eastAsia="Calibri"/>
          <w:color w:val="auto"/>
          <w:spacing w:val="0"/>
          <w:position w:val="0"/>
          <w:sz w:val="20"/>
          <w:shd w:fill="auto" w:val="clear"/>
        </w:rPr>
        <w:t xml:space="preserve"> </w:t>
      </w:r>
      <w:r>
        <w:rPr>
          <w:rFonts w:ascii="Calibri" w:hAnsi="Calibri" w:cs="Calibri" w:eastAsia="Calibri"/>
          <w:b/>
          <w:color w:val="auto"/>
          <w:spacing w:val="0"/>
          <w:position w:val="0"/>
          <w:sz w:val="20"/>
          <w:u w:val="single"/>
          <w:shd w:fill="auto" w:val="clear"/>
        </w:rPr>
        <w:t xml:space="preserve">čime je premašen indikativni cilj smanjenja emisija CO</w:t>
      </w:r>
      <w:r>
        <w:rPr>
          <w:rFonts w:ascii="Calibri" w:hAnsi="Calibri" w:cs="Calibri" w:eastAsia="Calibri"/>
          <w:b/>
          <w:color w:val="auto"/>
          <w:spacing w:val="0"/>
          <w:position w:val="0"/>
          <w:sz w:val="20"/>
          <w:u w:val="single"/>
          <w:shd w:fill="auto" w:val="clear"/>
          <w:vertAlign w:val="subscript"/>
        </w:rPr>
        <w:t xml:space="preserve">2</w:t>
      </w:r>
      <w:r>
        <w:rPr>
          <w:rFonts w:ascii="Calibri" w:hAnsi="Calibri" w:cs="Calibri" w:eastAsia="Calibri"/>
          <w:b/>
          <w:color w:val="auto"/>
          <w:spacing w:val="0"/>
          <w:position w:val="0"/>
          <w:sz w:val="20"/>
          <w:u w:val="single"/>
          <w:shd w:fill="auto" w:val="clear"/>
        </w:rPr>
        <w:t xml:space="preserve"> od najmanje 40% do 2030. godine</w:t>
      </w:r>
      <w:r>
        <w:rPr>
          <w:rFonts w:ascii="Calibri" w:hAnsi="Calibri" w:cs="Calibri" w:eastAsia="Calibri"/>
          <w:b/>
          <w:color w:val="auto"/>
          <w:spacing w:val="0"/>
          <w:position w:val="0"/>
          <w:sz w:val="20"/>
          <w:shd w:fill="auto" w:val="clear"/>
        </w:rPr>
        <w:t xml:space="preserve">.</w:t>
      </w:r>
    </w:p>
    <w:p>
      <w:pPr>
        <w:spacing w:before="60" w:after="12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U narednoj tabeli je prikazano procentualno u</w:t>
      </w:r>
      <w:r>
        <w:rPr>
          <w:rFonts w:ascii="Calibri" w:hAnsi="Calibri" w:cs="Calibri" w:eastAsia="Calibri"/>
          <w:color w:val="auto"/>
          <w:spacing w:val="0"/>
          <w:position w:val="0"/>
          <w:sz w:val="20"/>
          <w:shd w:fill="auto" w:val="clear"/>
        </w:rPr>
        <w:t xml:space="preserve">češće svakog razmatranog sektora i podsektora u ukupnom smanjenju emisija u 2030. za scenario sa planiranim mjerama.</w:t>
      </w:r>
    </w:p>
    <w:tbl>
      <w:tblPr/>
      <w:tblGrid>
        <w:gridCol w:w="3510"/>
        <w:gridCol w:w="1276"/>
        <w:gridCol w:w="1417"/>
        <w:gridCol w:w="1703"/>
        <w:gridCol w:w="1670"/>
      </w:tblGrid>
      <w:tr>
        <w:trPr>
          <w:trHeight w:val="1" w:hRule="atLeast"/>
          <w:jc w:val="left"/>
        </w:trPr>
        <w:tc>
          <w:tcPr>
            <w:tcW w:w="3510" w:type="dxa"/>
            <w:vMerge w:val="restart"/>
            <w:tcBorders>
              <w:top w:val="single" w:color="000000" w:sz="4"/>
              <w:left w:val="single" w:color="000000" w:sz="4"/>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SEKTORI</w:t>
            </w:r>
          </w:p>
        </w:tc>
        <w:tc>
          <w:tcPr>
            <w:tcW w:w="4396" w:type="dxa"/>
            <w:gridSpan w:val="3"/>
            <w:tcBorders>
              <w:top w:val="single" w:color="000000" w:sz="4"/>
              <w:left w:val="single" w:color="000000" w:sz="4"/>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Emisije CO</w:t>
            </w:r>
            <w:r>
              <w:rPr>
                <w:rFonts w:ascii="Calibri" w:hAnsi="Calibri" w:cs="Calibri" w:eastAsia="Calibri"/>
                <w:color w:val="000000"/>
                <w:spacing w:val="0"/>
                <w:position w:val="0"/>
                <w:sz w:val="18"/>
                <w:shd w:fill="auto" w:val="clear"/>
                <w:vertAlign w:val="subscript"/>
              </w:rPr>
              <w:t xml:space="preserve">2</w:t>
            </w:r>
            <w:r>
              <w:rPr>
                <w:rFonts w:ascii="Calibri" w:hAnsi="Calibri" w:cs="Calibri" w:eastAsia="Calibri"/>
                <w:color w:val="000000"/>
                <w:spacing w:val="0"/>
                <w:position w:val="0"/>
                <w:sz w:val="18"/>
                <w:shd w:fill="auto" w:val="clear"/>
              </w:rPr>
              <w:t xml:space="preserve"> [tCO</w:t>
            </w:r>
            <w:r>
              <w:rPr>
                <w:rFonts w:ascii="Calibri" w:hAnsi="Calibri" w:cs="Calibri" w:eastAsia="Calibri"/>
                <w:color w:val="000000"/>
                <w:spacing w:val="0"/>
                <w:position w:val="0"/>
                <w:sz w:val="18"/>
                <w:shd w:fill="auto" w:val="clear"/>
                <w:vertAlign w:val="subscript"/>
              </w:rPr>
              <w:t xml:space="preserve">2</w:t>
            </w:r>
            <w:r>
              <w:rPr>
                <w:rFonts w:ascii="Calibri" w:hAnsi="Calibri" w:cs="Calibri" w:eastAsia="Calibri"/>
                <w:color w:val="000000"/>
                <w:spacing w:val="0"/>
                <w:position w:val="0"/>
                <w:sz w:val="18"/>
                <w:shd w:fill="auto" w:val="clear"/>
              </w:rPr>
              <w:t xml:space="preserve">]</w:t>
            </w:r>
          </w:p>
        </w:tc>
        <w:tc>
          <w:tcPr>
            <w:tcW w:w="1670" w:type="dxa"/>
            <w:vMerge w:val="restart"/>
            <w:tcBorders>
              <w:top w:val="single" w:color="000000" w:sz="4"/>
              <w:left w:val="single" w:color="000000" w:sz="4"/>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U</w:t>
            </w:r>
            <w:r>
              <w:rPr>
                <w:rFonts w:ascii="Calibri" w:hAnsi="Calibri" w:cs="Calibri" w:eastAsia="Calibri"/>
                <w:color w:val="000000"/>
                <w:spacing w:val="0"/>
                <w:position w:val="0"/>
                <w:sz w:val="18"/>
                <w:shd w:fill="auto" w:val="clear"/>
              </w:rPr>
              <w:t xml:space="preserve">češće u ukupnom smanjenju emisija [%]</w:t>
            </w:r>
          </w:p>
        </w:tc>
      </w:tr>
      <w:tr>
        <w:trPr>
          <w:trHeight w:val="1" w:hRule="atLeast"/>
          <w:jc w:val="left"/>
        </w:trPr>
        <w:tc>
          <w:tcPr>
            <w:tcW w:w="3510"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276" w:type="dxa"/>
            <w:tcBorders>
              <w:top w:val="single" w:color="000000" w:sz="4"/>
              <w:left w:val="single" w:color="000000" w:sz="4"/>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2010. godina</w:t>
            </w:r>
          </w:p>
        </w:tc>
        <w:tc>
          <w:tcPr>
            <w:tcW w:w="1417" w:type="dxa"/>
            <w:tcBorders>
              <w:top w:val="single" w:color="000000" w:sz="4"/>
              <w:left w:val="single" w:color="000000" w:sz="4"/>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2030. godina</w:t>
            </w:r>
          </w:p>
        </w:tc>
        <w:tc>
          <w:tcPr>
            <w:tcW w:w="1703" w:type="dxa"/>
            <w:tcBorders>
              <w:top w:val="single" w:color="000000" w:sz="4"/>
              <w:left w:val="single" w:color="000000" w:sz="4"/>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Smanjenja emisija CO</w:t>
            </w:r>
            <w:r>
              <w:rPr>
                <w:rFonts w:ascii="Calibri" w:hAnsi="Calibri" w:cs="Calibri" w:eastAsia="Calibri"/>
                <w:color w:val="000000"/>
                <w:spacing w:val="0"/>
                <w:position w:val="0"/>
                <w:sz w:val="18"/>
                <w:shd w:fill="auto" w:val="clear"/>
                <w:vertAlign w:val="subscript"/>
              </w:rPr>
              <w:t xml:space="preserve">2</w:t>
            </w:r>
            <w:r>
              <w:rPr>
                <w:rFonts w:ascii="Calibri" w:hAnsi="Calibri" w:cs="Calibri" w:eastAsia="Calibri"/>
                <w:color w:val="000000"/>
                <w:spacing w:val="0"/>
                <w:position w:val="0"/>
                <w:sz w:val="18"/>
                <w:shd w:fill="auto" w:val="clear"/>
              </w:rPr>
              <w:t xml:space="preserve"> u odnosu na 2010. godinu</w:t>
            </w:r>
          </w:p>
        </w:tc>
        <w:tc>
          <w:tcPr>
            <w:tcW w:w="1670"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3510" w:type="dxa"/>
            <w:tcBorders>
              <w:top w:val="single" w:color="000000" w:sz="4"/>
              <w:left w:val="single" w:color="000000" w:sz="4"/>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ZGRADARSTVO I JAVNA RASVJETA</w:t>
            </w:r>
          </w:p>
        </w:tc>
        <w:tc>
          <w:tcPr>
            <w:tcW w:w="1276" w:type="dxa"/>
            <w:tcBorders>
              <w:top w:val="single" w:color="000000" w:sz="4"/>
              <w:left w:val="single" w:color="000000" w:sz="4"/>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1417" w:type="dxa"/>
            <w:tcBorders>
              <w:top w:val="single" w:color="000000" w:sz="4"/>
              <w:left w:val="single" w:color="000000" w:sz="4"/>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1703" w:type="dxa"/>
            <w:tcBorders>
              <w:top w:val="single" w:color="000000" w:sz="4"/>
              <w:left w:val="single" w:color="000000" w:sz="4"/>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1670" w:type="dxa"/>
            <w:tcBorders>
              <w:top w:val="single" w:color="000000" w:sz="4"/>
              <w:left w:val="single" w:color="000000" w:sz="4"/>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r>
      <w:tr>
        <w:trPr>
          <w:trHeight w:val="1" w:hRule="atLeast"/>
          <w:jc w:val="left"/>
        </w:trPr>
        <w:tc>
          <w:tcPr>
            <w:tcW w:w="3510" w:type="dxa"/>
            <w:tcBorders>
              <w:top w:val="single" w:color="000000" w:sz="4"/>
              <w:left w:val="single" w:color="000000" w:sz="4"/>
              <w:bottom w:val="single" w:color="000000" w:sz="4"/>
              <w:right w:val="single" w:color="000000" w:sz="4"/>
            </w:tcBorders>
            <w:shd w:color="000000" w:fill="d9e1f2"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Javne zgrade u vlasništvu Op</w:t>
            </w:r>
            <w:r>
              <w:rPr>
                <w:rFonts w:ascii="Calibri" w:hAnsi="Calibri" w:cs="Calibri" w:eastAsia="Calibri"/>
                <w:color w:val="000000"/>
                <w:spacing w:val="0"/>
                <w:position w:val="0"/>
                <w:sz w:val="18"/>
                <w:shd w:fill="auto" w:val="clear"/>
              </w:rPr>
              <w:t xml:space="preserve">ćine</w:t>
            </w:r>
          </w:p>
        </w:tc>
        <w:tc>
          <w:tcPr>
            <w:tcW w:w="127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826,39</w:t>
            </w:r>
          </w:p>
        </w:tc>
        <w:tc>
          <w:tcPr>
            <w:tcW w:w="141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508,55</w:t>
            </w:r>
          </w:p>
        </w:tc>
        <w:tc>
          <w:tcPr>
            <w:tcW w:w="170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317,84</w:t>
            </w:r>
          </w:p>
        </w:tc>
        <w:tc>
          <w:tcPr>
            <w:tcW w:w="167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2,61</w:t>
            </w:r>
          </w:p>
        </w:tc>
      </w:tr>
      <w:tr>
        <w:trPr>
          <w:trHeight w:val="1" w:hRule="atLeast"/>
          <w:jc w:val="left"/>
        </w:trPr>
        <w:tc>
          <w:tcPr>
            <w:tcW w:w="3510" w:type="dxa"/>
            <w:tcBorders>
              <w:top w:val="single" w:color="000000" w:sz="4"/>
              <w:left w:val="single" w:color="000000" w:sz="4"/>
              <w:bottom w:val="single" w:color="000000" w:sz="4"/>
              <w:right w:val="single" w:color="000000" w:sz="4"/>
            </w:tcBorders>
            <w:shd w:color="000000" w:fill="d9e1f2"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Javne zgrade koje nisu u vlasništvu Op</w:t>
            </w:r>
            <w:r>
              <w:rPr>
                <w:rFonts w:ascii="Calibri" w:hAnsi="Calibri" w:cs="Calibri" w:eastAsia="Calibri"/>
                <w:color w:val="000000"/>
                <w:spacing w:val="0"/>
                <w:position w:val="0"/>
                <w:sz w:val="18"/>
                <w:shd w:fill="auto" w:val="clear"/>
              </w:rPr>
              <w:t xml:space="preserve">ćine</w:t>
            </w:r>
          </w:p>
        </w:tc>
        <w:tc>
          <w:tcPr>
            <w:tcW w:w="127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544,67</w:t>
            </w:r>
          </w:p>
        </w:tc>
        <w:tc>
          <w:tcPr>
            <w:tcW w:w="141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117,22</w:t>
            </w:r>
          </w:p>
        </w:tc>
        <w:tc>
          <w:tcPr>
            <w:tcW w:w="170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427,45</w:t>
            </w:r>
          </w:p>
        </w:tc>
        <w:tc>
          <w:tcPr>
            <w:tcW w:w="167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3,51</w:t>
            </w:r>
          </w:p>
        </w:tc>
      </w:tr>
      <w:tr>
        <w:trPr>
          <w:trHeight w:val="1" w:hRule="atLeast"/>
          <w:jc w:val="left"/>
        </w:trPr>
        <w:tc>
          <w:tcPr>
            <w:tcW w:w="3510" w:type="dxa"/>
            <w:tcBorders>
              <w:top w:val="single" w:color="000000" w:sz="4"/>
              <w:left w:val="single" w:color="000000" w:sz="4"/>
              <w:bottom w:val="single" w:color="000000" w:sz="4"/>
              <w:right w:val="single" w:color="000000" w:sz="4"/>
            </w:tcBorders>
            <w:shd w:color="000000" w:fill="d9e1f2"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Stambene zgrade</w:t>
            </w:r>
          </w:p>
        </w:tc>
        <w:tc>
          <w:tcPr>
            <w:tcW w:w="127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19.390,47</w:t>
            </w:r>
          </w:p>
        </w:tc>
        <w:tc>
          <w:tcPr>
            <w:tcW w:w="141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9.582,31</w:t>
            </w:r>
          </w:p>
        </w:tc>
        <w:tc>
          <w:tcPr>
            <w:tcW w:w="170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9.808,16</w:t>
            </w:r>
          </w:p>
        </w:tc>
        <w:tc>
          <w:tcPr>
            <w:tcW w:w="167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80,57</w:t>
            </w:r>
          </w:p>
        </w:tc>
      </w:tr>
      <w:tr>
        <w:trPr>
          <w:trHeight w:val="1" w:hRule="atLeast"/>
          <w:jc w:val="left"/>
        </w:trPr>
        <w:tc>
          <w:tcPr>
            <w:tcW w:w="3510" w:type="dxa"/>
            <w:tcBorders>
              <w:top w:val="single" w:color="000000" w:sz="4"/>
              <w:left w:val="single" w:color="000000" w:sz="4"/>
              <w:bottom w:val="single" w:color="000000" w:sz="4"/>
              <w:right w:val="single" w:color="000000" w:sz="4"/>
            </w:tcBorders>
            <w:shd w:color="000000" w:fill="d9e1f2"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Javna rasvjeta</w:t>
            </w:r>
          </w:p>
        </w:tc>
        <w:tc>
          <w:tcPr>
            <w:tcW w:w="127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417,77</w:t>
            </w:r>
          </w:p>
        </w:tc>
        <w:tc>
          <w:tcPr>
            <w:tcW w:w="141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334,48</w:t>
            </w:r>
          </w:p>
        </w:tc>
        <w:tc>
          <w:tcPr>
            <w:tcW w:w="170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83,29</w:t>
            </w:r>
          </w:p>
        </w:tc>
        <w:tc>
          <w:tcPr>
            <w:tcW w:w="167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0,68</w:t>
            </w:r>
          </w:p>
        </w:tc>
      </w:tr>
      <w:tr>
        <w:trPr>
          <w:trHeight w:val="1" w:hRule="atLeast"/>
          <w:jc w:val="left"/>
        </w:trPr>
        <w:tc>
          <w:tcPr>
            <w:tcW w:w="3510" w:type="dxa"/>
            <w:tcBorders>
              <w:top w:val="single" w:color="000000" w:sz="4"/>
              <w:left w:val="single" w:color="000000" w:sz="4"/>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SAOBRA</w:t>
            </w:r>
            <w:r>
              <w:rPr>
                <w:rFonts w:ascii="Calibri" w:hAnsi="Calibri" w:cs="Calibri" w:eastAsia="Calibri"/>
                <w:color w:val="000000"/>
                <w:spacing w:val="0"/>
                <w:position w:val="0"/>
                <w:sz w:val="18"/>
                <w:shd w:fill="auto" w:val="clear"/>
              </w:rPr>
              <w:t xml:space="preserve">ĆAJ</w:t>
            </w:r>
          </w:p>
        </w:tc>
        <w:tc>
          <w:tcPr>
            <w:tcW w:w="1276" w:type="dxa"/>
            <w:tcBorders>
              <w:top w:val="single" w:color="000000" w:sz="4"/>
              <w:left w:val="single" w:color="000000" w:sz="4"/>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1417" w:type="dxa"/>
            <w:tcBorders>
              <w:top w:val="single" w:color="000000" w:sz="4"/>
              <w:left w:val="single" w:color="000000" w:sz="4"/>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1703" w:type="dxa"/>
            <w:tcBorders>
              <w:top w:val="single" w:color="000000" w:sz="4"/>
              <w:left w:val="single" w:color="000000" w:sz="4"/>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1670" w:type="dxa"/>
            <w:tcBorders>
              <w:top w:val="single" w:color="000000" w:sz="4"/>
              <w:left w:val="single" w:color="000000" w:sz="4"/>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r>
      <w:tr>
        <w:trPr>
          <w:trHeight w:val="1" w:hRule="atLeast"/>
          <w:jc w:val="left"/>
        </w:trPr>
        <w:tc>
          <w:tcPr>
            <w:tcW w:w="3510" w:type="dxa"/>
            <w:tcBorders>
              <w:top w:val="single" w:color="000000" w:sz="4"/>
              <w:left w:val="single" w:color="000000" w:sz="4"/>
              <w:bottom w:val="single" w:color="000000" w:sz="4"/>
              <w:right w:val="single" w:color="000000" w:sz="4"/>
            </w:tcBorders>
            <w:shd w:color="000000" w:fill="d9e1f2"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Vozila u vlasništvu Op</w:t>
            </w:r>
            <w:r>
              <w:rPr>
                <w:rFonts w:ascii="Calibri" w:hAnsi="Calibri" w:cs="Calibri" w:eastAsia="Calibri"/>
                <w:color w:val="000000"/>
                <w:spacing w:val="0"/>
                <w:position w:val="0"/>
                <w:sz w:val="18"/>
                <w:shd w:fill="auto" w:val="clear"/>
              </w:rPr>
              <w:t xml:space="preserve">ćine</w:t>
            </w:r>
          </w:p>
        </w:tc>
        <w:tc>
          <w:tcPr>
            <w:tcW w:w="127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66,03</w:t>
            </w:r>
          </w:p>
        </w:tc>
        <w:tc>
          <w:tcPr>
            <w:tcW w:w="141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48,34</w:t>
            </w:r>
          </w:p>
        </w:tc>
        <w:tc>
          <w:tcPr>
            <w:tcW w:w="170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17,69</w:t>
            </w:r>
          </w:p>
        </w:tc>
        <w:tc>
          <w:tcPr>
            <w:tcW w:w="167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0,15</w:t>
            </w:r>
          </w:p>
        </w:tc>
      </w:tr>
      <w:tr>
        <w:trPr>
          <w:trHeight w:val="1" w:hRule="atLeast"/>
          <w:jc w:val="left"/>
        </w:trPr>
        <w:tc>
          <w:tcPr>
            <w:tcW w:w="3510" w:type="dxa"/>
            <w:tcBorders>
              <w:top w:val="single" w:color="000000" w:sz="4"/>
              <w:left w:val="single" w:color="000000" w:sz="4"/>
              <w:bottom w:val="single" w:color="000000" w:sz="4"/>
              <w:right w:val="single" w:color="000000" w:sz="4"/>
            </w:tcBorders>
            <w:shd w:color="000000" w:fill="d9e1f2"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Javni prijevoz</w:t>
            </w:r>
          </w:p>
        </w:tc>
        <w:tc>
          <w:tcPr>
            <w:tcW w:w="127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517,59</w:t>
            </w:r>
          </w:p>
        </w:tc>
        <w:tc>
          <w:tcPr>
            <w:tcW w:w="141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538,69</w:t>
            </w:r>
          </w:p>
        </w:tc>
        <w:tc>
          <w:tcPr>
            <w:tcW w:w="170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-21,10</w:t>
            </w:r>
          </w:p>
        </w:tc>
        <w:tc>
          <w:tcPr>
            <w:tcW w:w="167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-0,17</w:t>
            </w:r>
          </w:p>
        </w:tc>
      </w:tr>
      <w:tr>
        <w:trPr>
          <w:trHeight w:val="1" w:hRule="atLeast"/>
          <w:jc w:val="left"/>
        </w:trPr>
        <w:tc>
          <w:tcPr>
            <w:tcW w:w="3510" w:type="dxa"/>
            <w:tcBorders>
              <w:top w:val="single" w:color="000000" w:sz="4"/>
              <w:left w:val="single" w:color="000000" w:sz="4"/>
              <w:bottom w:val="single" w:color="000000" w:sz="4"/>
              <w:right w:val="single" w:color="000000" w:sz="4"/>
            </w:tcBorders>
            <w:shd w:color="000000" w:fill="d9e1f2"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Osobna i komercijalna vozila</w:t>
            </w:r>
          </w:p>
        </w:tc>
        <w:tc>
          <w:tcPr>
            <w:tcW w:w="127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8.341,76</w:t>
            </w:r>
          </w:p>
        </w:tc>
        <w:tc>
          <w:tcPr>
            <w:tcW w:w="141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6.864,15</w:t>
            </w:r>
          </w:p>
        </w:tc>
        <w:tc>
          <w:tcPr>
            <w:tcW w:w="170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1.477,61</w:t>
            </w:r>
          </w:p>
        </w:tc>
        <w:tc>
          <w:tcPr>
            <w:tcW w:w="167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12,14</w:t>
            </w:r>
          </w:p>
        </w:tc>
      </w:tr>
      <w:tr>
        <w:trPr>
          <w:trHeight w:val="1" w:hRule="atLeast"/>
          <w:jc w:val="left"/>
        </w:trPr>
        <w:tc>
          <w:tcPr>
            <w:tcW w:w="3510" w:type="dxa"/>
            <w:tcBorders>
              <w:top w:val="single" w:color="000000" w:sz="4"/>
              <w:left w:val="single" w:color="000000" w:sz="4"/>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NEENERGETSKI SEKTORI</w:t>
            </w:r>
          </w:p>
        </w:tc>
        <w:tc>
          <w:tcPr>
            <w:tcW w:w="1276" w:type="dxa"/>
            <w:tcBorders>
              <w:top w:val="single" w:color="000000" w:sz="4"/>
              <w:left w:val="single" w:color="000000" w:sz="4"/>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1417" w:type="dxa"/>
            <w:tcBorders>
              <w:top w:val="single" w:color="000000" w:sz="4"/>
              <w:left w:val="single" w:color="000000" w:sz="4"/>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1703" w:type="dxa"/>
            <w:tcBorders>
              <w:top w:val="single" w:color="000000" w:sz="4"/>
              <w:left w:val="single" w:color="000000" w:sz="4"/>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1670" w:type="dxa"/>
            <w:tcBorders>
              <w:top w:val="single" w:color="000000" w:sz="4"/>
              <w:left w:val="single" w:color="000000" w:sz="4"/>
              <w:bottom w:val="single" w:color="000000" w:sz="4"/>
              <w:right w:val="single" w:color="000000" w:sz="4"/>
            </w:tcBorders>
            <w:shd w:color="000000" w:fill="b4c6e7" w:val="clear"/>
            <w:tcMar>
              <w:left w:w="108" w:type="dxa"/>
              <w:right w:w="108" w:type="dxa"/>
            </w:tcMar>
            <w:vAlign w:val="center"/>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r>
      <w:tr>
        <w:trPr>
          <w:trHeight w:val="1" w:hRule="atLeast"/>
          <w:jc w:val="left"/>
        </w:trPr>
        <w:tc>
          <w:tcPr>
            <w:tcW w:w="3510" w:type="dxa"/>
            <w:tcBorders>
              <w:top w:val="single" w:color="000000" w:sz="4"/>
              <w:left w:val="single" w:color="000000" w:sz="4"/>
              <w:bottom w:val="single" w:color="000000" w:sz="4"/>
              <w:right w:val="single" w:color="000000" w:sz="4"/>
            </w:tcBorders>
            <w:shd w:color="000000" w:fill="d9e1f2"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Vodosnabdijevanje</w:t>
            </w:r>
          </w:p>
        </w:tc>
        <w:tc>
          <w:tcPr>
            <w:tcW w:w="127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232,20</w:t>
            </w:r>
          </w:p>
        </w:tc>
        <w:tc>
          <w:tcPr>
            <w:tcW w:w="141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170,23</w:t>
            </w:r>
          </w:p>
        </w:tc>
        <w:tc>
          <w:tcPr>
            <w:tcW w:w="170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61,97</w:t>
            </w:r>
          </w:p>
        </w:tc>
        <w:tc>
          <w:tcPr>
            <w:tcW w:w="167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0,51</w:t>
            </w:r>
          </w:p>
        </w:tc>
      </w:tr>
      <w:tr>
        <w:trPr>
          <w:trHeight w:val="1" w:hRule="atLeast"/>
          <w:jc w:val="left"/>
        </w:trPr>
        <w:tc>
          <w:tcPr>
            <w:tcW w:w="3510" w:type="dxa"/>
            <w:tcBorders>
              <w:top w:val="single" w:color="000000" w:sz="4"/>
              <w:left w:val="single" w:color="000000" w:sz="4"/>
              <w:bottom w:val="single" w:color="000000" w:sz="4"/>
              <w:right w:val="single" w:color="000000" w:sz="4"/>
            </w:tcBorders>
            <w:shd w:color="000000" w:fill="9cc2e5"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UKUPNO</w:t>
            </w:r>
          </w:p>
        </w:tc>
        <w:tc>
          <w:tcPr>
            <w:tcW w:w="1276" w:type="dxa"/>
            <w:tcBorders>
              <w:top w:val="single" w:color="000000" w:sz="4"/>
              <w:left w:val="single" w:color="000000" w:sz="4"/>
              <w:bottom w:val="single" w:color="000000" w:sz="4"/>
              <w:right w:val="single" w:color="000000" w:sz="4"/>
            </w:tcBorders>
            <w:shd w:color="000000" w:fill="9cc2e5" w:val="clear"/>
            <w:tcMar>
              <w:left w:w="108" w:type="dxa"/>
              <w:right w:w="108" w:type="dxa"/>
            </w:tcMar>
            <w:vAlign w:val="center"/>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30.336,88</w:t>
            </w:r>
          </w:p>
        </w:tc>
        <w:tc>
          <w:tcPr>
            <w:tcW w:w="1417" w:type="dxa"/>
            <w:tcBorders>
              <w:top w:val="single" w:color="000000" w:sz="4"/>
              <w:left w:val="single" w:color="000000" w:sz="4"/>
              <w:bottom w:val="single" w:color="000000" w:sz="4"/>
              <w:right w:val="single" w:color="000000" w:sz="4"/>
            </w:tcBorders>
            <w:shd w:color="000000" w:fill="9cc2e5" w:val="clear"/>
            <w:tcMar>
              <w:left w:w="108" w:type="dxa"/>
              <w:right w:w="108" w:type="dxa"/>
            </w:tcMar>
            <w:vAlign w:val="center"/>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18.163,97</w:t>
            </w:r>
          </w:p>
        </w:tc>
        <w:tc>
          <w:tcPr>
            <w:tcW w:w="1703" w:type="dxa"/>
            <w:tcBorders>
              <w:top w:val="single" w:color="000000" w:sz="4"/>
              <w:left w:val="single" w:color="000000" w:sz="4"/>
              <w:bottom w:val="single" w:color="000000" w:sz="4"/>
              <w:right w:val="single" w:color="000000" w:sz="4"/>
            </w:tcBorders>
            <w:shd w:color="000000" w:fill="9cc2e5" w:val="clear"/>
            <w:tcMar>
              <w:left w:w="108" w:type="dxa"/>
              <w:right w:w="108" w:type="dxa"/>
            </w:tcMar>
            <w:vAlign w:val="center"/>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12.172,91</w:t>
            </w:r>
          </w:p>
        </w:tc>
        <w:tc>
          <w:tcPr>
            <w:tcW w:w="1670" w:type="dxa"/>
            <w:tcBorders>
              <w:top w:val="single" w:color="000000" w:sz="4"/>
              <w:left w:val="single" w:color="000000" w:sz="4"/>
              <w:bottom w:val="single" w:color="000000" w:sz="4"/>
              <w:right w:val="single" w:color="000000" w:sz="4"/>
            </w:tcBorders>
            <w:shd w:color="000000" w:fill="9cc2e5" w:val="clear"/>
            <w:tcMar>
              <w:left w:w="108" w:type="dxa"/>
              <w:right w:w="108" w:type="dxa"/>
            </w:tcMar>
            <w:vAlign w:val="center"/>
          </w:tcPr>
          <w:p>
            <w:pPr>
              <w:spacing w:before="0" w:after="0" w:line="240"/>
              <w:ind w:right="0" w:left="0" w:firstLine="0"/>
              <w:jc w:val="righ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100</w:t>
            </w:r>
          </w:p>
        </w:tc>
      </w:tr>
    </w:tbl>
    <w:p>
      <w:pPr>
        <w:spacing w:before="60" w:after="120" w:line="240"/>
        <w:ind w:right="0" w:left="0" w:firstLine="0"/>
        <w:jc w:val="center"/>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Tabela 567: Procentualno u</w:t>
      </w:r>
      <w:r>
        <w:rPr>
          <w:rFonts w:ascii="Calibri" w:hAnsi="Calibri" w:cs="Calibri" w:eastAsia="Calibri"/>
          <w:color w:val="auto"/>
          <w:spacing w:val="0"/>
          <w:position w:val="0"/>
          <w:sz w:val="18"/>
          <w:shd w:fill="auto" w:val="clear"/>
        </w:rPr>
        <w:t xml:space="preserve">češće razmatranih sektora i podsektora u ukupnom smanjenju emisija u 2030. za scenario sa planiranim mjerama</w:t>
      </w:r>
    </w:p>
    <w:p>
      <w:pPr>
        <w:spacing w:before="60" w:after="12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Zahvaljuju</w:t>
      </w:r>
      <w:r>
        <w:rPr>
          <w:rFonts w:ascii="Calibri" w:hAnsi="Calibri" w:cs="Calibri" w:eastAsia="Calibri"/>
          <w:color w:val="auto"/>
          <w:spacing w:val="0"/>
          <w:position w:val="0"/>
          <w:sz w:val="20"/>
          <w:shd w:fill="auto" w:val="clear"/>
        </w:rPr>
        <w:t xml:space="preserve">ći efektima planiranih mjera, ukupno smanjenje emisija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do 2030. godine u odnosu na baznu 2010. godinu iznosi 12.172,91 t. Najveće učešće u ovom smanjenju ima sektor zgradarstva, prvenstveno podsektor stambenih zgrada sa 9.808,16 tCO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ili 80,57% od ukupnih emisija. Podsektor javnih zgrada koje nisu u vlasništvu Općine učestvuju sa 3,51%, a podsektor javnih zgrada u vlasništvu Općine sa 2,61%. U sektoru saobraćaja, najznačajnije smanjenje emisija je smanjenje iz podsektora osobnih i komercijalnih vozila u iznosu 1,477,61 tCO</w:t>
      </w:r>
      <w:r>
        <w:rPr>
          <w:rFonts w:ascii="Calibri" w:hAnsi="Calibri" w:cs="Calibri" w:eastAsia="Calibri"/>
          <w:color w:val="auto"/>
          <w:spacing w:val="0"/>
          <w:position w:val="0"/>
          <w:sz w:val="20"/>
          <w:shd w:fill="auto" w:val="clear"/>
          <w:vertAlign w:val="subscript"/>
        </w:rPr>
        <w:t xml:space="preserve">2 </w:t>
      </w:r>
      <w:r>
        <w:rPr>
          <w:rFonts w:ascii="Calibri" w:hAnsi="Calibri" w:cs="Calibri" w:eastAsia="Calibri"/>
          <w:color w:val="auto"/>
          <w:spacing w:val="0"/>
          <w:position w:val="0"/>
          <w:sz w:val="20"/>
          <w:shd w:fill="auto" w:val="clear"/>
        </w:rPr>
        <w:t xml:space="preserve">ili 12,14%. U podsketoru javnog prijevoza predviđen je rast emisija od 21,10 tCO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dok će se realizacijom mjera emisije u podsektoru vozila u nadležnosti Općine emisije smanjiti za 17,69 tCO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Za sektor vodosabdijevanja predviđa se smanjenje emisija za 61,97 tCO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odnosno 0,51%, dok se u sektoru javna rasvijeta predviđa smanjenje emisija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od 317,84 t odnosno 2,61% u odnosu na 2010. godinu.  U narednom dijagramu su – u odnosu na planirani cilj smanjenja emisija za najmanje 40% u 2030. godini - uporedno prikazane dosadašnje ukupne godišnje emisije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iz svih razmatranih sektora u baznoj 2010. i kontrolnoj 2020. godini, te projekcija ovih emisija u 2030. godini koja uključuje efekte planiranih mjera ublažavanja klimatskih promjena. </w:t>
      </w:r>
    </w:p>
    <w:p>
      <w:pPr>
        <w:spacing w:before="60" w:after="120" w:line="240"/>
        <w:ind w:right="0" w:left="0" w:firstLine="0"/>
        <w:jc w:val="both"/>
        <w:rPr>
          <w:rFonts w:ascii="Calibri" w:hAnsi="Calibri" w:cs="Calibri" w:eastAsia="Calibri"/>
          <w:color w:val="auto"/>
          <w:spacing w:val="0"/>
          <w:position w:val="0"/>
          <w:sz w:val="20"/>
          <w:shd w:fill="auto" w:val="clear"/>
        </w:rPr>
      </w:pPr>
    </w:p>
    <w:p>
      <w:pPr>
        <w:spacing w:before="0" w:after="120" w:line="240"/>
        <w:ind w:right="0" w:left="0" w:firstLine="0"/>
        <w:jc w:val="center"/>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Dijagram 541: Ukupne projekcije emisija CO</w:t>
      </w:r>
      <w:r>
        <w:rPr>
          <w:rFonts w:ascii="Calibri" w:hAnsi="Calibri" w:cs="Calibri" w:eastAsia="Calibri"/>
          <w:color w:val="auto"/>
          <w:spacing w:val="0"/>
          <w:position w:val="0"/>
          <w:sz w:val="18"/>
          <w:shd w:fill="auto" w:val="clear"/>
          <w:vertAlign w:val="subscript"/>
        </w:rPr>
        <w:t xml:space="preserve">2</w:t>
      </w:r>
      <w:r>
        <w:rPr>
          <w:rFonts w:ascii="Calibri" w:hAnsi="Calibri" w:cs="Calibri" w:eastAsia="Calibri"/>
          <w:color w:val="auto"/>
          <w:spacing w:val="0"/>
          <w:position w:val="0"/>
          <w:sz w:val="18"/>
          <w:shd w:fill="auto" w:val="clear"/>
        </w:rPr>
        <w:t xml:space="preserve"> u odnosu na baznu godinu i indikativni cilj</w:t>
      </w:r>
    </w:p>
    <w:p>
      <w:pPr>
        <w:spacing w:before="120" w:after="0" w:line="240"/>
        <w:ind w:right="0" w:left="0" w:firstLine="0"/>
        <w:jc w:val="both"/>
        <w:rPr>
          <w:rFonts w:ascii="Calibri" w:hAnsi="Calibri" w:cs="Calibri" w:eastAsia="Calibri"/>
          <w:color w:val="auto"/>
          <w:spacing w:val="0"/>
          <w:position w:val="0"/>
          <w:sz w:val="20"/>
          <w:shd w:fill="FFFF00" w:val="clear"/>
        </w:rPr>
      </w:pPr>
      <w:r>
        <w:rPr>
          <w:rFonts w:ascii="Calibri" w:hAnsi="Calibri" w:cs="Calibri" w:eastAsia="Calibri"/>
          <w:color w:val="auto"/>
          <w:spacing w:val="0"/>
          <w:position w:val="0"/>
          <w:sz w:val="20"/>
          <w:shd w:fill="auto" w:val="clear"/>
        </w:rPr>
        <w:t xml:space="preserve">Da bi se dostigao </w:t>
      </w:r>
      <w:r>
        <w:rPr>
          <w:rFonts w:ascii="Calibri" w:hAnsi="Calibri" w:cs="Calibri" w:eastAsia="Calibri"/>
          <w:b/>
          <w:i/>
          <w:color w:val="auto"/>
          <w:spacing w:val="0"/>
          <w:position w:val="0"/>
          <w:sz w:val="20"/>
          <w:shd w:fill="auto" w:val="clear"/>
        </w:rPr>
        <w:t xml:space="preserve">indikativni cilj smanjenja emisija CO</w:t>
      </w:r>
      <w:r>
        <w:rPr>
          <w:rFonts w:ascii="Calibri" w:hAnsi="Calibri" w:cs="Calibri" w:eastAsia="Calibri"/>
          <w:b/>
          <w:i/>
          <w:color w:val="auto"/>
          <w:spacing w:val="0"/>
          <w:position w:val="0"/>
          <w:sz w:val="20"/>
          <w:shd w:fill="auto" w:val="clear"/>
          <w:vertAlign w:val="subscript"/>
        </w:rPr>
        <w:t xml:space="preserve">2</w:t>
      </w:r>
      <w:r>
        <w:rPr>
          <w:rFonts w:ascii="Calibri" w:hAnsi="Calibri" w:cs="Calibri" w:eastAsia="Calibri"/>
          <w:b/>
          <w:i/>
          <w:color w:val="auto"/>
          <w:spacing w:val="0"/>
          <w:position w:val="0"/>
          <w:sz w:val="20"/>
          <w:shd w:fill="auto" w:val="clear"/>
        </w:rPr>
        <w:t xml:space="preserve"> od najmanje 40% u 2030. godini</w:t>
      </w:r>
      <w:r>
        <w:rPr>
          <w:rFonts w:ascii="Calibri" w:hAnsi="Calibri" w:cs="Calibri" w:eastAsia="Calibri"/>
          <w:color w:val="auto"/>
          <w:spacing w:val="0"/>
          <w:position w:val="0"/>
          <w:sz w:val="20"/>
          <w:shd w:fill="auto" w:val="clear"/>
        </w:rPr>
        <w:t xml:space="preserve"> koji iznosi </w:t>
      </w:r>
      <w:r>
        <w:rPr>
          <w:rFonts w:ascii="Calibri" w:hAnsi="Calibri" w:cs="Calibri" w:eastAsia="Calibri"/>
          <w:b/>
          <w:i/>
          <w:color w:val="auto"/>
          <w:spacing w:val="0"/>
          <w:position w:val="0"/>
          <w:sz w:val="20"/>
          <w:shd w:fill="auto" w:val="clear"/>
        </w:rPr>
        <w:t xml:space="preserve">18.202,13 t,</w:t>
      </w:r>
      <w:r>
        <w:rPr>
          <w:rFonts w:ascii="Calibri" w:hAnsi="Calibri" w:cs="Calibri" w:eastAsia="Calibri"/>
          <w:color w:val="auto"/>
          <w:spacing w:val="0"/>
          <w:position w:val="0"/>
          <w:sz w:val="20"/>
          <w:shd w:fill="auto" w:val="clear"/>
        </w:rPr>
        <w:t xml:space="preserve"> neophodno je da Op</w:t>
      </w:r>
      <w:r>
        <w:rPr>
          <w:rFonts w:ascii="Calibri" w:hAnsi="Calibri" w:cs="Calibri" w:eastAsia="Calibri"/>
          <w:color w:val="auto"/>
          <w:spacing w:val="0"/>
          <w:position w:val="0"/>
          <w:sz w:val="20"/>
          <w:shd w:fill="auto" w:val="clear"/>
        </w:rPr>
        <w:t xml:space="preserve">ćina Doboj Istok realizira mjere energetske efikasnosti i smanji emisije za najmanje </w:t>
      </w:r>
      <w:r>
        <w:rPr>
          <w:rFonts w:ascii="Calibri" w:hAnsi="Calibri" w:cs="Calibri" w:eastAsia="Calibri"/>
          <w:color w:val="000000"/>
          <w:spacing w:val="0"/>
          <w:position w:val="0"/>
          <w:sz w:val="20"/>
          <w:shd w:fill="auto" w:val="clear"/>
        </w:rPr>
        <w:t xml:space="preserve">5.534,61 tCO</w:t>
      </w:r>
      <w:r>
        <w:rPr>
          <w:rFonts w:ascii="Calibri" w:hAnsi="Calibri" w:cs="Calibri" w:eastAsia="Calibri"/>
          <w:color w:val="000000"/>
          <w:spacing w:val="0"/>
          <w:position w:val="0"/>
          <w:sz w:val="20"/>
          <w:shd w:fill="auto" w:val="clear"/>
          <w:vertAlign w:val="subscript"/>
        </w:rPr>
        <w:t xml:space="preserve">2</w:t>
      </w:r>
      <w:r>
        <w:rPr>
          <w:rFonts w:ascii="Calibri" w:hAnsi="Calibri" w:cs="Calibri" w:eastAsia="Calibri"/>
          <w:b/>
          <w:i/>
          <w:color w:val="000000"/>
          <w:spacing w:val="0"/>
          <w:position w:val="0"/>
          <w:sz w:val="20"/>
          <w:shd w:fill="auto" w:val="clear"/>
        </w:rPr>
        <w:t xml:space="preserve">. </w:t>
      </w:r>
      <w:r>
        <w:rPr>
          <w:rFonts w:ascii="Calibri" w:hAnsi="Calibri" w:cs="Calibri" w:eastAsia="Calibri"/>
          <w:color w:val="auto"/>
          <w:spacing w:val="0"/>
          <w:position w:val="0"/>
          <w:sz w:val="20"/>
          <w:shd w:fill="auto" w:val="clear"/>
        </w:rPr>
        <w:t xml:space="preserve">Proračunato smanjenje emisija svih sektora u odnosu na 2020. godinu iznosi 5.573,26 </w:t>
      </w:r>
      <w:r>
        <w:rPr>
          <w:rFonts w:ascii="Calibri" w:hAnsi="Calibri" w:cs="Calibri" w:eastAsia="Calibri"/>
          <w:color w:val="000000"/>
          <w:spacing w:val="0"/>
          <w:position w:val="0"/>
          <w:sz w:val="20"/>
          <w:shd w:fill="auto" w:val="clear"/>
        </w:rPr>
        <w:t xml:space="preserve">t, te u 2030. godini ukupne emisije </w:t>
      </w:r>
      <w:r>
        <w:rPr>
          <w:rFonts w:ascii="Calibri" w:hAnsi="Calibri" w:cs="Calibri" w:eastAsia="Calibri"/>
          <w:color w:val="auto"/>
          <w:spacing w:val="0"/>
          <w:position w:val="0"/>
          <w:sz w:val="20"/>
          <w:shd w:fill="auto" w:val="clear"/>
        </w:rPr>
        <w:t xml:space="preserve">sa efektima planiranih mjera iznose </w:t>
      </w:r>
      <w:r>
        <w:rPr>
          <w:rFonts w:ascii="Calibri" w:hAnsi="Calibri" w:cs="Calibri" w:eastAsia="Calibri"/>
          <w:b/>
          <w:i/>
          <w:color w:val="auto"/>
          <w:spacing w:val="0"/>
          <w:position w:val="0"/>
          <w:sz w:val="20"/>
          <w:shd w:fill="auto" w:val="clear"/>
        </w:rPr>
        <w:t xml:space="preserve">18.163,97 tCO</w:t>
      </w:r>
      <w:r>
        <w:rPr>
          <w:rFonts w:ascii="Calibri" w:hAnsi="Calibri" w:cs="Calibri" w:eastAsia="Calibri"/>
          <w:b/>
          <w:i/>
          <w:color w:val="auto"/>
          <w:spacing w:val="0"/>
          <w:position w:val="0"/>
          <w:sz w:val="20"/>
          <w:shd w:fill="auto" w:val="clear"/>
          <w:vertAlign w:val="subscript"/>
        </w:rPr>
        <w:t xml:space="preserve">2</w:t>
      </w:r>
      <w:r>
        <w:rPr>
          <w:rFonts w:ascii="Calibri" w:hAnsi="Calibri" w:cs="Calibri" w:eastAsia="Calibri"/>
          <w:b/>
          <w:i/>
          <w:color w:val="auto"/>
          <w:spacing w:val="0"/>
          <w:position w:val="0"/>
          <w:sz w:val="20"/>
          <w:shd w:fill="auto" w:val="clear"/>
        </w:rPr>
        <w:t xml:space="preserve">,</w:t>
      </w:r>
      <w:r>
        <w:rPr>
          <w:rFonts w:ascii="Calibri" w:hAnsi="Calibri" w:cs="Calibri" w:eastAsia="Calibri"/>
          <w:color w:val="auto"/>
          <w:spacing w:val="0"/>
          <w:position w:val="0"/>
          <w:sz w:val="20"/>
          <w:shd w:fill="auto" w:val="clear"/>
        </w:rPr>
        <w:t xml:space="preserve"> što premašuje indikativni cilj za 38,64 tCO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w:t>
      </w:r>
    </w:p>
    <w:p>
      <w:pPr>
        <w:keepNext w:val="true"/>
        <w:keepLines w:val="true"/>
        <w:numPr>
          <w:ilvl w:val="0"/>
          <w:numId w:val="3221"/>
        </w:numPr>
        <w:spacing w:before="60" w:after="0" w:line="240"/>
        <w:ind w:right="0" w:left="431" w:hanging="431"/>
        <w:jc w:val="both"/>
        <w:rPr>
          <w:rFonts w:ascii="Calibri" w:hAnsi="Calibri" w:cs="Calibri" w:eastAsia="Calibri"/>
          <w:color w:val="2E74B5"/>
          <w:spacing w:val="0"/>
          <w:position w:val="0"/>
          <w:sz w:val="20"/>
          <w:shd w:fill="auto" w:val="clear"/>
        </w:rPr>
      </w:pPr>
      <w:r>
        <w:rPr>
          <w:rFonts w:ascii="Calibri" w:hAnsi="Calibri" w:cs="Calibri" w:eastAsia="Calibri"/>
          <w:b/>
          <w:color w:val="auto"/>
          <w:spacing w:val="0"/>
          <w:position w:val="0"/>
          <w:sz w:val="28"/>
          <w:shd w:fill="auto" w:val="clear"/>
        </w:rPr>
        <w:t xml:space="preserve">PRILAGO</w:t>
      </w:r>
      <w:r>
        <w:rPr>
          <w:rFonts w:ascii="Calibri" w:hAnsi="Calibri" w:cs="Calibri" w:eastAsia="Calibri"/>
          <w:b/>
          <w:color w:val="auto"/>
          <w:spacing w:val="0"/>
          <w:position w:val="0"/>
          <w:sz w:val="28"/>
          <w:shd w:fill="auto" w:val="clear"/>
        </w:rPr>
        <w:t xml:space="preserve">ĐAVANJE KLIMATSKIM PROMJENAMA </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Klimu ili podneblje nekog podru</w:t>
      </w:r>
      <w:r>
        <w:rPr>
          <w:rFonts w:ascii="Calibri" w:hAnsi="Calibri" w:cs="Calibri" w:eastAsia="Calibri"/>
          <w:color w:val="auto"/>
          <w:spacing w:val="0"/>
          <w:position w:val="0"/>
          <w:sz w:val="20"/>
          <w:shd w:fill="auto" w:val="clear"/>
        </w:rPr>
        <w:t xml:space="preserve">čja u nekom vremenskom periodu definiramo kao skup prosječnih ill očekivanih vrijednosti meteoroloških elemenata i pojava. Obično se kaže da na klimu nekog područja utiče sveukupni klimatski sistem, koji je sačinjen od atmosfere, hidrosfere, kriosfere, tla i biosfere, te da je klima samo vanjska manifestacija složenih i nelinerarnih procesa unutar klimatskog sistema koji imaju svoju dinamiku i međudjelovanje. Za ocjenu klime koriste se tridesetogodišnji nizovi podataka. Dok se klima na zemlji uvijek mijenjala, u prošlosti je bila podložna samo prirodnim uticajima, a u zadnjih 100 godina mijenja se znatno brže, prvenstveno zbog ljudskog djelovanja. </w:t>
      </w:r>
    </w:p>
    <w:p>
      <w:pPr>
        <w:keepNext w:val="true"/>
        <w:keepLines w:val="true"/>
        <w:numPr>
          <w:ilvl w:val="0"/>
          <w:numId w:val="3223"/>
        </w:numPr>
        <w:spacing w:before="120" w:after="0" w:line="240"/>
        <w:ind w:right="0" w:left="578" w:hanging="578"/>
        <w:jc w:val="both"/>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Analiza klime i klimatskih promjena na podru</w:t>
      </w:r>
      <w:r>
        <w:rPr>
          <w:rFonts w:ascii="Calibri" w:hAnsi="Calibri" w:cs="Calibri" w:eastAsia="Calibri"/>
          <w:b/>
          <w:color w:val="auto"/>
          <w:spacing w:val="0"/>
          <w:position w:val="0"/>
          <w:sz w:val="28"/>
          <w:shd w:fill="auto" w:val="clear"/>
        </w:rPr>
        <w:t xml:space="preserve">čju općine Doboj Istok </w:t>
      </w:r>
    </w:p>
    <w:p>
      <w:pPr>
        <w:keepNext w:val="true"/>
        <w:keepLines w:val="true"/>
        <w:numPr>
          <w:ilvl w:val="0"/>
          <w:numId w:val="3223"/>
        </w:numPr>
        <w:spacing w:before="120" w:after="0" w:line="240"/>
        <w:ind w:right="0" w:left="720" w:hanging="72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Dosadašnje klimatske promjene registrirane u Bosni i Hercegovini </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Negativne posljedice klimatskih promjena ve</w:t>
      </w:r>
      <w:r>
        <w:rPr>
          <w:rFonts w:ascii="Calibri" w:hAnsi="Calibri" w:cs="Calibri" w:eastAsia="Calibri"/>
          <w:color w:val="auto"/>
          <w:spacing w:val="0"/>
          <w:position w:val="0"/>
          <w:sz w:val="20"/>
          <w:shd w:fill="auto" w:val="clear"/>
        </w:rPr>
        <w:t xml:space="preserve">ć su vidljive u Bosni i Hercegovini. Svi dosadašnji izvještaji vezani za klimatske promjene, koje naša zemlja izrađuje kao potpisnica </w:t>
      </w:r>
      <w:r>
        <w:rPr>
          <w:rFonts w:ascii="Calibri" w:hAnsi="Calibri" w:cs="Calibri" w:eastAsia="Calibri"/>
          <w:i/>
          <w:color w:val="auto"/>
          <w:spacing w:val="0"/>
          <w:position w:val="0"/>
          <w:sz w:val="20"/>
          <w:shd w:fill="auto" w:val="clear"/>
        </w:rPr>
        <w:t xml:space="preserve">Okvirne konvencije Ujedinjenih nacija o klimatskim promjenama</w:t>
      </w:r>
      <w:r>
        <w:rPr>
          <w:rFonts w:ascii="Calibri" w:hAnsi="Calibri" w:cs="Calibri" w:eastAsia="Calibri"/>
          <w:color w:val="auto"/>
          <w:spacing w:val="0"/>
          <w:position w:val="0"/>
          <w:sz w:val="20"/>
          <w:shd w:fill="auto" w:val="clear"/>
        </w:rPr>
        <w:t xml:space="preserve"> potvrđuju da će se te promjene do kraja 21. vijeka dešavati sve intenzivnije. Analize temperaturnih promjena i režima padavina u periodu od 1961–2014. godine pokazuju značajno povećanje temperature u svim područjima naše zemlje, rast broja toplih dana i veće učestalosti ekstremnih maksimalnih temperatura, smanjenje broja hladnih dana i  manju učestalost ekstremno niskih temperatura, kao i trend blagog rasta godišnjih količina padavina uz istovremene značajne promjene godišnje raspodjele padavina.</w:t>
      </w:r>
    </w:p>
    <w:p>
      <w:pPr>
        <w:spacing w:before="60" w:after="12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Promjene u godišnjim temperaturama i godišnjoj koli</w:t>
      </w:r>
      <w:r>
        <w:rPr>
          <w:rFonts w:ascii="Calibri" w:hAnsi="Calibri" w:cs="Calibri" w:eastAsia="Calibri"/>
          <w:color w:val="auto"/>
          <w:spacing w:val="0"/>
          <w:position w:val="0"/>
          <w:sz w:val="20"/>
          <w:shd w:fill="auto" w:val="clear"/>
        </w:rPr>
        <w:t xml:space="preserve">čini padavina u Bosni i Hercegovini, dobivene poređenjem razdoblja 1981–2010 u odnosu na razdoblje 1961–1990. godina prikazane su na narednoj slici.</w:t>
      </w:r>
    </w:p>
    <w:tbl>
      <w:tblPr/>
      <w:tblGrid>
        <w:gridCol w:w="4686"/>
        <w:gridCol w:w="4776"/>
      </w:tblGrid>
      <w:tr>
        <w:trPr>
          <w:trHeight w:val="1" w:hRule="atLeast"/>
          <w:jc w:val="left"/>
        </w:trPr>
        <w:tc>
          <w:tcPr>
            <w:tcW w:w="4686"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76"/>
              <w:ind w:right="0" w:left="0" w:firstLine="0"/>
              <w:jc w:val="both"/>
              <w:rPr>
                <w:rFonts w:ascii="Calibri" w:hAnsi="Calibri" w:cs="Calibri" w:eastAsia="Calibri"/>
                <w:color w:val="auto"/>
                <w:spacing w:val="0"/>
                <w:position w:val="0"/>
                <w:sz w:val="22"/>
                <w:shd w:fill="auto" w:val="clear"/>
              </w:rPr>
            </w:pPr>
            <w:r>
              <w:object w:dxaOrig="4292" w:dyaOrig="4353">
                <v:rect xmlns:o="urn:schemas-microsoft-com:office:office" xmlns:v="urn:schemas-microsoft-com:vml" id="rectole0000000001" style="width:214.600000pt;height:217.6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tc>
        <w:tc>
          <w:tcPr>
            <w:tcW w:w="4776"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76"/>
              <w:ind w:right="0" w:left="0" w:firstLine="0"/>
              <w:jc w:val="both"/>
              <w:rPr>
                <w:rFonts w:ascii="Calibri" w:hAnsi="Calibri" w:cs="Calibri" w:eastAsia="Calibri"/>
                <w:color w:val="auto"/>
                <w:spacing w:val="0"/>
                <w:position w:val="0"/>
                <w:sz w:val="22"/>
                <w:shd w:fill="auto" w:val="clear"/>
              </w:rPr>
            </w:pPr>
            <w:r>
              <w:object w:dxaOrig="4353" w:dyaOrig="4353">
                <v:rect xmlns:o="urn:schemas-microsoft-com:office:office" xmlns:v="urn:schemas-microsoft-com:vml" id="rectole0000000002" style="width:217.650000pt;height:217.6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tc>
      </w:tr>
    </w:tbl>
    <w:p>
      <w:pPr>
        <w:spacing w:before="0" w:after="0" w:line="240"/>
        <w:ind w:right="0" w:left="0" w:firstLine="0"/>
        <w:jc w:val="center"/>
        <w:rPr>
          <w:rFonts w:ascii="Calibri" w:hAnsi="Calibri" w:cs="Calibri" w:eastAsia="Calibri"/>
          <w:i/>
          <w:color w:val="auto"/>
          <w:spacing w:val="0"/>
          <w:position w:val="0"/>
          <w:sz w:val="18"/>
          <w:shd w:fill="auto" w:val="clear"/>
        </w:rPr>
      </w:pPr>
      <w:r>
        <w:rPr>
          <w:rFonts w:ascii="Calibri" w:hAnsi="Calibri" w:cs="Calibri" w:eastAsia="Calibri"/>
          <w:i/>
          <w:color w:val="auto"/>
          <w:spacing w:val="0"/>
          <w:position w:val="0"/>
          <w:sz w:val="18"/>
          <w:shd w:fill="auto" w:val="clear"/>
        </w:rPr>
        <w:t xml:space="preserve">Dijagram  61: Promjene godišnjih temperatura i koli</w:t>
      </w:r>
      <w:r>
        <w:rPr>
          <w:rFonts w:ascii="Calibri" w:hAnsi="Calibri" w:cs="Calibri" w:eastAsia="Calibri"/>
          <w:i/>
          <w:color w:val="auto"/>
          <w:spacing w:val="0"/>
          <w:position w:val="0"/>
          <w:sz w:val="18"/>
          <w:shd w:fill="auto" w:val="clear"/>
        </w:rPr>
        <w:t xml:space="preserve">čina padavina u Bosni i Hercegovini dobivene poređenjem perioda 1981-2010 sa periodom 1961-1990</w:t>
      </w:r>
    </w:p>
    <w:p>
      <w:pPr>
        <w:spacing w:before="12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Analize meteoroloških podataka iz perioda 1961 – 2014. godina, razmatrane u </w:t>
      </w:r>
      <w:r>
        <w:rPr>
          <w:rFonts w:ascii="Calibri" w:hAnsi="Calibri" w:cs="Calibri" w:eastAsia="Calibri"/>
          <w:i/>
          <w:color w:val="auto"/>
          <w:spacing w:val="0"/>
          <w:position w:val="0"/>
          <w:sz w:val="20"/>
          <w:shd w:fill="auto" w:val="clear"/>
        </w:rPr>
        <w:t xml:space="preserve">Tre</w:t>
      </w:r>
      <w:r>
        <w:rPr>
          <w:rFonts w:ascii="Calibri" w:hAnsi="Calibri" w:cs="Calibri" w:eastAsia="Calibri"/>
          <w:i/>
          <w:color w:val="auto"/>
          <w:spacing w:val="0"/>
          <w:position w:val="0"/>
          <w:sz w:val="20"/>
          <w:shd w:fill="auto" w:val="clear"/>
        </w:rPr>
        <w:t xml:space="preserve">ćem nacionalnom izvještaju i Drugom dvogodišnjem izvještaju o emisiji stakleničkih plinova BiH u skladu sa UNFCCC </w:t>
      </w:r>
      <w:r>
        <w:rPr>
          <w:rFonts w:ascii="Calibri" w:hAnsi="Calibri" w:cs="Calibri" w:eastAsia="Calibri"/>
          <w:color w:val="auto"/>
          <w:spacing w:val="0"/>
          <w:position w:val="0"/>
          <w:sz w:val="20"/>
          <w:shd w:fill="auto" w:val="clear"/>
        </w:rPr>
        <w:t xml:space="preserve">pokazuju kontinuirani rast srednje godišnje temperature. Uočen je pozitivan linearni trend u srednjoj godišnjoj temperaturi koji je naročito izražen u posljednjih 30 godina, pri čemu su ove promjene više izražene u kontinentalnom dijelu zemlje. Povećanje temperature zraka na godišnjem nivou kreće se u rasponu od 0,4 do 1,0°C, a tokom vegetacionog perioda od aprila do septembra i do 1,0°C. Međutim, povećanja temperature tokom posljednjih 14 godina su još izraženija.</w:t>
      </w:r>
      <w:r>
        <w:rPr>
          <w:rFonts w:ascii="Calibri" w:hAnsi="Calibri" w:cs="Calibri" w:eastAsia="Calibri"/>
          <w:b/>
          <w:color w:val="auto"/>
          <w:spacing w:val="0"/>
          <w:position w:val="0"/>
          <w:sz w:val="20"/>
          <w:shd w:fill="auto" w:val="clear"/>
        </w:rPr>
        <w:t xml:space="preserve"> </w:t>
      </w:r>
      <w:r>
        <w:rPr>
          <w:rFonts w:ascii="Calibri" w:hAnsi="Calibri" w:cs="Calibri" w:eastAsia="Calibri"/>
          <w:color w:val="auto"/>
          <w:spacing w:val="0"/>
          <w:position w:val="0"/>
          <w:sz w:val="20"/>
          <w:shd w:fill="auto" w:val="clear"/>
        </w:rPr>
        <w:t xml:space="preserve">Najveće razlike temperature između referentnog perioda 1961-1990 i ostala dva analizirana perioda (1981-2010 i 2000-2014) javljaju se u ljetnom periodu. Pri tome, razlike između referentnog perioda 1961-1990 i perioda 2000-2014 su znatno veće u odnosu na period 1981-2000 i kreću se do 2,7°C u pojedinim dijelovima zemlje. Primijećen je i značajan trend rasta broja toplih dana i veće učestalosti ekstremnih maksimalnih temperatura, te smanjenja broja hladnih dana i  manje učestalosti ekstremno niskih temperatura. </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Što se ti</w:t>
      </w:r>
      <w:r>
        <w:rPr>
          <w:rFonts w:ascii="Calibri" w:hAnsi="Calibri" w:cs="Calibri" w:eastAsia="Calibri"/>
          <w:color w:val="auto"/>
          <w:spacing w:val="0"/>
          <w:position w:val="0"/>
          <w:sz w:val="20"/>
          <w:shd w:fill="auto" w:val="clear"/>
        </w:rPr>
        <w:t xml:space="preserve">če padavina, ove analize pokazuju da u periodu 1061-2014 veći dio teritorije Bosne i Hercegovine karakterizira neznatno povećanje količine padavina na godišnjem nivou, ali da je u velikoj mjeri poremećena godišnja raspodjela padavina. Zbog povećanog intenziteta padavina i zbog njegove veće promjenljivosti, kao i zbog povećanog udjela jakih kiša u ukupnim kišnim padavinama, rizik od poplava postaje sve izraženiji, naročito u sjeveroistočnom dijelu Bosne i Hercegovine gdje su tokom maja 2014. godine zabilježene najkatastrofalnije poplave u istoriji hidrometeorološkog praćenja.</w:t>
      </w:r>
    </w:p>
    <w:p>
      <w:pPr>
        <w:keepNext w:val="true"/>
        <w:keepLines w:val="true"/>
        <w:numPr>
          <w:ilvl w:val="0"/>
          <w:numId w:val="3233"/>
        </w:numPr>
        <w:spacing w:before="120" w:after="0" w:line="240"/>
        <w:ind w:right="0" w:left="862" w:hanging="862"/>
        <w:jc w:val="both"/>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Dosadašnje pove</w:t>
      </w:r>
      <w:r>
        <w:rPr>
          <w:rFonts w:ascii="Calibri" w:hAnsi="Calibri" w:cs="Calibri" w:eastAsia="Calibri"/>
          <w:b/>
          <w:color w:val="auto"/>
          <w:spacing w:val="0"/>
          <w:position w:val="0"/>
          <w:sz w:val="22"/>
          <w:shd w:fill="auto" w:val="clear"/>
        </w:rPr>
        <w:t xml:space="preserve">ćanje srednje godišnje temperature na općine Doboj Istok</w:t>
      </w:r>
    </w:p>
    <w:p>
      <w:pPr>
        <w:spacing w:before="60" w:after="12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Podru</w:t>
      </w:r>
      <w:r>
        <w:rPr>
          <w:rFonts w:ascii="Calibri" w:hAnsi="Calibri" w:cs="Calibri" w:eastAsia="Calibri"/>
          <w:color w:val="auto"/>
          <w:spacing w:val="0"/>
          <w:position w:val="0"/>
          <w:sz w:val="20"/>
          <w:shd w:fill="auto" w:val="clear"/>
        </w:rPr>
        <w:t xml:space="preserve">čje općine Doboj Istok odlikuje se opštim karakteristikama umjereno kontinentalne ili srednjoevropske klime, sa određenim specifičnostima izazvanim lokalnim reljefom i položajem u odnosu na dominantne okolne regije (bosanski planinski masivi sa jedne i panonska nizija sa druge strane). Temperaturne amplitude su znatne, a godišnja doba su jasno izražena. U ovom tipu klime relativna vlažnost i oblačnost imaju ljetni minimum i zimski maksimum. Maksimum padavina javlja se početkom ljeta, a minimum u januaru i februaru.</w:t>
      </w:r>
    </w:p>
    <w:tbl>
      <w:tblPr/>
      <w:tblGrid>
        <w:gridCol w:w="1384"/>
        <w:gridCol w:w="567"/>
        <w:gridCol w:w="567"/>
        <w:gridCol w:w="709"/>
        <w:gridCol w:w="799"/>
        <w:gridCol w:w="567"/>
        <w:gridCol w:w="567"/>
        <w:gridCol w:w="567"/>
        <w:gridCol w:w="567"/>
        <w:gridCol w:w="567"/>
        <w:gridCol w:w="567"/>
        <w:gridCol w:w="456"/>
        <w:gridCol w:w="567"/>
        <w:gridCol w:w="1013"/>
      </w:tblGrid>
      <w:tr>
        <w:trPr>
          <w:trHeight w:val="1" w:hRule="atLeast"/>
          <w:jc w:val="left"/>
        </w:trPr>
        <w:tc>
          <w:tcPr>
            <w:tcW w:w="9464" w:type="dxa"/>
            <w:gridSpan w:val="1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100" w:after="100" w:line="276"/>
              <w:ind w:right="0" w:left="360" w:firstLine="0"/>
              <w:jc w:val="center"/>
              <w:rPr>
                <w:rFonts w:ascii="Calibri" w:hAnsi="Calibri" w:cs="Calibri" w:eastAsia="Calibri"/>
                <w:color w:val="auto"/>
                <w:spacing w:val="0"/>
                <w:position w:val="0"/>
              </w:rPr>
            </w:pPr>
            <w:r>
              <w:rPr>
                <w:rFonts w:ascii="Calibri" w:hAnsi="Calibri" w:cs="Calibri" w:eastAsia="Calibri"/>
                <w:i/>
                <w:color w:val="auto"/>
                <w:spacing w:val="0"/>
                <w:position w:val="0"/>
                <w:sz w:val="17"/>
                <w:shd w:fill="auto" w:val="clear"/>
              </w:rPr>
              <w:t xml:space="preserve">Srednje mjese</w:t>
            </w:r>
            <w:r>
              <w:rPr>
                <w:rFonts w:ascii="Calibri" w:hAnsi="Calibri" w:cs="Calibri" w:eastAsia="Calibri"/>
                <w:i/>
                <w:color w:val="auto"/>
                <w:spacing w:val="0"/>
                <w:position w:val="0"/>
                <w:sz w:val="17"/>
                <w:shd w:fill="auto" w:val="clear"/>
              </w:rPr>
              <w:t xml:space="preserve">čne i srednje godišnje temperature zraka (</w:t>
            </w:r>
            <w:r>
              <w:rPr>
                <w:rFonts w:ascii="Calibri" w:hAnsi="Calibri" w:cs="Calibri" w:eastAsia="Calibri"/>
                <w:i/>
                <w:color w:val="auto"/>
                <w:spacing w:val="0"/>
                <w:position w:val="0"/>
                <w:sz w:val="17"/>
                <w:shd w:fill="auto" w:val="clear"/>
                <w:vertAlign w:val="superscript"/>
              </w:rPr>
              <w:t xml:space="preserve">o</w:t>
            </w:r>
            <w:r>
              <w:rPr>
                <w:rFonts w:ascii="Calibri" w:hAnsi="Calibri" w:cs="Calibri" w:eastAsia="Calibri"/>
                <w:i/>
                <w:color w:val="auto"/>
                <w:spacing w:val="0"/>
                <w:position w:val="0"/>
                <w:sz w:val="17"/>
                <w:shd w:fill="auto" w:val="clear"/>
              </w:rPr>
              <w:t xml:space="preserve">C)</w:t>
            </w:r>
          </w:p>
        </w:tc>
      </w:tr>
      <w:tr>
        <w:trPr>
          <w:trHeight w:val="1" w:hRule="atLeast"/>
          <w:jc w:val="left"/>
        </w:trPr>
        <w:tc>
          <w:tcPr>
            <w:tcW w:w="13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100" w:after="100" w:line="276"/>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7"/>
                <w:shd w:fill="auto" w:val="clear"/>
              </w:rPr>
              <w:t xml:space="preserve">Period</w:t>
            </w:r>
          </w:p>
        </w:tc>
        <w:tc>
          <w:tcPr>
            <w:tcW w:w="5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100" w:after="100" w:line="259"/>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7"/>
                <w:shd w:fill="auto" w:val="clear"/>
              </w:rPr>
              <w:t xml:space="preserve">I</w:t>
            </w:r>
          </w:p>
        </w:tc>
        <w:tc>
          <w:tcPr>
            <w:tcW w:w="5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100" w:after="100" w:line="276"/>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7"/>
                <w:shd w:fill="auto" w:val="clear"/>
              </w:rPr>
              <w:t xml:space="preserve">II</w:t>
            </w:r>
          </w:p>
        </w:tc>
        <w:tc>
          <w:tcPr>
            <w:tcW w:w="7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100" w:after="100" w:line="276"/>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7"/>
                <w:shd w:fill="auto" w:val="clear"/>
              </w:rPr>
              <w:t xml:space="preserve">III</w:t>
            </w:r>
          </w:p>
        </w:tc>
        <w:tc>
          <w:tcPr>
            <w:tcW w:w="7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100" w:after="100" w:line="276"/>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7"/>
                <w:shd w:fill="auto" w:val="clear"/>
              </w:rPr>
              <w:t xml:space="preserve">IV</w:t>
            </w:r>
          </w:p>
        </w:tc>
        <w:tc>
          <w:tcPr>
            <w:tcW w:w="5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100" w:after="100" w:line="276"/>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7"/>
                <w:shd w:fill="auto" w:val="clear"/>
              </w:rPr>
              <w:t xml:space="preserve">V</w:t>
            </w:r>
          </w:p>
        </w:tc>
        <w:tc>
          <w:tcPr>
            <w:tcW w:w="5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100" w:after="100" w:line="276"/>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7"/>
                <w:shd w:fill="auto" w:val="clear"/>
              </w:rPr>
              <w:t xml:space="preserve">VI</w:t>
            </w:r>
          </w:p>
        </w:tc>
        <w:tc>
          <w:tcPr>
            <w:tcW w:w="5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100" w:after="100" w:line="276"/>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7"/>
                <w:shd w:fill="auto" w:val="clear"/>
              </w:rPr>
              <w:t xml:space="preserve">VII</w:t>
            </w:r>
          </w:p>
        </w:tc>
        <w:tc>
          <w:tcPr>
            <w:tcW w:w="5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100" w:after="100" w:line="276"/>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7"/>
                <w:shd w:fill="auto" w:val="clear"/>
              </w:rPr>
              <w:t xml:space="preserve">VIII</w:t>
            </w:r>
          </w:p>
        </w:tc>
        <w:tc>
          <w:tcPr>
            <w:tcW w:w="5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100" w:after="100" w:line="276"/>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7"/>
                <w:shd w:fill="auto" w:val="clear"/>
              </w:rPr>
              <w:t xml:space="preserve">IX</w:t>
            </w:r>
          </w:p>
        </w:tc>
        <w:tc>
          <w:tcPr>
            <w:tcW w:w="5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100" w:after="100" w:line="276"/>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7"/>
                <w:shd w:fill="auto" w:val="clear"/>
              </w:rPr>
              <w:t xml:space="preserve">X</w:t>
            </w:r>
          </w:p>
        </w:tc>
        <w:tc>
          <w:tcPr>
            <w:tcW w:w="45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100" w:after="100" w:line="276"/>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7"/>
                <w:shd w:fill="auto" w:val="clear"/>
              </w:rPr>
              <w:t xml:space="preserve">XI</w:t>
            </w:r>
          </w:p>
        </w:tc>
        <w:tc>
          <w:tcPr>
            <w:tcW w:w="5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100" w:after="100" w:line="276"/>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7"/>
                <w:shd w:fill="auto" w:val="clear"/>
              </w:rPr>
              <w:t xml:space="preserve">XII</w:t>
            </w:r>
          </w:p>
        </w:tc>
        <w:tc>
          <w:tcPr>
            <w:tcW w:w="101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100" w:after="100" w:line="276"/>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7"/>
                <w:shd w:fill="auto" w:val="clear"/>
              </w:rPr>
              <w:t xml:space="preserve">SR. GOD.</w:t>
            </w:r>
          </w:p>
        </w:tc>
      </w:tr>
      <w:tr>
        <w:trPr>
          <w:trHeight w:val="1" w:hRule="atLeast"/>
          <w:jc w:val="left"/>
        </w:trPr>
        <w:tc>
          <w:tcPr>
            <w:tcW w:w="13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7"/>
                <w:shd w:fill="auto" w:val="clear"/>
              </w:rPr>
              <w:t xml:space="preserve">1981-2010.</w:t>
            </w:r>
          </w:p>
        </w:tc>
        <w:tc>
          <w:tcPr>
            <w:tcW w:w="5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7"/>
                <w:shd w:fill="auto" w:val="clear"/>
              </w:rPr>
              <w:t xml:space="preserve">0,2</w:t>
            </w:r>
          </w:p>
        </w:tc>
        <w:tc>
          <w:tcPr>
            <w:tcW w:w="5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7"/>
                <w:shd w:fill="auto" w:val="clear"/>
              </w:rPr>
              <w:t xml:space="preserve">1,9</w:t>
            </w:r>
          </w:p>
        </w:tc>
        <w:tc>
          <w:tcPr>
            <w:tcW w:w="7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7"/>
                <w:shd w:fill="auto" w:val="clear"/>
              </w:rPr>
              <w:t xml:space="preserve">6,7</w:t>
            </w:r>
          </w:p>
        </w:tc>
        <w:tc>
          <w:tcPr>
            <w:tcW w:w="7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7"/>
                <w:shd w:fill="auto" w:val="clear"/>
              </w:rPr>
              <w:t xml:space="preserve">11,5</w:t>
            </w:r>
          </w:p>
        </w:tc>
        <w:tc>
          <w:tcPr>
            <w:tcW w:w="5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7"/>
                <w:shd w:fill="auto" w:val="clear"/>
              </w:rPr>
              <w:t xml:space="preserve">16,1</w:t>
            </w:r>
          </w:p>
        </w:tc>
        <w:tc>
          <w:tcPr>
            <w:tcW w:w="5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7"/>
                <w:shd w:fill="auto" w:val="clear"/>
              </w:rPr>
              <w:t xml:space="preserve">19,1</w:t>
            </w:r>
          </w:p>
        </w:tc>
        <w:tc>
          <w:tcPr>
            <w:tcW w:w="5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7"/>
                <w:shd w:fill="auto" w:val="clear"/>
              </w:rPr>
              <w:t xml:space="preserve">21,2</w:t>
            </w:r>
          </w:p>
        </w:tc>
        <w:tc>
          <w:tcPr>
            <w:tcW w:w="5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7"/>
                <w:shd w:fill="auto" w:val="clear"/>
              </w:rPr>
              <w:t xml:space="preserve">20,5</w:t>
            </w:r>
          </w:p>
        </w:tc>
        <w:tc>
          <w:tcPr>
            <w:tcW w:w="5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7"/>
                <w:shd w:fill="auto" w:val="clear"/>
              </w:rPr>
              <w:t xml:space="preserve">16,6</w:t>
            </w:r>
          </w:p>
        </w:tc>
        <w:tc>
          <w:tcPr>
            <w:tcW w:w="5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7"/>
                <w:shd w:fill="auto" w:val="clear"/>
              </w:rPr>
              <w:t xml:space="preserve">11,3</w:t>
            </w:r>
          </w:p>
        </w:tc>
        <w:tc>
          <w:tcPr>
            <w:tcW w:w="45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7"/>
                <w:shd w:fill="auto" w:val="clear"/>
              </w:rPr>
              <w:t xml:space="preserve">5,8</w:t>
            </w:r>
          </w:p>
        </w:tc>
        <w:tc>
          <w:tcPr>
            <w:tcW w:w="5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7"/>
                <w:shd w:fill="auto" w:val="clear"/>
              </w:rPr>
              <w:t xml:space="preserve">2</w:t>
            </w:r>
          </w:p>
        </w:tc>
        <w:tc>
          <w:tcPr>
            <w:tcW w:w="101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7"/>
                <w:shd w:fill="auto" w:val="clear"/>
              </w:rPr>
              <w:t xml:space="preserve">11,1</w:t>
            </w:r>
          </w:p>
        </w:tc>
      </w:tr>
      <w:tr>
        <w:trPr>
          <w:trHeight w:val="1" w:hRule="atLeast"/>
          <w:jc w:val="left"/>
        </w:trPr>
        <w:tc>
          <w:tcPr>
            <w:tcW w:w="13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7"/>
                <w:shd w:fill="auto" w:val="clear"/>
              </w:rPr>
              <w:t xml:space="preserve">2001-2018.</w:t>
            </w:r>
          </w:p>
        </w:tc>
        <w:tc>
          <w:tcPr>
            <w:tcW w:w="5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7"/>
                <w:shd w:fill="auto" w:val="clear"/>
              </w:rPr>
              <w:t xml:space="preserve">1,1</w:t>
            </w:r>
          </w:p>
        </w:tc>
        <w:tc>
          <w:tcPr>
            <w:tcW w:w="5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7"/>
                <w:shd w:fill="auto" w:val="clear"/>
              </w:rPr>
              <w:t xml:space="preserve">2,8</w:t>
            </w:r>
          </w:p>
        </w:tc>
        <w:tc>
          <w:tcPr>
            <w:tcW w:w="7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7"/>
                <w:shd w:fill="auto" w:val="clear"/>
              </w:rPr>
              <w:t xml:space="preserve">7,4</w:t>
            </w:r>
          </w:p>
        </w:tc>
        <w:tc>
          <w:tcPr>
            <w:tcW w:w="7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7"/>
                <w:shd w:fill="auto" w:val="clear"/>
              </w:rPr>
              <w:t xml:space="preserve">12,4</w:t>
            </w:r>
          </w:p>
        </w:tc>
        <w:tc>
          <w:tcPr>
            <w:tcW w:w="5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7"/>
                <w:shd w:fill="auto" w:val="clear"/>
              </w:rPr>
              <w:t xml:space="preserve">16,7</w:t>
            </w:r>
          </w:p>
        </w:tc>
        <w:tc>
          <w:tcPr>
            <w:tcW w:w="5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7"/>
                <w:shd w:fill="auto" w:val="clear"/>
              </w:rPr>
              <w:t xml:space="preserve">20,7</w:t>
            </w:r>
          </w:p>
        </w:tc>
        <w:tc>
          <w:tcPr>
            <w:tcW w:w="5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7"/>
                <w:shd w:fill="auto" w:val="clear"/>
              </w:rPr>
              <w:t xml:space="preserve">21,9</w:t>
            </w:r>
          </w:p>
        </w:tc>
        <w:tc>
          <w:tcPr>
            <w:tcW w:w="5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7"/>
                <w:shd w:fill="auto" w:val="clear"/>
              </w:rPr>
              <w:t xml:space="preserve">21,9</w:t>
            </w:r>
          </w:p>
        </w:tc>
        <w:tc>
          <w:tcPr>
            <w:tcW w:w="5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7"/>
                <w:shd w:fill="auto" w:val="clear"/>
              </w:rPr>
              <w:t xml:space="preserve">16,6</w:t>
            </w:r>
          </w:p>
        </w:tc>
        <w:tc>
          <w:tcPr>
            <w:tcW w:w="5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7"/>
                <w:shd w:fill="auto" w:val="clear"/>
              </w:rPr>
              <w:t xml:space="preserve">12</w:t>
            </w:r>
          </w:p>
        </w:tc>
        <w:tc>
          <w:tcPr>
            <w:tcW w:w="45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7"/>
                <w:shd w:fill="auto" w:val="clear"/>
              </w:rPr>
              <w:t xml:space="preserve">7,4</w:t>
            </w:r>
          </w:p>
        </w:tc>
        <w:tc>
          <w:tcPr>
            <w:tcW w:w="5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7"/>
                <w:shd w:fill="auto" w:val="clear"/>
              </w:rPr>
              <w:t xml:space="preserve">2,4</w:t>
            </w:r>
          </w:p>
        </w:tc>
        <w:tc>
          <w:tcPr>
            <w:tcW w:w="101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7"/>
                <w:shd w:fill="auto" w:val="clear"/>
              </w:rPr>
              <w:t xml:space="preserve">11,9</w:t>
            </w:r>
          </w:p>
        </w:tc>
      </w:tr>
    </w:tbl>
    <w:p>
      <w:pPr>
        <w:suppressAutoHyphens w:val="true"/>
        <w:spacing w:before="60" w:after="120" w:line="259"/>
        <w:ind w:right="0" w:left="0" w:firstLine="0"/>
        <w:jc w:val="center"/>
        <w:rPr>
          <w:rFonts w:ascii="Calibri" w:hAnsi="Calibri" w:cs="Calibri" w:eastAsia="Calibri"/>
          <w:i/>
          <w:color w:val="auto"/>
          <w:spacing w:val="-3"/>
          <w:position w:val="0"/>
          <w:sz w:val="20"/>
          <w:shd w:fill="auto" w:val="clear"/>
        </w:rPr>
      </w:pPr>
      <w:r>
        <w:rPr>
          <w:rFonts w:ascii="Calibri" w:hAnsi="Calibri" w:cs="Calibri" w:eastAsia="Calibri"/>
          <w:i/>
          <w:color w:val="auto"/>
          <w:spacing w:val="-3"/>
          <w:position w:val="0"/>
          <w:sz w:val="18"/>
          <w:shd w:fill="auto" w:val="clear"/>
        </w:rPr>
        <w:t xml:space="preserve">Tabela 61</w:t>
      </w:r>
      <w:r>
        <w:rPr>
          <w:rFonts w:ascii="Calibri" w:hAnsi="Calibri" w:cs="Calibri" w:eastAsia="Calibri"/>
          <w:i/>
          <w:color w:val="auto"/>
          <w:spacing w:val="0"/>
          <w:position w:val="0"/>
          <w:sz w:val="18"/>
          <w:shd w:fill="auto" w:val="clear"/>
        </w:rPr>
        <w:t xml:space="preserve">: Srednje mjese</w:t>
      </w:r>
      <w:r>
        <w:rPr>
          <w:rFonts w:ascii="Calibri" w:hAnsi="Calibri" w:cs="Calibri" w:eastAsia="Calibri"/>
          <w:i/>
          <w:color w:val="auto"/>
          <w:spacing w:val="0"/>
          <w:position w:val="0"/>
          <w:sz w:val="18"/>
          <w:shd w:fill="auto" w:val="clear"/>
        </w:rPr>
        <w:t xml:space="preserve">čne i godišnje temperature zraka (</w:t>
      </w:r>
      <w:r>
        <w:rPr>
          <w:rFonts w:ascii="Calibri" w:hAnsi="Calibri" w:cs="Calibri" w:eastAsia="Calibri"/>
          <w:i/>
          <w:color w:val="auto"/>
          <w:spacing w:val="0"/>
          <w:position w:val="0"/>
          <w:sz w:val="18"/>
          <w:shd w:fill="auto" w:val="clear"/>
          <w:vertAlign w:val="superscript"/>
        </w:rPr>
        <w:t xml:space="preserve">o</w:t>
      </w:r>
      <w:r>
        <w:rPr>
          <w:rFonts w:ascii="Calibri" w:hAnsi="Calibri" w:cs="Calibri" w:eastAsia="Calibri"/>
          <w:i/>
          <w:color w:val="auto"/>
          <w:spacing w:val="0"/>
          <w:position w:val="0"/>
          <w:sz w:val="18"/>
          <w:shd w:fill="auto" w:val="clear"/>
        </w:rPr>
        <w:t xml:space="preserve">C</w:t>
      </w:r>
      <w:r>
        <w:rPr>
          <w:rFonts w:ascii="Calibri" w:hAnsi="Calibri" w:cs="Calibri" w:eastAsia="Calibri"/>
          <w:i/>
          <w:color w:val="auto"/>
          <w:spacing w:val="0"/>
          <w:position w:val="0"/>
          <w:sz w:val="18"/>
          <w:shd w:fill="auto" w:val="clear"/>
          <w:vertAlign w:val="superscript"/>
        </w:rPr>
        <w:t xml:space="preserve"> </w:t>
      </w:r>
      <w:r>
        <w:rPr>
          <w:rFonts w:ascii="Calibri" w:hAnsi="Calibri" w:cs="Calibri" w:eastAsia="Calibri"/>
          <w:i/>
          <w:color w:val="auto"/>
          <w:spacing w:val="0"/>
          <w:position w:val="0"/>
          <w:sz w:val="18"/>
          <w:shd w:fill="auto" w:val="clear"/>
        </w:rPr>
        <w:t xml:space="preserve">) na području općine Doboj Istok</w:t>
      </w:r>
    </w:p>
    <w:p>
      <w:pPr>
        <w:spacing w:before="60" w:after="120" w:line="240"/>
        <w:ind w:right="0" w:left="0" w:firstLine="0"/>
        <w:jc w:val="both"/>
        <w:rPr>
          <w:rFonts w:ascii="Calibri" w:hAnsi="Calibri" w:cs="Calibri" w:eastAsia="Calibri"/>
          <w:color w:val="auto"/>
          <w:spacing w:val="-3"/>
          <w:position w:val="0"/>
          <w:sz w:val="20"/>
          <w:shd w:fill="auto" w:val="clear"/>
        </w:rPr>
      </w:pPr>
      <w:r>
        <w:rPr>
          <w:rFonts w:ascii="Calibri" w:hAnsi="Calibri" w:cs="Calibri" w:eastAsia="Calibri"/>
          <w:color w:val="auto"/>
          <w:spacing w:val="0"/>
          <w:position w:val="0"/>
          <w:sz w:val="20"/>
          <w:shd w:fill="auto" w:val="clear"/>
        </w:rPr>
        <w:t xml:space="preserve">Srednja godišnja temperatura za Doboj Istok za period 1981-2010. iznosi 11,1</w:t>
      </w:r>
      <w:r>
        <w:rPr>
          <w:rFonts w:ascii="Calibri" w:hAnsi="Calibri" w:cs="Calibri" w:eastAsia="Calibri"/>
          <w:color w:val="auto"/>
          <w:spacing w:val="0"/>
          <w:position w:val="0"/>
          <w:sz w:val="20"/>
          <w:shd w:fill="auto" w:val="clear"/>
          <w:vertAlign w:val="superscript"/>
        </w:rPr>
        <w:t xml:space="preserve">o</w:t>
      </w:r>
      <w:r>
        <w:rPr>
          <w:rFonts w:ascii="Calibri" w:hAnsi="Calibri" w:cs="Calibri" w:eastAsia="Calibri"/>
          <w:color w:val="auto"/>
          <w:spacing w:val="0"/>
          <w:position w:val="0"/>
          <w:sz w:val="20"/>
          <w:shd w:fill="auto" w:val="clear"/>
        </w:rPr>
        <w:t xml:space="preserve">C. Najhladniji mjesec je januar sa srednjom temperaturom 0,2</w:t>
      </w:r>
      <w:r>
        <w:rPr>
          <w:rFonts w:ascii="Calibri" w:hAnsi="Calibri" w:cs="Calibri" w:eastAsia="Calibri"/>
          <w:color w:val="auto"/>
          <w:spacing w:val="0"/>
          <w:position w:val="0"/>
          <w:sz w:val="20"/>
          <w:shd w:fill="auto" w:val="clear"/>
          <w:vertAlign w:val="superscript"/>
        </w:rPr>
        <w:t xml:space="preserve">o</w:t>
      </w:r>
      <w:r>
        <w:rPr>
          <w:rFonts w:ascii="Calibri" w:hAnsi="Calibri" w:cs="Calibri" w:eastAsia="Calibri"/>
          <w:color w:val="auto"/>
          <w:spacing w:val="0"/>
          <w:position w:val="0"/>
          <w:sz w:val="20"/>
          <w:shd w:fill="auto" w:val="clear"/>
        </w:rPr>
        <w:t xml:space="preserve">C, a najtopliji juli sa srednjom temperaturom 21,2</w:t>
      </w:r>
      <w:r>
        <w:rPr>
          <w:rFonts w:ascii="Calibri" w:hAnsi="Calibri" w:cs="Calibri" w:eastAsia="Calibri"/>
          <w:color w:val="auto"/>
          <w:spacing w:val="0"/>
          <w:position w:val="0"/>
          <w:sz w:val="20"/>
          <w:shd w:fill="auto" w:val="clear"/>
          <w:vertAlign w:val="superscript"/>
        </w:rPr>
        <w:t xml:space="preserve">o</w:t>
      </w:r>
      <w:r>
        <w:rPr>
          <w:rFonts w:ascii="Calibri" w:hAnsi="Calibri" w:cs="Calibri" w:eastAsia="Calibri"/>
          <w:color w:val="auto"/>
          <w:spacing w:val="0"/>
          <w:position w:val="0"/>
          <w:sz w:val="20"/>
          <w:shd w:fill="auto" w:val="clear"/>
        </w:rPr>
        <w:t xml:space="preserve">C, tako da godišnje kolebanje srednje temperature iznosi preko 20,0</w:t>
      </w:r>
      <w:r>
        <w:rPr>
          <w:rFonts w:ascii="Calibri" w:hAnsi="Calibri" w:cs="Calibri" w:eastAsia="Calibri"/>
          <w:color w:val="auto"/>
          <w:spacing w:val="0"/>
          <w:position w:val="0"/>
          <w:sz w:val="20"/>
          <w:shd w:fill="auto" w:val="clear"/>
          <w:vertAlign w:val="superscript"/>
        </w:rPr>
        <w:t xml:space="preserve">o</w:t>
      </w:r>
      <w:r>
        <w:rPr>
          <w:rFonts w:ascii="Calibri" w:hAnsi="Calibri" w:cs="Calibri" w:eastAsia="Calibri"/>
          <w:color w:val="auto"/>
          <w:spacing w:val="0"/>
          <w:position w:val="0"/>
          <w:sz w:val="20"/>
          <w:shd w:fill="auto" w:val="clear"/>
        </w:rPr>
        <w:t xml:space="preserve">C što klimi ovog podru</w:t>
      </w:r>
      <w:r>
        <w:rPr>
          <w:rFonts w:ascii="Calibri" w:hAnsi="Calibri" w:cs="Calibri" w:eastAsia="Calibri"/>
          <w:color w:val="auto"/>
          <w:spacing w:val="0"/>
          <w:position w:val="0"/>
          <w:sz w:val="20"/>
          <w:shd w:fill="auto" w:val="clear"/>
        </w:rPr>
        <w:t xml:space="preserve">čja daje umjereno kontinentalno obilježje. Iz tabele je evidentno da je u periodu 2001-2018 n</w:t>
      </w:r>
      <w:r>
        <w:rPr>
          <w:rFonts w:ascii="Calibri" w:hAnsi="Calibri" w:cs="Calibri" w:eastAsia="Calibri"/>
          <w:color w:val="auto"/>
          <w:spacing w:val="-3"/>
          <w:position w:val="0"/>
          <w:sz w:val="20"/>
          <w:shd w:fill="auto" w:val="clear"/>
        </w:rPr>
        <w:t xml:space="preserve">a području općine Doboj Istok došlo do povećanja srednje godišnje temperature u odnosu na period 1981-2010, jer srednja godišnja temperatura zraka za ovaj period iznosi 11,9°C. Na narednom dijagramu su predstavljene promjene temperatura za posmatrane periode prema mjesecima.</w:t>
      </w:r>
    </w:p>
    <w:p>
      <w:pPr>
        <w:suppressAutoHyphens w:val="true"/>
        <w:spacing w:before="0" w:after="0" w:line="240"/>
        <w:ind w:right="0" w:left="0" w:firstLine="0"/>
        <w:jc w:val="both"/>
        <w:rPr>
          <w:rFonts w:ascii="Calibri" w:hAnsi="Calibri" w:cs="Calibri" w:eastAsia="Calibri"/>
          <w:color w:val="auto"/>
          <w:spacing w:val="-3"/>
          <w:position w:val="0"/>
          <w:sz w:val="20"/>
          <w:shd w:fill="auto" w:val="clear"/>
        </w:rPr>
      </w:pPr>
    </w:p>
    <w:p>
      <w:pPr>
        <w:spacing w:before="60" w:after="120" w:line="240"/>
        <w:ind w:right="0" w:left="0" w:firstLine="0"/>
        <w:jc w:val="center"/>
        <w:rPr>
          <w:rFonts w:ascii="Calibri" w:hAnsi="Calibri" w:cs="Calibri" w:eastAsia="Calibri"/>
          <w:i/>
          <w:color w:val="auto"/>
          <w:spacing w:val="0"/>
          <w:position w:val="0"/>
          <w:sz w:val="18"/>
          <w:shd w:fill="auto" w:val="clear"/>
        </w:rPr>
      </w:pPr>
      <w:r>
        <w:rPr>
          <w:rFonts w:ascii="Calibri" w:hAnsi="Calibri" w:cs="Calibri" w:eastAsia="Calibri"/>
          <w:i/>
          <w:color w:val="auto"/>
          <w:spacing w:val="0"/>
          <w:position w:val="0"/>
          <w:sz w:val="18"/>
          <w:shd w:fill="auto" w:val="clear"/>
        </w:rPr>
        <w:t xml:space="preserve">Dijagram 62</w:t>
      </w:r>
      <w:r>
        <w:rPr>
          <w:rFonts w:ascii="Calibri" w:hAnsi="Calibri" w:cs="Calibri" w:eastAsia="Calibri"/>
          <w:b/>
          <w:i/>
          <w:color w:val="auto"/>
          <w:spacing w:val="0"/>
          <w:position w:val="0"/>
          <w:sz w:val="18"/>
          <w:shd w:fill="auto" w:val="clear"/>
        </w:rPr>
        <w:t xml:space="preserve">: </w:t>
      </w:r>
      <w:r>
        <w:rPr>
          <w:rFonts w:ascii="Calibri" w:hAnsi="Calibri" w:cs="Calibri" w:eastAsia="Calibri"/>
          <w:i/>
          <w:color w:val="auto"/>
          <w:spacing w:val="0"/>
          <w:position w:val="0"/>
          <w:sz w:val="18"/>
          <w:shd w:fill="auto" w:val="clear"/>
        </w:rPr>
        <w:t xml:space="preserve">Pore</w:t>
      </w:r>
      <w:r>
        <w:rPr>
          <w:rFonts w:ascii="Calibri" w:hAnsi="Calibri" w:cs="Calibri" w:eastAsia="Calibri"/>
          <w:i/>
          <w:color w:val="auto"/>
          <w:spacing w:val="0"/>
          <w:position w:val="0"/>
          <w:sz w:val="18"/>
          <w:shd w:fill="auto" w:val="clear"/>
        </w:rPr>
        <w:t xml:space="preserve">đenje srednje temperature za područje općine Doboj Istok za periode 1981-2010 i 2001-2018</w:t>
      </w:r>
    </w:p>
    <w:p>
      <w:pPr>
        <w:spacing w:before="10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Izvještaji Federalnog hidrometeorološkog zavoda pokazuju da je u periodu 2001-2018 najve</w:t>
      </w:r>
      <w:r>
        <w:rPr>
          <w:rFonts w:ascii="Calibri" w:hAnsi="Calibri" w:cs="Calibri" w:eastAsia="Calibri"/>
          <w:color w:val="auto"/>
          <w:spacing w:val="0"/>
          <w:position w:val="0"/>
          <w:sz w:val="20"/>
          <w:shd w:fill="auto" w:val="clear"/>
        </w:rPr>
        <w:t xml:space="preserve">će povećanje srednje mjesečne temperature zabilježeno tokom ljetnih mjeseci (prosječne temperature u mjesecima juni i avgust su više za 1,6 odnosno 1,4°C u odnosu na period 1981-2010) te u novembru, u kojem se prosječna temperatura povećala za 1,6°C u odnosu na period 1981-2010. Povećanje temperature tokom ovih mjeseci doprinosi pojavi toplotnih valova i suša na teritoriji općine Doboj Istok. Posebno zabrinjava činjenica da je povećanje srednje temperature na godišnjem nivou intenzivnije prethodnih nekoliko godina, pa je tako srednja godišnja temperatura za 2016. i 2017. godinu iznosila 12,2°C, u 2018. godini čak 12,6°C, dok je u 2019. godini srednja godišnja temperatura bila 12,5°C. Na narednom dijagramu predstavljene su srednje godišnje temperature za posljednje 4 godine, preuzete sa najbliže meteorološke stanice Doboj.</w:t>
      </w:r>
    </w:p>
    <w:p>
      <w:pPr>
        <w:spacing w:before="100" w:after="0" w:line="240"/>
        <w:ind w:right="0" w:left="0" w:firstLine="0"/>
        <w:jc w:val="center"/>
        <w:rPr>
          <w:rFonts w:ascii="Calibri" w:hAnsi="Calibri" w:cs="Calibri" w:eastAsia="Calibri"/>
          <w:color w:val="auto"/>
          <w:spacing w:val="0"/>
          <w:position w:val="0"/>
          <w:sz w:val="20"/>
          <w:shd w:fill="FFFF00" w:val="clear"/>
        </w:rPr>
      </w:pPr>
    </w:p>
    <w:p>
      <w:pPr>
        <w:spacing w:before="60" w:after="200" w:line="240"/>
        <w:ind w:right="0" w:left="0" w:firstLine="0"/>
        <w:jc w:val="center"/>
        <w:rPr>
          <w:rFonts w:ascii="Calibri" w:hAnsi="Calibri" w:cs="Calibri" w:eastAsia="Calibri"/>
          <w:i/>
          <w:color w:val="auto"/>
          <w:spacing w:val="0"/>
          <w:position w:val="0"/>
          <w:sz w:val="18"/>
          <w:shd w:fill="FFFF00" w:val="clear"/>
        </w:rPr>
      </w:pPr>
      <w:r>
        <w:rPr>
          <w:rFonts w:ascii="Calibri" w:hAnsi="Calibri" w:cs="Calibri" w:eastAsia="Calibri"/>
          <w:i/>
          <w:color w:val="auto"/>
          <w:spacing w:val="0"/>
          <w:position w:val="0"/>
          <w:sz w:val="18"/>
          <w:shd w:fill="auto" w:val="clear"/>
        </w:rPr>
        <w:t xml:space="preserve">Dijagram 63. Srednje godišnje temperature na podru</w:t>
      </w:r>
      <w:r>
        <w:rPr>
          <w:rFonts w:ascii="Calibri" w:hAnsi="Calibri" w:cs="Calibri" w:eastAsia="Calibri"/>
          <w:i/>
          <w:color w:val="auto"/>
          <w:spacing w:val="0"/>
          <w:position w:val="0"/>
          <w:sz w:val="18"/>
          <w:shd w:fill="auto" w:val="clear"/>
        </w:rPr>
        <w:t xml:space="preserve">čju općine Doboj istok u periodu 2016-2019</w:t>
      </w:r>
    </w:p>
    <w:p>
      <w:pPr>
        <w:spacing w:before="0" w:after="0" w:line="240"/>
        <w:ind w:right="0" w:left="0" w:firstLine="0"/>
        <w:jc w:val="both"/>
        <w:rPr>
          <w:rFonts w:ascii="Calibri" w:hAnsi="Calibri" w:cs="Calibri" w:eastAsia="Calibri"/>
          <w:color w:val="auto"/>
          <w:spacing w:val="0"/>
          <w:position w:val="0"/>
          <w:sz w:val="20"/>
          <w:shd w:fill="FFFF00" w:val="clear"/>
        </w:rPr>
      </w:pPr>
      <w:r>
        <w:rPr>
          <w:rFonts w:ascii="Calibri" w:hAnsi="Calibri" w:cs="Calibri" w:eastAsia="Calibri"/>
          <w:color w:val="auto"/>
          <w:spacing w:val="0"/>
          <w:position w:val="0"/>
          <w:sz w:val="20"/>
          <w:shd w:fill="auto" w:val="clear"/>
        </w:rPr>
        <w:t xml:space="preserve">Na osnovu podataka Federalnog hidrometeoroloških zavoda, te Prvog i Drugog nacionalnog izvještaja BiH o klimatskim promjenama može se prognozirati da </w:t>
      </w:r>
      <w:r>
        <w:rPr>
          <w:rFonts w:ascii="Calibri" w:hAnsi="Calibri" w:cs="Calibri" w:eastAsia="Calibri"/>
          <w:color w:val="auto"/>
          <w:spacing w:val="0"/>
          <w:position w:val="0"/>
          <w:sz w:val="20"/>
          <w:shd w:fill="auto" w:val="clear"/>
        </w:rPr>
        <w:t xml:space="preserve">će temperature zraka nastaviti sa rastom i da će taj rast biti sve intenzivniji. Porast temperature uzrokuje pomjeranje granica temperaturnog i padavinskog režima, pa se predviđa porast temperaturnih ekstrema koji mogu imati značajan negativan uticaj na privredu i društvo.</w:t>
      </w:r>
    </w:p>
    <w:p>
      <w:pPr>
        <w:keepNext w:val="true"/>
        <w:keepLines w:val="true"/>
        <w:numPr>
          <w:ilvl w:val="0"/>
          <w:numId w:val="3255"/>
        </w:numPr>
        <w:spacing w:before="120" w:after="0" w:line="240"/>
        <w:ind w:right="0" w:left="862" w:hanging="862"/>
        <w:jc w:val="both"/>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Dosadašnje promjene u koli</w:t>
      </w:r>
      <w:r>
        <w:rPr>
          <w:rFonts w:ascii="Calibri" w:hAnsi="Calibri" w:cs="Calibri" w:eastAsia="Calibri"/>
          <w:b/>
          <w:color w:val="auto"/>
          <w:spacing w:val="0"/>
          <w:position w:val="0"/>
          <w:sz w:val="22"/>
          <w:shd w:fill="auto" w:val="clear"/>
        </w:rPr>
        <w:t xml:space="preserve">čini padavina na području općine Doboj Istok </w:t>
      </w:r>
    </w:p>
    <w:p>
      <w:pPr>
        <w:spacing w:before="120" w:after="12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Teritorija op</w:t>
      </w:r>
      <w:r>
        <w:rPr>
          <w:rFonts w:ascii="Calibri" w:hAnsi="Calibri" w:cs="Calibri" w:eastAsia="Calibri"/>
          <w:color w:val="auto"/>
          <w:spacing w:val="0"/>
          <w:position w:val="0"/>
          <w:sz w:val="20"/>
          <w:shd w:fill="auto" w:val="clear"/>
        </w:rPr>
        <w:t xml:space="preserve">ćine Doboj Istok ima odlike kontinentalnog pluviometrijskog režima kojeg karakterišu obilne padavine, uz glavne maksimume od petog do sedmog mjeseca. Količina padavina u zimskom periodu je manja, a apsolutni minimum se javlja u februaru. Padavine u zimskom periodu su uglavnom u obliku snijega. Prema podacima Federalnog hidrometeorološkog zavoda, prosječna godišnja količina padavina na području općine Doboj Istok za period 1981-2010 iznosila je 931,9 mm, dok se u periodu 1989-2018 povećala za 3,4% te je iznosila 963,2 mm. Poređenje prosječnih mjesečnih količina padavina na području općine Doboj Istok za periode 1981-2010 i 1989-2018  prikazano je na narednom dijagramu.</w:t>
      </w:r>
    </w:p>
    <w:p>
      <w:pPr>
        <w:spacing w:before="0" w:after="0" w:line="240"/>
        <w:ind w:right="0" w:left="0" w:firstLine="0"/>
        <w:jc w:val="center"/>
        <w:rPr>
          <w:rFonts w:ascii="Calibri" w:hAnsi="Calibri" w:cs="Calibri" w:eastAsia="Calibri"/>
          <w:color w:val="auto"/>
          <w:spacing w:val="0"/>
          <w:position w:val="0"/>
          <w:sz w:val="18"/>
          <w:shd w:fill="auto" w:val="clear"/>
        </w:rPr>
      </w:pPr>
    </w:p>
    <w:p>
      <w:pPr>
        <w:spacing w:before="60" w:after="160" w:line="240"/>
        <w:ind w:right="0" w:left="0" w:firstLine="0"/>
        <w:jc w:val="center"/>
        <w:rPr>
          <w:rFonts w:ascii="Calibri" w:hAnsi="Calibri" w:cs="Calibri" w:eastAsia="Calibri"/>
          <w:color w:val="auto"/>
          <w:spacing w:val="0"/>
          <w:position w:val="0"/>
          <w:sz w:val="18"/>
          <w:shd w:fill="FFFF00" w:val="clear"/>
        </w:rPr>
      </w:pPr>
      <w:r>
        <w:rPr>
          <w:rFonts w:ascii="Calibri" w:hAnsi="Calibri" w:cs="Calibri" w:eastAsia="Calibri"/>
          <w:color w:val="auto"/>
          <w:spacing w:val="0"/>
          <w:position w:val="0"/>
          <w:sz w:val="18"/>
          <w:shd w:fill="auto" w:val="clear"/>
        </w:rPr>
        <w:t xml:space="preserve">Dijagram 64: Pore</w:t>
      </w:r>
      <w:r>
        <w:rPr>
          <w:rFonts w:ascii="Calibri" w:hAnsi="Calibri" w:cs="Calibri" w:eastAsia="Calibri"/>
          <w:color w:val="auto"/>
          <w:spacing w:val="0"/>
          <w:position w:val="0"/>
          <w:sz w:val="18"/>
          <w:shd w:fill="auto" w:val="clear"/>
        </w:rPr>
        <w:t xml:space="preserve">đenje količine padavina za područje općine Doboj Istok za periode 1981-2010 i 1989.-2018</w:t>
      </w:r>
    </w:p>
    <w:p>
      <w:pPr>
        <w:tabs>
          <w:tab w:val="left" w:pos="2258" w:leader="none"/>
        </w:tabs>
        <w:spacing w:before="120" w:after="12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Najzna</w:t>
      </w:r>
      <w:r>
        <w:rPr>
          <w:rFonts w:ascii="Calibri" w:hAnsi="Calibri" w:cs="Calibri" w:eastAsia="Calibri"/>
          <w:color w:val="auto"/>
          <w:spacing w:val="0"/>
          <w:position w:val="0"/>
          <w:sz w:val="20"/>
          <w:shd w:fill="auto" w:val="clear"/>
        </w:rPr>
        <w:t xml:space="preserve">čajnija zabilježena promjena u periodu e odnose se na povećanje prosječne mjesečne količine padavina u mjesecu maju, za 12,3 mm  što predstavlja rast od 13% u  odnosu na period 1981-2010. godine, te u septembru (u kojem je zabilježen rast prosječne mjesečne količine padavina od  8,3 mm ili 11%) i februaru (u kojem je zabilježen rast prosječne mjesečne količine padavina od 7,6 mm odnosno 14% u odnosu na pomenuti period). Na narednom dijagramu prikazane su promjene prosječnih mjesečnih  količina padavina.</w:t>
      </w:r>
    </w:p>
    <w:p>
      <w:pPr>
        <w:spacing w:before="0" w:after="0" w:line="240"/>
        <w:ind w:right="0" w:left="0" w:firstLine="0"/>
        <w:jc w:val="center"/>
        <w:rPr>
          <w:rFonts w:ascii="Calibri" w:hAnsi="Calibri" w:cs="Calibri" w:eastAsia="Calibri"/>
          <w:i/>
          <w:color w:val="auto"/>
          <w:spacing w:val="0"/>
          <w:position w:val="0"/>
          <w:sz w:val="20"/>
          <w:shd w:fill="auto" w:val="clear"/>
        </w:rPr>
      </w:pPr>
    </w:p>
    <w:p>
      <w:pPr>
        <w:spacing w:before="60" w:after="160" w:line="240"/>
        <w:ind w:right="0" w:left="0" w:firstLine="0"/>
        <w:jc w:val="center"/>
        <w:rPr>
          <w:rFonts w:ascii="Calibri" w:hAnsi="Calibri" w:cs="Calibri" w:eastAsia="Calibri"/>
          <w:color w:val="auto"/>
          <w:spacing w:val="0"/>
          <w:position w:val="0"/>
          <w:sz w:val="18"/>
          <w:shd w:fill="FFFF00" w:val="clear"/>
        </w:rPr>
      </w:pPr>
      <w:r>
        <w:rPr>
          <w:rFonts w:ascii="Calibri" w:hAnsi="Calibri" w:cs="Calibri" w:eastAsia="Calibri"/>
          <w:color w:val="auto"/>
          <w:spacing w:val="0"/>
          <w:position w:val="0"/>
          <w:sz w:val="18"/>
          <w:shd w:fill="auto" w:val="clear"/>
        </w:rPr>
        <w:t xml:space="preserve">Dijagram 65: Razlika prosje</w:t>
      </w:r>
      <w:r>
        <w:rPr>
          <w:rFonts w:ascii="Calibri" w:hAnsi="Calibri" w:cs="Calibri" w:eastAsia="Calibri"/>
          <w:color w:val="auto"/>
          <w:spacing w:val="0"/>
          <w:position w:val="0"/>
          <w:sz w:val="18"/>
          <w:shd w:fill="auto" w:val="clear"/>
        </w:rPr>
        <w:t xml:space="preserve">čnih mjesečnih količina padavina (mm) na području općine Doboj istok u periodima 1981-2010. i 1989-2018 </w:t>
      </w:r>
    </w:p>
    <w:p>
      <w:pPr>
        <w:tabs>
          <w:tab w:val="left" w:pos="2258" w:leader="none"/>
        </w:tabs>
        <w:spacing w:before="12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Nagli porast koli</w:t>
      </w:r>
      <w:r>
        <w:rPr>
          <w:rFonts w:ascii="Calibri" w:hAnsi="Calibri" w:cs="Calibri" w:eastAsia="Calibri"/>
          <w:color w:val="auto"/>
          <w:spacing w:val="0"/>
          <w:position w:val="0"/>
          <w:sz w:val="20"/>
          <w:shd w:fill="auto" w:val="clear"/>
        </w:rPr>
        <w:t xml:space="preserve">čine padavina u kratkom periodu je najčešći uzrok pojave poplava na teritoriji općine Doboj Istok. Obimne padavine u maju i augustu 2014. godine uzrokovale su poplave kojima su bile ugrožene stotine stambenih, poslovnih i javnih objekata. Konačna procijenjena šteta ovih poplava iznosila je 23.618.144 KM. </w:t>
        <w:tab/>
      </w:r>
    </w:p>
    <w:p>
      <w:pPr>
        <w:tabs>
          <w:tab w:val="left" w:pos="2258" w:leader="none"/>
        </w:tabs>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U periodu  od  1981.  godine  do danas primije</w:t>
      </w:r>
      <w:r>
        <w:rPr>
          <w:rFonts w:ascii="Calibri" w:hAnsi="Calibri" w:cs="Calibri" w:eastAsia="Calibri"/>
          <w:color w:val="auto"/>
          <w:spacing w:val="0"/>
          <w:position w:val="0"/>
          <w:sz w:val="20"/>
          <w:shd w:fill="auto" w:val="clear"/>
        </w:rPr>
        <w:t xml:space="preserve">ćena je povećana  klimatska  varijabilnost  tokom  svih  godišnjih doba. Na primjer, uočen je trend brzih promjena iz ekstremno vrelih ili hladnih perioda koji obično traju od 5 do 20 dana, u periode intenzivnih kišnih padavina. Suše su također bile češće i intenzivnije tokom proteklih dvadesetak godina. Od 2000. godine do danas zabilježeno je 5 sušnih godina (2000., 2003., 2007., 2011. i 2012.). Zabilježen je i veći broj gradonosnih padavina i povećana maksimalna brzina vjetra.</w:t>
      </w:r>
    </w:p>
    <w:p>
      <w:pPr>
        <w:keepNext w:val="true"/>
        <w:keepLines w:val="true"/>
        <w:numPr>
          <w:ilvl w:val="0"/>
          <w:numId w:val="3264"/>
        </w:numPr>
        <w:spacing w:before="240" w:after="0" w:line="240"/>
        <w:ind w:right="0" w:left="720" w:hanging="72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Procjene budu</w:t>
      </w:r>
      <w:r>
        <w:rPr>
          <w:rFonts w:ascii="Calibri" w:hAnsi="Calibri" w:cs="Calibri" w:eastAsia="Calibri"/>
          <w:b/>
          <w:color w:val="auto"/>
          <w:spacing w:val="0"/>
          <w:position w:val="0"/>
          <w:sz w:val="24"/>
          <w:shd w:fill="auto" w:val="clear"/>
        </w:rPr>
        <w:t xml:space="preserve">ćih klimatskih promjena na području općine Doboj Istok</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U Bosni i Hercegovini se u budu</w:t>
      </w:r>
      <w:r>
        <w:rPr>
          <w:rFonts w:ascii="Calibri" w:hAnsi="Calibri" w:cs="Calibri" w:eastAsia="Calibri"/>
          <w:color w:val="auto"/>
          <w:spacing w:val="0"/>
          <w:position w:val="0"/>
          <w:sz w:val="20"/>
          <w:shd w:fill="auto" w:val="clear"/>
        </w:rPr>
        <w:t xml:space="preserve">ćnosti mogu očekivati značajne promjene klimatskih uslova, naročito u slučaju scenarija koji ne uključuju odgovarajuće mjere ublažavanja klimatskih promjena. Procjene budućih klimatskih promjena baziraju se na projekcijama emisija stakleničkih gasova koje uzimaju u obzir parametre budućeg demografskog, socijalnog, privrednog i tehnološkog razvoja na globalnom i regionalnom nivou. Ako globalne emisije stakleničkih plinova zadrže zabilježeni trend iz posljednjih nekoliko decenija, klima Bosne i Hercegovine bi u prosjeku mogla postati toplija u odnosu na klimatske uslove iz sredine dvadesetog vijeka, sa nepoželjnim promjenama u intenzitetu i učestalosti ekstremnih padavina i ostalih klimatskih pojava.</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Za procjenu klimatskih promjena odre</w:t>
      </w:r>
      <w:r>
        <w:rPr>
          <w:rFonts w:ascii="Calibri" w:hAnsi="Calibri" w:cs="Calibri" w:eastAsia="Calibri"/>
          <w:color w:val="auto"/>
          <w:spacing w:val="0"/>
          <w:position w:val="0"/>
          <w:sz w:val="20"/>
          <w:shd w:fill="auto" w:val="clear"/>
        </w:rPr>
        <w:t xml:space="preserve">đenih područja koriste se regionalni klimatski modeli (engl. </w:t>
      </w:r>
      <w:r>
        <w:rPr>
          <w:rFonts w:ascii="Calibri" w:hAnsi="Calibri" w:cs="Calibri" w:eastAsia="Calibri"/>
          <w:i/>
          <w:color w:val="auto"/>
          <w:spacing w:val="0"/>
          <w:position w:val="0"/>
          <w:sz w:val="20"/>
          <w:shd w:fill="auto" w:val="clear"/>
        </w:rPr>
        <w:t xml:space="preserve">Regional Climate Model - RCM</w:t>
      </w:r>
      <w:r>
        <w:rPr>
          <w:rFonts w:ascii="Calibri" w:hAnsi="Calibri" w:cs="Calibri" w:eastAsia="Calibri"/>
          <w:color w:val="auto"/>
          <w:spacing w:val="0"/>
          <w:position w:val="0"/>
          <w:sz w:val="20"/>
          <w:shd w:fill="auto" w:val="clear"/>
        </w:rPr>
        <w:t xml:space="preserve">). Ovi modeli su najčešće korišteni alati za regionalizaciju rezultata globalnih klimatskih modela i procjenu promjene regionalnih klimatskih uslova u budućnosti u zavisnosti od različitih scenarija mogućeg povećanja koncentracija stakleničkih gasova. Za prikaz klimatskih uslova u budućnosti za područje općine Doboj Istok korišten je </w:t>
      </w:r>
      <w:r>
        <w:rPr>
          <w:rFonts w:ascii="Calibri" w:hAnsi="Calibri" w:cs="Calibri" w:eastAsia="Calibri"/>
          <w:i/>
          <w:color w:val="auto"/>
          <w:spacing w:val="0"/>
          <w:position w:val="0"/>
          <w:sz w:val="20"/>
          <w:shd w:fill="auto" w:val="clear"/>
        </w:rPr>
        <w:t xml:space="preserve">Klimatski atlas Bosne i Hercegovine</w:t>
      </w:r>
      <w:r>
        <w:rPr>
          <w:rFonts w:ascii="Calibri" w:hAnsi="Calibri" w:cs="Calibri" w:eastAsia="Calibri"/>
          <w:color w:val="auto"/>
          <w:spacing w:val="0"/>
          <w:position w:val="0"/>
          <w:sz w:val="20"/>
          <w:shd w:fill="auto" w:val="clear"/>
        </w:rPr>
        <w:t xml:space="preserve">, odnosno rezultati klimatskog scenarija A1B za teritorij Bosne i Hercegovine kreiranog u okviru regionalnog modela EBU-POM. </w:t>
      </w:r>
    </w:p>
    <w:p>
      <w:pPr>
        <w:keepNext w:val="true"/>
        <w:keepLines w:val="true"/>
        <w:numPr>
          <w:ilvl w:val="0"/>
          <w:numId w:val="3266"/>
        </w:numPr>
        <w:spacing w:before="120" w:after="120" w:line="240"/>
        <w:ind w:right="0" w:left="862" w:hanging="862"/>
        <w:jc w:val="both"/>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Procjena budu</w:t>
      </w:r>
      <w:r>
        <w:rPr>
          <w:rFonts w:ascii="Calibri" w:hAnsi="Calibri" w:cs="Calibri" w:eastAsia="Calibri"/>
          <w:b/>
          <w:color w:val="auto"/>
          <w:spacing w:val="0"/>
          <w:position w:val="0"/>
          <w:sz w:val="22"/>
          <w:shd w:fill="auto" w:val="clear"/>
        </w:rPr>
        <w:t xml:space="preserve">ćeg povećanja srednje godišnje temperature na području općine Doboj Istok</w:t>
      </w:r>
    </w:p>
    <w:p>
      <w:pPr>
        <w:spacing w:before="60" w:after="12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Naredni dijagram prikazuje srednje godišnje temperature za dva vremenska horizonta, 2001-2030. i 2071-2100. za razmatrani scenarij A1B.</w:t>
      </w:r>
    </w:p>
    <w:p>
      <w:pPr>
        <w:spacing w:before="0" w:after="0" w:line="276"/>
        <w:ind w:right="0" w:left="0" w:firstLine="0"/>
        <w:jc w:val="center"/>
        <w:rPr>
          <w:rFonts w:ascii="Calibri" w:hAnsi="Calibri" w:cs="Calibri" w:eastAsia="Calibri"/>
          <w:color w:val="auto"/>
          <w:spacing w:val="0"/>
          <w:position w:val="0"/>
          <w:sz w:val="22"/>
          <w:shd w:fill="FFFF00" w:val="clear"/>
        </w:rPr>
      </w:pPr>
      <w:r>
        <w:object w:dxaOrig="7855" w:dyaOrig="6377">
          <v:rect xmlns:o="urn:schemas-microsoft-com:office:office" xmlns:v="urn:schemas-microsoft-com:vml" id="rectole0000000003" style="width:392.750000pt;height:318.8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60" w:after="200" w:line="276"/>
        <w:ind w:right="0" w:left="0" w:firstLine="0"/>
        <w:jc w:val="center"/>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18"/>
          <w:shd w:fill="auto" w:val="clear"/>
        </w:rPr>
        <w:t xml:space="preserve">Dijagram 66: Srednja godišnja temperatura za period 2001-2030. (lijevo) i za period 2071-2100.  (desno) prema scenariju A1B</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Primjetan je kontinuirani porast temperature na podru</w:t>
      </w:r>
      <w:r>
        <w:rPr>
          <w:rFonts w:ascii="Calibri" w:hAnsi="Calibri" w:cs="Calibri" w:eastAsia="Calibri"/>
          <w:color w:val="auto"/>
          <w:spacing w:val="0"/>
          <w:position w:val="0"/>
          <w:sz w:val="20"/>
          <w:shd w:fill="auto" w:val="clear"/>
        </w:rPr>
        <w:t xml:space="preserve">čju općine Doboj Istok do kraja 21. stoljeća, uz srednju godišnju temperaturu veću od 12°C za period 2001–2030 i veću od 14°C za period 2071–2100.</w:t>
      </w:r>
    </w:p>
    <w:p>
      <w:pPr>
        <w:keepNext w:val="true"/>
        <w:keepLines w:val="true"/>
        <w:numPr>
          <w:ilvl w:val="0"/>
          <w:numId w:val="3271"/>
        </w:numPr>
        <w:spacing w:before="120" w:after="0" w:line="240"/>
        <w:ind w:right="0" w:left="862" w:hanging="862"/>
        <w:jc w:val="both"/>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Procjena budu</w:t>
      </w:r>
      <w:r>
        <w:rPr>
          <w:rFonts w:ascii="Calibri" w:hAnsi="Calibri" w:cs="Calibri" w:eastAsia="Calibri"/>
          <w:b/>
          <w:color w:val="auto"/>
          <w:spacing w:val="0"/>
          <w:position w:val="0"/>
          <w:sz w:val="22"/>
          <w:shd w:fill="auto" w:val="clear"/>
        </w:rPr>
        <w:t xml:space="preserve">ćih promjena u količini padavina na području općine Doboj Istok</w:t>
      </w:r>
    </w:p>
    <w:p>
      <w:pPr>
        <w:spacing w:before="60" w:after="12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Naredni dijagram prikazuje godišnje koli</w:t>
      </w:r>
      <w:r>
        <w:rPr>
          <w:rFonts w:ascii="Calibri" w:hAnsi="Calibri" w:cs="Calibri" w:eastAsia="Calibri"/>
          <w:color w:val="auto"/>
          <w:spacing w:val="0"/>
          <w:position w:val="0"/>
          <w:sz w:val="20"/>
          <w:shd w:fill="auto" w:val="clear"/>
        </w:rPr>
        <w:t xml:space="preserve">čine padavina za dva vremenska horizonta, 2001– 2030. i 2071 -2100. godina za razmatrani scenario A1B. Evidentan je trend smanjenja godišnje količine padavina na području općine Doboj Istok do kraja 21. stoljeća. U najvećem dijelu općine se  u periodu 2001.-2030. godina mogu očekivati godišnje padavine do 1000 l/m</w:t>
      </w:r>
      <w:r>
        <w:rPr>
          <w:rFonts w:ascii="Calibri" w:hAnsi="Calibri" w:cs="Calibri" w:eastAsia="Calibri"/>
          <w:color w:val="auto"/>
          <w:spacing w:val="0"/>
          <w:position w:val="0"/>
          <w:sz w:val="20"/>
          <w:shd w:fill="auto" w:val="clear"/>
          <w:vertAlign w:val="superscript"/>
        </w:rPr>
        <w:t xml:space="preserve">2</w:t>
      </w:r>
      <w:r>
        <w:rPr>
          <w:rFonts w:ascii="Calibri" w:hAnsi="Calibri" w:cs="Calibri" w:eastAsia="Calibri"/>
          <w:color w:val="auto"/>
          <w:spacing w:val="0"/>
          <w:position w:val="0"/>
          <w:sz w:val="20"/>
          <w:shd w:fill="auto" w:val="clear"/>
        </w:rPr>
        <w:t xml:space="preserve">, a u periodu period 2071–2100. padavine od 800 do 900 l/m</w:t>
      </w:r>
      <w:r>
        <w:rPr>
          <w:rFonts w:ascii="Calibri" w:hAnsi="Calibri" w:cs="Calibri" w:eastAsia="Calibri"/>
          <w:color w:val="auto"/>
          <w:spacing w:val="0"/>
          <w:position w:val="0"/>
          <w:sz w:val="20"/>
          <w:shd w:fill="auto" w:val="clear"/>
          <w:vertAlign w:val="superscript"/>
        </w:rPr>
        <w:t xml:space="preserve">2</w:t>
      </w:r>
      <w:r>
        <w:rPr>
          <w:rFonts w:ascii="Calibri" w:hAnsi="Calibri" w:cs="Calibri" w:eastAsia="Calibri"/>
          <w:color w:val="auto"/>
          <w:spacing w:val="0"/>
          <w:position w:val="0"/>
          <w:sz w:val="20"/>
          <w:shd w:fill="auto" w:val="clear"/>
        </w:rPr>
        <w:t xml:space="preserve"> godišnje.</w:t>
      </w:r>
    </w:p>
    <w:p>
      <w:pPr>
        <w:spacing w:before="60" w:after="120" w:line="240"/>
        <w:ind w:right="0" w:left="0" w:firstLine="0"/>
        <w:jc w:val="both"/>
        <w:rPr>
          <w:rFonts w:ascii="Calibri" w:hAnsi="Calibri" w:cs="Calibri" w:eastAsia="Calibri"/>
          <w:color w:val="auto"/>
          <w:spacing w:val="0"/>
          <w:position w:val="0"/>
          <w:sz w:val="20"/>
          <w:shd w:fill="auto" w:val="clear"/>
        </w:rPr>
      </w:pPr>
    </w:p>
    <w:p>
      <w:pPr>
        <w:spacing w:before="60" w:after="120" w:line="240"/>
        <w:ind w:right="0" w:left="0" w:firstLine="0"/>
        <w:jc w:val="both"/>
        <w:rPr>
          <w:rFonts w:ascii="Calibri" w:hAnsi="Calibri" w:cs="Calibri" w:eastAsia="Calibri"/>
          <w:color w:val="auto"/>
          <w:spacing w:val="0"/>
          <w:position w:val="0"/>
          <w:sz w:val="20"/>
          <w:shd w:fill="FFFF00" w:val="clear"/>
        </w:rPr>
      </w:pPr>
      <w:r>
        <w:object w:dxaOrig="8787" w:dyaOrig="7835">
          <v:rect xmlns:o="urn:schemas-microsoft-com:office:office" xmlns:v="urn:schemas-microsoft-com:vml" id="rectole0000000004" style="width:439.350000pt;height:391.7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60" w:after="160" w:line="240"/>
        <w:ind w:right="0" w:left="0" w:firstLine="0"/>
        <w:jc w:val="center"/>
        <w:rPr>
          <w:rFonts w:ascii="Calibri" w:hAnsi="Calibri" w:cs="Calibri" w:eastAsia="Calibri"/>
          <w:i/>
          <w:color w:val="auto"/>
          <w:spacing w:val="0"/>
          <w:position w:val="0"/>
          <w:sz w:val="18"/>
          <w:shd w:fill="auto" w:val="clear"/>
        </w:rPr>
      </w:pPr>
      <w:r>
        <w:rPr>
          <w:rFonts w:ascii="Calibri" w:hAnsi="Calibri" w:cs="Calibri" w:eastAsia="Calibri"/>
          <w:i/>
          <w:color w:val="auto"/>
          <w:spacing w:val="0"/>
          <w:position w:val="0"/>
          <w:sz w:val="18"/>
          <w:shd w:fill="auto" w:val="clear"/>
        </w:rPr>
        <w:t xml:space="preserve">Dijagram 67: Srednja godišnja koli</w:t>
      </w:r>
      <w:r>
        <w:rPr>
          <w:rFonts w:ascii="Calibri" w:hAnsi="Calibri" w:cs="Calibri" w:eastAsia="Calibri"/>
          <w:i/>
          <w:color w:val="auto"/>
          <w:spacing w:val="0"/>
          <w:position w:val="0"/>
          <w:sz w:val="18"/>
          <w:shd w:fill="auto" w:val="clear"/>
        </w:rPr>
        <w:t xml:space="preserve">čina padavina za period 2001-2030. godina (lijevo) i za period 2071-2100.godina  (desno) prema scenariju A1B. </w:t>
      </w:r>
    </w:p>
    <w:p>
      <w:pPr>
        <w:keepNext w:val="true"/>
        <w:keepLines w:val="true"/>
        <w:numPr>
          <w:ilvl w:val="0"/>
          <w:numId w:val="3274"/>
        </w:numPr>
        <w:spacing w:before="240" w:after="0" w:line="240"/>
        <w:ind w:right="0" w:left="578" w:hanging="578"/>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Ocjena opasnosti, izloženosti i kapaciteta op</w:t>
      </w:r>
      <w:r>
        <w:rPr>
          <w:rFonts w:ascii="Calibri" w:hAnsi="Calibri" w:cs="Calibri" w:eastAsia="Calibri"/>
          <w:b/>
          <w:color w:val="auto"/>
          <w:spacing w:val="0"/>
          <w:position w:val="0"/>
          <w:sz w:val="28"/>
          <w:shd w:fill="auto" w:val="clear"/>
        </w:rPr>
        <w:t xml:space="preserve">ćine Doboj Istok za prilagođavanje klimatskim promjenama</w:t>
      </w:r>
    </w:p>
    <w:p>
      <w:pPr>
        <w:keepNext w:val="true"/>
        <w:keepLines w:val="true"/>
        <w:numPr>
          <w:ilvl w:val="0"/>
          <w:numId w:val="3274"/>
        </w:numPr>
        <w:spacing w:before="120" w:after="0" w:line="240"/>
        <w:ind w:right="0" w:left="720" w:hanging="72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Ocjena opasnosti od posljedica klimatskih promjena na podru</w:t>
      </w:r>
      <w:r>
        <w:rPr>
          <w:rFonts w:ascii="Calibri" w:hAnsi="Calibri" w:cs="Calibri" w:eastAsia="Calibri"/>
          <w:b/>
          <w:color w:val="auto"/>
          <w:spacing w:val="0"/>
          <w:position w:val="0"/>
          <w:sz w:val="24"/>
          <w:shd w:fill="auto" w:val="clear"/>
        </w:rPr>
        <w:t xml:space="preserve">čju općine Doboj Istok</w:t>
      </w:r>
    </w:p>
    <w:p>
      <w:pPr>
        <w:spacing w:before="60" w:after="12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Na podru</w:t>
      </w:r>
      <w:r>
        <w:rPr>
          <w:rFonts w:ascii="Calibri" w:hAnsi="Calibri" w:cs="Calibri" w:eastAsia="Calibri"/>
          <w:color w:val="auto"/>
          <w:spacing w:val="0"/>
          <w:position w:val="0"/>
          <w:sz w:val="20"/>
          <w:shd w:fill="auto" w:val="clear"/>
        </w:rPr>
        <w:t xml:space="preserve">čju općine Doboj Istok identificirane su brojne opasnosti koje klimatske promjene donose, i to: ekstremno visoke temperature, poplave, suše i nestašice vode, te klizišta. Na osnovu konsultacija sa radnim timovima za izradu ovog plana, uzimajući u obzir provedene analize, te imajući u vidu opasnosti koje su se na području općine Doboj Istok pojavile u prethodnom periodu, evidentno je da su najveće opasnosti na ovom području poplave i klizišta. Redovnoj pojavi poplava naročito doprinosi neregulirani tok rijeke Spreče, što najviše ugrožava poljoprivredu jer je između 250 i 643 ha najplodnijeg poljoprivrednog zemljišta izloženo ovim poplavama. Na  području općine Doboj Istok registrovan je i veliki broj klizišta u zoni građevinskog zemljišta. Uzroci pojave klizišta na ovom prostoru su kompleksni, i uključuju prirodne uzroka  (prirodna  predisponiranost  terena,  nepovoljne  inžinjersko-geološke karakteristike tla, svojstava stijenskog masiva, podzemnih voda i sl.) do vještačkih, uzrokovanih odnosom čovjeka prema životnom prostoru (neregulirani sistemi za prikupljanje i odvodnju površinskih i  oborinskih  voda,  neplanska  i uslovima  terena neprilagođena  gradnja,  uništavanje biljnog pokrivača, itd.). Imajući u vidu karakteristike dosadašnjih poplava i klizišta, procjenjuje se da je vjerovatnoća njihove pojave visoka i uticaj ove opasnosti visok. Predviđa se i povećanje intenziteta i učestalosti poplava i klizišta  u kratkom, srednjem i dugom roku. Kakteristike svih identificiranih opasnosti od posljedica klimatskih promjena na području općine Doboj Istok prikazane su u narednoj tabeli.</w:t>
      </w:r>
    </w:p>
    <w:tbl>
      <w:tblPr/>
      <w:tblGrid>
        <w:gridCol w:w="1803"/>
        <w:gridCol w:w="1661"/>
        <w:gridCol w:w="1206"/>
        <w:gridCol w:w="1356"/>
        <w:gridCol w:w="1358"/>
        <w:gridCol w:w="2261"/>
      </w:tblGrid>
      <w:tr>
        <w:trPr>
          <w:trHeight w:val="1" w:hRule="atLeast"/>
          <w:jc w:val="left"/>
        </w:trPr>
        <w:tc>
          <w:tcPr>
            <w:tcW w:w="1803" w:type="dxa"/>
            <w:vMerge w:val="restart"/>
            <w:tcBorders>
              <w:top w:val="single" w:color="ffffff" w:sz="4"/>
              <w:left w:val="single" w:color="ffffff" w:sz="4"/>
              <w:bottom w:val="single" w:color="ffffff" w:sz="4"/>
              <w:right w:val="single" w:color="ffffff" w:sz="4"/>
            </w:tcBorders>
            <w:shd w:color="auto" w:fill="deeaf6"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18"/>
                <w:shd w:fill="auto" w:val="clear"/>
              </w:rPr>
            </w:pPr>
          </w:p>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Opasnosti</w:t>
            </w:r>
          </w:p>
        </w:tc>
        <w:tc>
          <w:tcPr>
            <w:tcW w:w="7842" w:type="dxa"/>
            <w:gridSpan w:val="5"/>
            <w:tcBorders>
              <w:top w:val="single" w:color="ffffff" w:sz="4"/>
              <w:left w:val="single" w:color="ffffff" w:sz="4"/>
              <w:bottom w:val="single" w:color="ffffff" w:sz="4"/>
              <w:right w:val="single" w:color="ffffff" w:sz="4"/>
            </w:tcBorders>
            <w:shd w:color="auto" w:fill="deeaf6"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Karakteristike opasnosti</w:t>
            </w:r>
          </w:p>
        </w:tc>
      </w:tr>
      <w:tr>
        <w:trPr>
          <w:trHeight w:val="1" w:hRule="atLeast"/>
          <w:jc w:val="left"/>
        </w:trPr>
        <w:tc>
          <w:tcPr>
            <w:tcW w:w="1803" w:type="dxa"/>
            <w:vMerge/>
            <w:tcBorders>
              <w:top w:val="single" w:color="ffffff" w:sz="4"/>
              <w:left w:val="single" w:color="ffffff" w:sz="4"/>
              <w:bottom w:val="single" w:color="ffffff" w:sz="4"/>
              <w:right w:val="single" w:color="ffffff" w:sz="4"/>
            </w:tcBorders>
            <w:shd w:color="auto" w:fill="deeaf6"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2867" w:type="dxa"/>
            <w:gridSpan w:val="2"/>
            <w:tcBorders>
              <w:top w:val="single" w:color="ffffff" w:sz="4"/>
              <w:left w:val="single" w:color="ffffff" w:sz="4"/>
              <w:bottom w:val="single" w:color="ffffff" w:sz="4"/>
              <w:right w:val="single" w:color="ffffff" w:sz="4"/>
            </w:tcBorders>
            <w:shd w:color="auto" w:fill="deeaf6"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Trenutne karakteristike</w:t>
            </w:r>
          </w:p>
        </w:tc>
        <w:tc>
          <w:tcPr>
            <w:tcW w:w="4975" w:type="dxa"/>
            <w:gridSpan w:val="3"/>
            <w:tcBorders>
              <w:top w:val="single" w:color="ffffff" w:sz="4"/>
              <w:left w:val="single" w:color="ffffff" w:sz="4"/>
              <w:bottom w:val="single" w:color="ffffff" w:sz="4"/>
              <w:right w:val="single" w:color="ffffff" w:sz="4"/>
            </w:tcBorders>
            <w:shd w:color="auto" w:fill="deeaf6"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Budu</w:t>
            </w:r>
            <w:r>
              <w:rPr>
                <w:rFonts w:ascii="Calibri" w:hAnsi="Calibri" w:cs="Calibri" w:eastAsia="Calibri"/>
                <w:color w:val="000000"/>
                <w:spacing w:val="0"/>
                <w:position w:val="0"/>
                <w:sz w:val="18"/>
                <w:shd w:fill="auto" w:val="clear"/>
              </w:rPr>
              <w:t xml:space="preserve">će karakteristike</w:t>
            </w:r>
          </w:p>
        </w:tc>
      </w:tr>
      <w:tr>
        <w:trPr>
          <w:trHeight w:val="1" w:hRule="atLeast"/>
          <w:jc w:val="left"/>
        </w:trPr>
        <w:tc>
          <w:tcPr>
            <w:tcW w:w="1803" w:type="dxa"/>
            <w:vMerge/>
            <w:tcBorders>
              <w:top w:val="single" w:color="ffffff" w:sz="4"/>
              <w:left w:val="single" w:color="ffffff" w:sz="4"/>
              <w:bottom w:val="single" w:color="ffffff" w:sz="4"/>
              <w:right w:val="single" w:color="ffffff" w:sz="4"/>
            </w:tcBorders>
            <w:shd w:color="auto" w:fill="deeaf6"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661" w:type="dxa"/>
            <w:tcBorders>
              <w:top w:val="single" w:color="ffffff" w:sz="4"/>
              <w:left w:val="single" w:color="ffffff" w:sz="4"/>
              <w:bottom w:val="single" w:color="ffffff" w:sz="4"/>
              <w:right w:val="single" w:color="ffffff" w:sz="4"/>
            </w:tcBorders>
            <w:shd w:color="auto" w:fill="deeaf6"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Vjerovatno</w:t>
            </w:r>
            <w:r>
              <w:rPr>
                <w:rFonts w:ascii="Calibri" w:hAnsi="Calibri" w:cs="Calibri" w:eastAsia="Calibri"/>
                <w:color w:val="000000"/>
                <w:spacing w:val="0"/>
                <w:position w:val="0"/>
                <w:sz w:val="18"/>
                <w:shd w:fill="auto" w:val="clear"/>
              </w:rPr>
              <w:t xml:space="preserve">ća opasnosti</w:t>
              <w:br/>
            </w:r>
          </w:p>
        </w:tc>
        <w:tc>
          <w:tcPr>
            <w:tcW w:w="1206" w:type="dxa"/>
            <w:tcBorders>
              <w:top w:val="single" w:color="ffffff" w:sz="4"/>
              <w:left w:val="single" w:color="ffffff" w:sz="4"/>
              <w:bottom w:val="single" w:color="ffffff" w:sz="4"/>
              <w:right w:val="single" w:color="ffffff" w:sz="4"/>
            </w:tcBorders>
            <w:shd w:color="auto" w:fill="deeaf6"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Uticaj opasnosti</w:t>
            </w:r>
          </w:p>
        </w:tc>
        <w:tc>
          <w:tcPr>
            <w:tcW w:w="1356" w:type="dxa"/>
            <w:tcBorders>
              <w:top w:val="single" w:color="ffffff" w:sz="4"/>
              <w:left w:val="single" w:color="ffffff" w:sz="4"/>
              <w:bottom w:val="single" w:color="ffffff" w:sz="4"/>
              <w:right w:val="single" w:color="ffffff" w:sz="4"/>
            </w:tcBorders>
            <w:shd w:color="auto" w:fill="deeaf6"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O</w:t>
            </w:r>
            <w:r>
              <w:rPr>
                <w:rFonts w:ascii="Calibri" w:hAnsi="Calibri" w:cs="Calibri" w:eastAsia="Calibri"/>
                <w:color w:val="000000"/>
                <w:spacing w:val="0"/>
                <w:position w:val="0"/>
                <w:sz w:val="18"/>
                <w:shd w:fill="auto" w:val="clear"/>
              </w:rPr>
              <w:t xml:space="preserve">čekivana promjena intenziteta</w:t>
            </w:r>
          </w:p>
        </w:tc>
        <w:tc>
          <w:tcPr>
            <w:tcW w:w="1358" w:type="dxa"/>
            <w:tcBorders>
              <w:top w:val="single" w:color="ffffff" w:sz="4"/>
              <w:left w:val="single" w:color="ffffff" w:sz="4"/>
              <w:bottom w:val="single" w:color="ffffff" w:sz="4"/>
              <w:right w:val="single" w:color="ffffff" w:sz="4"/>
            </w:tcBorders>
            <w:shd w:color="auto" w:fill="deeaf6"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O</w:t>
            </w:r>
            <w:r>
              <w:rPr>
                <w:rFonts w:ascii="Calibri" w:hAnsi="Calibri" w:cs="Calibri" w:eastAsia="Calibri"/>
                <w:color w:val="000000"/>
                <w:spacing w:val="0"/>
                <w:position w:val="0"/>
                <w:sz w:val="18"/>
                <w:shd w:fill="auto" w:val="clear"/>
              </w:rPr>
              <w:t xml:space="preserve">čekivana promjena učestalosti</w:t>
            </w:r>
          </w:p>
        </w:tc>
        <w:tc>
          <w:tcPr>
            <w:tcW w:w="2261" w:type="dxa"/>
            <w:tcBorders>
              <w:top w:val="single" w:color="ffffff" w:sz="4"/>
              <w:left w:val="single" w:color="ffffff" w:sz="4"/>
              <w:bottom w:val="single" w:color="ffffff" w:sz="4"/>
              <w:right w:val="single" w:color="ffffff" w:sz="4"/>
            </w:tcBorders>
            <w:shd w:color="auto" w:fill="deeaf6"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Vremenski period</w:t>
              <w:br/>
            </w:r>
          </w:p>
        </w:tc>
      </w:tr>
      <w:tr>
        <w:trPr>
          <w:trHeight w:val="1" w:hRule="atLeast"/>
          <w:jc w:val="left"/>
        </w:trPr>
        <w:tc>
          <w:tcPr>
            <w:tcW w:w="1803" w:type="dxa"/>
            <w:tcBorders>
              <w:top w:val="single" w:color="ffffff" w:sz="4"/>
              <w:left w:val="single" w:color="ffffff" w:sz="4"/>
              <w:bottom w:val="single" w:color="ffffff" w:sz="4"/>
              <w:right w:val="single" w:color="ffffff" w:sz="4"/>
            </w:tcBorders>
            <w:shd w:color="auto" w:fill="deeaf6" w:val="clear"/>
            <w:tcMar>
              <w:left w:w="108" w:type="dxa"/>
              <w:right w:w="108" w:type="dxa"/>
            </w:tcMar>
            <w:vAlign w:val="top"/>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Ekstremno visoke temperature</w:t>
            </w:r>
          </w:p>
        </w:tc>
        <w:tc>
          <w:tcPr>
            <w:tcW w:w="1661" w:type="dxa"/>
            <w:tcBorders>
              <w:top w:val="single" w:color="ffffff" w:sz="4"/>
              <w:left w:val="single" w:color="ffffff" w:sz="4"/>
              <w:bottom w:val="single" w:color="ffffff" w:sz="4"/>
              <w:right w:val="single" w:color="ffffff" w:sz="4"/>
            </w:tcBorders>
            <w:shd w:color="auto" w:fill="deeaf6"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Umjerena</w:t>
            </w:r>
          </w:p>
        </w:tc>
        <w:tc>
          <w:tcPr>
            <w:tcW w:w="1206" w:type="dxa"/>
            <w:tcBorders>
              <w:top w:val="single" w:color="ffffff" w:sz="4"/>
              <w:left w:val="single" w:color="ffffff" w:sz="4"/>
              <w:bottom w:val="single" w:color="ffffff" w:sz="4"/>
              <w:right w:val="single" w:color="ffffff" w:sz="4"/>
            </w:tcBorders>
            <w:shd w:color="auto" w:fill="deeaf6"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Umjeren</w:t>
            </w:r>
          </w:p>
        </w:tc>
        <w:tc>
          <w:tcPr>
            <w:tcW w:w="1356" w:type="dxa"/>
            <w:tcBorders>
              <w:top w:val="single" w:color="ffffff" w:sz="4"/>
              <w:left w:val="single" w:color="ffffff" w:sz="4"/>
              <w:bottom w:val="single" w:color="ffffff" w:sz="4"/>
              <w:right w:val="single" w:color="ffffff" w:sz="4"/>
            </w:tcBorders>
            <w:shd w:color="auto" w:fill="deeaf6"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Pove</w:t>
            </w:r>
            <w:r>
              <w:rPr>
                <w:rFonts w:ascii="Calibri" w:hAnsi="Calibri" w:cs="Calibri" w:eastAsia="Calibri"/>
                <w:color w:val="000000"/>
                <w:spacing w:val="0"/>
                <w:position w:val="0"/>
                <w:sz w:val="18"/>
                <w:shd w:fill="auto" w:val="clear"/>
              </w:rPr>
              <w:t xml:space="preserve">ćanje</w:t>
            </w:r>
          </w:p>
        </w:tc>
        <w:tc>
          <w:tcPr>
            <w:tcW w:w="1358" w:type="dxa"/>
            <w:tcBorders>
              <w:top w:val="single" w:color="ffffff" w:sz="4"/>
              <w:left w:val="single" w:color="ffffff" w:sz="4"/>
              <w:bottom w:val="single" w:color="ffffff" w:sz="4"/>
              <w:right w:val="single" w:color="ffffff" w:sz="4"/>
            </w:tcBorders>
            <w:shd w:color="auto" w:fill="deeaf6"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Pove</w:t>
            </w:r>
            <w:r>
              <w:rPr>
                <w:rFonts w:ascii="Calibri" w:hAnsi="Calibri" w:cs="Calibri" w:eastAsia="Calibri"/>
                <w:color w:val="000000"/>
                <w:spacing w:val="0"/>
                <w:position w:val="0"/>
                <w:sz w:val="18"/>
                <w:shd w:fill="auto" w:val="clear"/>
              </w:rPr>
              <w:t xml:space="preserve">ćanje</w:t>
            </w:r>
          </w:p>
        </w:tc>
        <w:tc>
          <w:tcPr>
            <w:tcW w:w="2261" w:type="dxa"/>
            <w:tcBorders>
              <w:top w:val="single" w:color="ffffff" w:sz="4"/>
              <w:left w:val="single" w:color="ffffff" w:sz="4"/>
              <w:bottom w:val="single" w:color="ffffff" w:sz="4"/>
              <w:right w:val="single" w:color="ffffff" w:sz="4"/>
            </w:tcBorders>
            <w:shd w:color="auto" w:fill="deeaf6"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Rizik u kratkoro</w:t>
            </w:r>
            <w:r>
              <w:rPr>
                <w:rFonts w:ascii="Calibri" w:hAnsi="Calibri" w:cs="Calibri" w:eastAsia="Calibri"/>
                <w:color w:val="000000"/>
                <w:spacing w:val="0"/>
                <w:position w:val="0"/>
                <w:sz w:val="18"/>
                <w:shd w:fill="auto" w:val="clear"/>
              </w:rPr>
              <w:t xml:space="preserve">čnom, srednjoročnom i dugoročnom periodu</w:t>
            </w:r>
          </w:p>
        </w:tc>
      </w:tr>
      <w:tr>
        <w:trPr>
          <w:trHeight w:val="1" w:hRule="atLeast"/>
          <w:jc w:val="left"/>
        </w:trPr>
        <w:tc>
          <w:tcPr>
            <w:tcW w:w="1803" w:type="dxa"/>
            <w:tcBorders>
              <w:top w:val="single" w:color="ffffff" w:sz="4"/>
              <w:left w:val="single" w:color="ffffff" w:sz="4"/>
              <w:bottom w:val="single" w:color="ffffff" w:sz="4"/>
              <w:right w:val="single" w:color="ffffff" w:sz="4"/>
            </w:tcBorders>
            <w:shd w:color="auto" w:fill="deeaf6" w:val="clear"/>
            <w:tcMar>
              <w:left w:w="108" w:type="dxa"/>
              <w:right w:w="108" w:type="dxa"/>
            </w:tcMar>
            <w:vAlign w:val="top"/>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Poplave</w:t>
            </w:r>
          </w:p>
        </w:tc>
        <w:tc>
          <w:tcPr>
            <w:tcW w:w="1661" w:type="dxa"/>
            <w:tcBorders>
              <w:top w:val="single" w:color="ffffff" w:sz="4"/>
              <w:left w:val="single" w:color="ffffff" w:sz="4"/>
              <w:bottom w:val="single" w:color="ffffff" w:sz="4"/>
              <w:right w:val="single" w:color="ffffff" w:sz="4"/>
            </w:tcBorders>
            <w:shd w:color="auto" w:fill="deeaf6"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Visoka</w:t>
            </w:r>
          </w:p>
        </w:tc>
        <w:tc>
          <w:tcPr>
            <w:tcW w:w="1206" w:type="dxa"/>
            <w:tcBorders>
              <w:top w:val="single" w:color="ffffff" w:sz="4"/>
              <w:left w:val="single" w:color="ffffff" w:sz="4"/>
              <w:bottom w:val="single" w:color="ffffff" w:sz="4"/>
              <w:right w:val="single" w:color="ffffff" w:sz="4"/>
            </w:tcBorders>
            <w:shd w:color="auto" w:fill="deeaf6"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Visok</w:t>
            </w:r>
          </w:p>
        </w:tc>
        <w:tc>
          <w:tcPr>
            <w:tcW w:w="1356" w:type="dxa"/>
            <w:tcBorders>
              <w:top w:val="single" w:color="ffffff" w:sz="4"/>
              <w:left w:val="single" w:color="ffffff" w:sz="4"/>
              <w:bottom w:val="single" w:color="ffffff" w:sz="4"/>
              <w:right w:val="single" w:color="ffffff" w:sz="4"/>
            </w:tcBorders>
            <w:shd w:color="auto" w:fill="deeaf6"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Pove</w:t>
            </w:r>
            <w:r>
              <w:rPr>
                <w:rFonts w:ascii="Calibri" w:hAnsi="Calibri" w:cs="Calibri" w:eastAsia="Calibri"/>
                <w:color w:val="000000"/>
                <w:spacing w:val="0"/>
                <w:position w:val="0"/>
                <w:sz w:val="18"/>
                <w:shd w:fill="auto" w:val="clear"/>
              </w:rPr>
              <w:t xml:space="preserve">ćanje</w:t>
            </w:r>
          </w:p>
        </w:tc>
        <w:tc>
          <w:tcPr>
            <w:tcW w:w="1358" w:type="dxa"/>
            <w:tcBorders>
              <w:top w:val="single" w:color="ffffff" w:sz="4"/>
              <w:left w:val="single" w:color="ffffff" w:sz="4"/>
              <w:bottom w:val="single" w:color="ffffff" w:sz="4"/>
              <w:right w:val="single" w:color="ffffff" w:sz="4"/>
            </w:tcBorders>
            <w:shd w:color="auto" w:fill="deeaf6"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Pove</w:t>
            </w:r>
            <w:r>
              <w:rPr>
                <w:rFonts w:ascii="Calibri" w:hAnsi="Calibri" w:cs="Calibri" w:eastAsia="Calibri"/>
                <w:color w:val="000000"/>
                <w:spacing w:val="0"/>
                <w:position w:val="0"/>
                <w:sz w:val="18"/>
                <w:shd w:fill="auto" w:val="clear"/>
              </w:rPr>
              <w:t xml:space="preserve">ćanje</w:t>
            </w:r>
          </w:p>
        </w:tc>
        <w:tc>
          <w:tcPr>
            <w:tcW w:w="2261" w:type="dxa"/>
            <w:tcBorders>
              <w:top w:val="single" w:color="ffffff" w:sz="4"/>
              <w:left w:val="single" w:color="ffffff" w:sz="4"/>
              <w:bottom w:val="single" w:color="ffffff" w:sz="4"/>
              <w:right w:val="single" w:color="ffffff" w:sz="4"/>
            </w:tcBorders>
            <w:shd w:color="auto" w:fill="deeaf6"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Rizik u kratkoro</w:t>
            </w:r>
            <w:r>
              <w:rPr>
                <w:rFonts w:ascii="Calibri" w:hAnsi="Calibri" w:cs="Calibri" w:eastAsia="Calibri"/>
                <w:color w:val="000000"/>
                <w:spacing w:val="0"/>
                <w:position w:val="0"/>
                <w:sz w:val="18"/>
                <w:shd w:fill="auto" w:val="clear"/>
              </w:rPr>
              <w:t xml:space="preserve">čnom, srednjoročnom i dugoročnom periodu</w:t>
            </w:r>
          </w:p>
        </w:tc>
      </w:tr>
      <w:tr>
        <w:trPr>
          <w:trHeight w:val="1" w:hRule="atLeast"/>
          <w:jc w:val="left"/>
        </w:trPr>
        <w:tc>
          <w:tcPr>
            <w:tcW w:w="1803" w:type="dxa"/>
            <w:tcBorders>
              <w:top w:val="single" w:color="ffffff" w:sz="4"/>
              <w:left w:val="single" w:color="ffffff" w:sz="4"/>
              <w:bottom w:val="single" w:color="ffffff" w:sz="4"/>
              <w:right w:val="single" w:color="ffffff" w:sz="4"/>
            </w:tcBorders>
            <w:shd w:color="auto" w:fill="deeaf6" w:val="clear"/>
            <w:tcMar>
              <w:left w:w="108" w:type="dxa"/>
              <w:right w:w="108" w:type="dxa"/>
            </w:tcMar>
            <w:vAlign w:val="top"/>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Suša i nestašica vode</w:t>
            </w:r>
          </w:p>
        </w:tc>
        <w:tc>
          <w:tcPr>
            <w:tcW w:w="1661" w:type="dxa"/>
            <w:tcBorders>
              <w:top w:val="single" w:color="ffffff" w:sz="4"/>
              <w:left w:val="single" w:color="ffffff" w:sz="4"/>
              <w:bottom w:val="single" w:color="ffffff" w:sz="4"/>
              <w:right w:val="single" w:color="ffffff" w:sz="4"/>
            </w:tcBorders>
            <w:shd w:color="auto" w:fill="deeaf6"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Umjerena</w:t>
            </w:r>
          </w:p>
        </w:tc>
        <w:tc>
          <w:tcPr>
            <w:tcW w:w="1206" w:type="dxa"/>
            <w:tcBorders>
              <w:top w:val="single" w:color="ffffff" w:sz="4"/>
              <w:left w:val="single" w:color="ffffff" w:sz="4"/>
              <w:bottom w:val="single" w:color="ffffff" w:sz="4"/>
              <w:right w:val="single" w:color="ffffff" w:sz="4"/>
            </w:tcBorders>
            <w:shd w:color="auto" w:fill="deeaf6"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Umjeren</w:t>
            </w:r>
          </w:p>
        </w:tc>
        <w:tc>
          <w:tcPr>
            <w:tcW w:w="1356" w:type="dxa"/>
            <w:tcBorders>
              <w:top w:val="single" w:color="ffffff" w:sz="4"/>
              <w:left w:val="single" w:color="ffffff" w:sz="4"/>
              <w:bottom w:val="single" w:color="ffffff" w:sz="4"/>
              <w:right w:val="single" w:color="ffffff" w:sz="4"/>
            </w:tcBorders>
            <w:shd w:color="auto" w:fill="deeaf6"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Pove</w:t>
            </w:r>
            <w:r>
              <w:rPr>
                <w:rFonts w:ascii="Calibri" w:hAnsi="Calibri" w:cs="Calibri" w:eastAsia="Calibri"/>
                <w:color w:val="000000"/>
                <w:spacing w:val="0"/>
                <w:position w:val="0"/>
                <w:sz w:val="18"/>
                <w:shd w:fill="auto" w:val="clear"/>
              </w:rPr>
              <w:t xml:space="preserve">ćanje</w:t>
            </w:r>
          </w:p>
        </w:tc>
        <w:tc>
          <w:tcPr>
            <w:tcW w:w="1358" w:type="dxa"/>
            <w:tcBorders>
              <w:top w:val="single" w:color="ffffff" w:sz="4"/>
              <w:left w:val="single" w:color="ffffff" w:sz="4"/>
              <w:bottom w:val="single" w:color="ffffff" w:sz="4"/>
              <w:right w:val="single" w:color="ffffff" w:sz="4"/>
            </w:tcBorders>
            <w:shd w:color="auto" w:fill="deeaf6"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Pove</w:t>
            </w:r>
            <w:r>
              <w:rPr>
                <w:rFonts w:ascii="Calibri" w:hAnsi="Calibri" w:cs="Calibri" w:eastAsia="Calibri"/>
                <w:color w:val="000000"/>
                <w:spacing w:val="0"/>
                <w:position w:val="0"/>
                <w:sz w:val="18"/>
                <w:shd w:fill="auto" w:val="clear"/>
              </w:rPr>
              <w:t xml:space="preserve">ćanje</w:t>
            </w:r>
          </w:p>
        </w:tc>
        <w:tc>
          <w:tcPr>
            <w:tcW w:w="2261" w:type="dxa"/>
            <w:tcBorders>
              <w:top w:val="single" w:color="ffffff" w:sz="4"/>
              <w:left w:val="single" w:color="ffffff" w:sz="4"/>
              <w:bottom w:val="single" w:color="ffffff" w:sz="4"/>
              <w:right w:val="single" w:color="ffffff" w:sz="4"/>
            </w:tcBorders>
            <w:shd w:color="auto" w:fill="deeaf6"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Rizik u kratkoro</w:t>
            </w:r>
            <w:r>
              <w:rPr>
                <w:rFonts w:ascii="Calibri" w:hAnsi="Calibri" w:cs="Calibri" w:eastAsia="Calibri"/>
                <w:color w:val="000000"/>
                <w:spacing w:val="0"/>
                <w:position w:val="0"/>
                <w:sz w:val="18"/>
                <w:shd w:fill="auto" w:val="clear"/>
              </w:rPr>
              <w:t xml:space="preserve">čnom, srednjoročnom i dugoročnom periodu</w:t>
            </w:r>
          </w:p>
        </w:tc>
      </w:tr>
      <w:tr>
        <w:trPr>
          <w:trHeight w:val="1" w:hRule="atLeast"/>
          <w:jc w:val="left"/>
        </w:trPr>
        <w:tc>
          <w:tcPr>
            <w:tcW w:w="1803" w:type="dxa"/>
            <w:tcBorders>
              <w:top w:val="single" w:color="ffffff" w:sz="4"/>
              <w:left w:val="single" w:color="ffffff" w:sz="4"/>
              <w:bottom w:val="single" w:color="ffffff" w:sz="4"/>
              <w:right w:val="single" w:color="ffffff" w:sz="4"/>
            </w:tcBorders>
            <w:shd w:color="auto" w:fill="deeaf6" w:val="clear"/>
            <w:tcMar>
              <w:left w:w="108" w:type="dxa"/>
              <w:right w:w="108" w:type="dxa"/>
            </w:tcMar>
            <w:vAlign w:val="top"/>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Klizišta</w:t>
            </w:r>
          </w:p>
        </w:tc>
        <w:tc>
          <w:tcPr>
            <w:tcW w:w="1661" w:type="dxa"/>
            <w:tcBorders>
              <w:top w:val="single" w:color="ffffff" w:sz="4"/>
              <w:left w:val="single" w:color="ffffff" w:sz="4"/>
              <w:bottom w:val="single" w:color="ffffff" w:sz="4"/>
              <w:right w:val="single" w:color="ffffff" w:sz="4"/>
            </w:tcBorders>
            <w:shd w:color="auto" w:fill="deeaf6"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Visoka</w:t>
            </w:r>
          </w:p>
        </w:tc>
        <w:tc>
          <w:tcPr>
            <w:tcW w:w="1206" w:type="dxa"/>
            <w:tcBorders>
              <w:top w:val="single" w:color="ffffff" w:sz="4"/>
              <w:left w:val="single" w:color="ffffff" w:sz="4"/>
              <w:bottom w:val="single" w:color="ffffff" w:sz="4"/>
              <w:right w:val="single" w:color="ffffff" w:sz="4"/>
            </w:tcBorders>
            <w:shd w:color="auto" w:fill="deeaf6"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Visok</w:t>
            </w:r>
          </w:p>
        </w:tc>
        <w:tc>
          <w:tcPr>
            <w:tcW w:w="1356" w:type="dxa"/>
            <w:tcBorders>
              <w:top w:val="single" w:color="ffffff" w:sz="4"/>
              <w:left w:val="single" w:color="ffffff" w:sz="4"/>
              <w:bottom w:val="single" w:color="ffffff" w:sz="4"/>
              <w:right w:val="single" w:color="ffffff" w:sz="4"/>
            </w:tcBorders>
            <w:shd w:color="auto" w:fill="deeaf6"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Pove</w:t>
            </w:r>
            <w:r>
              <w:rPr>
                <w:rFonts w:ascii="Calibri" w:hAnsi="Calibri" w:cs="Calibri" w:eastAsia="Calibri"/>
                <w:color w:val="000000"/>
                <w:spacing w:val="0"/>
                <w:position w:val="0"/>
                <w:sz w:val="18"/>
                <w:shd w:fill="auto" w:val="clear"/>
              </w:rPr>
              <w:t xml:space="preserve">ćanje</w:t>
            </w:r>
          </w:p>
        </w:tc>
        <w:tc>
          <w:tcPr>
            <w:tcW w:w="1358" w:type="dxa"/>
            <w:tcBorders>
              <w:top w:val="single" w:color="ffffff" w:sz="4"/>
              <w:left w:val="single" w:color="ffffff" w:sz="4"/>
              <w:bottom w:val="single" w:color="ffffff" w:sz="4"/>
              <w:right w:val="single" w:color="ffffff" w:sz="4"/>
            </w:tcBorders>
            <w:shd w:color="auto" w:fill="deeaf6"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Pove</w:t>
            </w:r>
            <w:r>
              <w:rPr>
                <w:rFonts w:ascii="Calibri" w:hAnsi="Calibri" w:cs="Calibri" w:eastAsia="Calibri"/>
                <w:color w:val="000000"/>
                <w:spacing w:val="0"/>
                <w:position w:val="0"/>
                <w:sz w:val="18"/>
                <w:shd w:fill="auto" w:val="clear"/>
              </w:rPr>
              <w:t xml:space="preserve">ćanje</w:t>
            </w:r>
          </w:p>
        </w:tc>
        <w:tc>
          <w:tcPr>
            <w:tcW w:w="2261" w:type="dxa"/>
            <w:tcBorders>
              <w:top w:val="single" w:color="ffffff" w:sz="4"/>
              <w:left w:val="single" w:color="ffffff" w:sz="4"/>
              <w:bottom w:val="single" w:color="ffffff" w:sz="4"/>
              <w:right w:val="single" w:color="ffffff" w:sz="4"/>
            </w:tcBorders>
            <w:shd w:color="auto" w:fill="deeaf6"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Rizik u kratkoro</w:t>
            </w:r>
            <w:r>
              <w:rPr>
                <w:rFonts w:ascii="Calibri" w:hAnsi="Calibri" w:cs="Calibri" w:eastAsia="Calibri"/>
                <w:color w:val="000000"/>
                <w:spacing w:val="0"/>
                <w:position w:val="0"/>
                <w:sz w:val="18"/>
                <w:shd w:fill="auto" w:val="clear"/>
              </w:rPr>
              <w:t xml:space="preserve">čnom, srednjoročnom i dugoročnom periodu</w:t>
            </w:r>
          </w:p>
        </w:tc>
      </w:tr>
    </w:tbl>
    <w:p>
      <w:pPr>
        <w:keepNext w:val="true"/>
        <w:spacing w:before="60" w:after="200" w:line="240"/>
        <w:ind w:right="0" w:left="0" w:firstLine="0"/>
        <w:jc w:val="center"/>
        <w:rPr>
          <w:rFonts w:ascii="Calibri" w:hAnsi="Calibri" w:cs="Calibri" w:eastAsia="Calibri"/>
          <w:i/>
          <w:color w:val="auto"/>
          <w:spacing w:val="0"/>
          <w:position w:val="0"/>
          <w:sz w:val="18"/>
          <w:shd w:fill="auto" w:val="clear"/>
        </w:rPr>
      </w:pPr>
      <w:r>
        <w:rPr>
          <w:rFonts w:ascii="Calibri" w:hAnsi="Calibri" w:cs="Calibri" w:eastAsia="Calibri"/>
          <w:i/>
          <w:color w:val="auto"/>
          <w:spacing w:val="0"/>
          <w:position w:val="0"/>
          <w:sz w:val="18"/>
          <w:shd w:fill="auto" w:val="clear"/>
        </w:rPr>
        <w:t xml:space="preserve">Tabela 62: Karakteristike identificiranih opasnosti od posljedica klimatskih promjena na podru</w:t>
      </w:r>
      <w:r>
        <w:rPr>
          <w:rFonts w:ascii="Calibri" w:hAnsi="Calibri" w:cs="Calibri" w:eastAsia="Calibri"/>
          <w:i/>
          <w:color w:val="auto"/>
          <w:spacing w:val="0"/>
          <w:position w:val="0"/>
          <w:sz w:val="18"/>
          <w:shd w:fill="auto" w:val="clear"/>
        </w:rPr>
        <w:t xml:space="preserve">čju općine Doboj istok</w:t>
      </w:r>
    </w:p>
    <w:p>
      <w:pPr>
        <w:keepNext w:val="true"/>
        <w:keepLines w:val="true"/>
        <w:numPr>
          <w:ilvl w:val="0"/>
          <w:numId w:val="3305"/>
        </w:numPr>
        <w:spacing w:before="240" w:after="0" w:line="240"/>
        <w:ind w:right="0" w:left="720" w:hanging="72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Ocjena ugroženosti sektora od opasnosti identificiranih na podru</w:t>
      </w:r>
      <w:r>
        <w:rPr>
          <w:rFonts w:ascii="Calibri" w:hAnsi="Calibri" w:cs="Calibri" w:eastAsia="Calibri"/>
          <w:b/>
          <w:color w:val="auto"/>
          <w:spacing w:val="0"/>
          <w:position w:val="0"/>
          <w:sz w:val="24"/>
          <w:shd w:fill="auto" w:val="clear"/>
        </w:rPr>
        <w:t xml:space="preserve">čju općine Doboj Istok</w:t>
      </w:r>
    </w:p>
    <w:p>
      <w:pPr>
        <w:spacing w:before="60" w:after="12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U ovoj analizi su sa stanovišta izloženosti opasnostima prouzrokovanih klimatskim promjenama razmatrani slijede</w:t>
      </w:r>
      <w:r>
        <w:rPr>
          <w:rFonts w:ascii="Calibri" w:hAnsi="Calibri" w:cs="Calibri" w:eastAsia="Calibri"/>
          <w:color w:val="auto"/>
          <w:spacing w:val="0"/>
          <w:position w:val="0"/>
          <w:sz w:val="20"/>
          <w:shd w:fill="auto" w:val="clear"/>
        </w:rPr>
        <w:t xml:space="preserve">ći socio-ekonomski sektori na području općine Doboj Istok:</w:t>
      </w:r>
    </w:p>
    <w:tbl>
      <w:tblPr/>
      <w:tblGrid>
        <w:gridCol w:w="9350"/>
      </w:tblGrid>
      <w:tr>
        <w:trPr>
          <w:trHeight w:val="1" w:hRule="atLeast"/>
          <w:jc w:val="left"/>
        </w:trPr>
        <w:tc>
          <w:tcPr>
            <w:tcW w:w="93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3308"/>
              </w:numPr>
              <w:spacing w:before="40" w:after="0" w:line="240"/>
              <w:ind w:right="0" w:left="360" w:hanging="36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Zgrade/zgradarstvo - odnosi se na sve (op</w:t>
            </w:r>
            <w:r>
              <w:rPr>
                <w:rFonts w:ascii="Calibri" w:hAnsi="Calibri" w:cs="Calibri" w:eastAsia="Calibri"/>
                <w:color w:val="auto"/>
                <w:spacing w:val="0"/>
                <w:position w:val="0"/>
                <w:sz w:val="18"/>
                <w:shd w:fill="auto" w:val="clear"/>
              </w:rPr>
              <w:t xml:space="preserve">ćinske odnosno gradske/stambene/tercijarne, javne/privatne) zgrade ili skupine zgrada trajno sagrađenih ili postavljenih na njihovim lokacijama;</w:t>
            </w:r>
          </w:p>
          <w:p>
            <w:pPr>
              <w:numPr>
                <w:ilvl w:val="0"/>
                <w:numId w:val="3308"/>
              </w:numPr>
              <w:spacing w:before="40" w:after="0" w:line="240"/>
              <w:ind w:right="0" w:left="360" w:hanging="36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Prijevoz - obuhvata cestovni, željezni</w:t>
            </w:r>
            <w:r>
              <w:rPr>
                <w:rFonts w:ascii="Calibri" w:hAnsi="Calibri" w:cs="Calibri" w:eastAsia="Calibri"/>
                <w:color w:val="auto"/>
                <w:spacing w:val="0"/>
                <w:position w:val="0"/>
                <w:sz w:val="18"/>
                <w:shd w:fill="auto" w:val="clear"/>
              </w:rPr>
              <w:t xml:space="preserve">čki, zračni i vodeni prijevoz i potrebnu infrastrukturu (ceste, mostove, čvorišta, tunele, luke i aerodrome) te uključuje veliki raspon javne i privatne imovine i usluga bez pripadajućih plovila i vozila;</w:t>
            </w:r>
          </w:p>
          <w:p>
            <w:pPr>
              <w:numPr>
                <w:ilvl w:val="0"/>
                <w:numId w:val="3308"/>
              </w:numPr>
              <w:spacing w:before="40" w:after="0" w:line="240"/>
              <w:ind w:right="0" w:left="357" w:hanging="357"/>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Proizvodnja i distribucija energije - odnosi se na usluge snabdijevanja energijom i s njom povezanom infrastrukturom (mreže za proizvodnju, transport i distribuciju svih vrsta energije). Obuhvata ugalj, sirovu naftu,te</w:t>
            </w:r>
            <w:r>
              <w:rPr>
                <w:rFonts w:ascii="Calibri" w:hAnsi="Calibri" w:cs="Calibri" w:eastAsia="Calibri"/>
                <w:color w:val="auto"/>
                <w:spacing w:val="0"/>
                <w:position w:val="0"/>
                <w:sz w:val="18"/>
                <w:shd w:fill="auto" w:val="clear"/>
              </w:rPr>
              <w:t xml:space="preserve">čni prirodni plin, sirovine za rafinerije, aditive, naftne derivate, plinove, obnovljiva goriva te vodu, struju i grijanje;</w:t>
            </w:r>
          </w:p>
          <w:p>
            <w:pPr>
              <w:numPr>
                <w:ilvl w:val="0"/>
                <w:numId w:val="3308"/>
              </w:numPr>
              <w:spacing w:before="40" w:after="0" w:line="240"/>
              <w:ind w:right="0" w:left="357" w:hanging="357"/>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Vodosnabdijevanje - odnosi se na uslugu vodosnabdijevanja i s njom povezanu infrastrukturu. Obuhvata potrošnju vode te sisteme za upravljanje otpadnim i oborinskim vodama kao što su kanalizacija i sistemi za odvodnju te pre</w:t>
            </w:r>
            <w:r>
              <w:rPr>
                <w:rFonts w:ascii="Calibri" w:hAnsi="Calibri" w:cs="Calibri" w:eastAsia="Calibri"/>
                <w:color w:val="auto"/>
                <w:spacing w:val="0"/>
                <w:position w:val="0"/>
                <w:sz w:val="18"/>
                <w:shd w:fill="auto" w:val="clear"/>
              </w:rPr>
              <w:t xml:space="preserve">čistači (odnosno procesi kojima se otpadna voda dovodi u stanje koje zadovoljava ekološke standarde; </w:t>
            </w:r>
          </w:p>
          <w:p>
            <w:pPr>
              <w:numPr>
                <w:ilvl w:val="0"/>
                <w:numId w:val="3308"/>
              </w:numPr>
              <w:spacing w:before="40" w:after="0" w:line="240"/>
              <w:ind w:right="0" w:left="360" w:hanging="36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Upravljanje otpadom - obuhvata aktivnosti vezane za sakupljanje, obradu i zbrinjavanje razli</w:t>
            </w:r>
            <w:r>
              <w:rPr>
                <w:rFonts w:ascii="Calibri" w:hAnsi="Calibri" w:cs="Calibri" w:eastAsia="Calibri"/>
                <w:color w:val="auto"/>
                <w:spacing w:val="0"/>
                <w:position w:val="0"/>
                <w:sz w:val="18"/>
                <w:shd w:fill="auto" w:val="clear"/>
              </w:rPr>
              <w:t xml:space="preserve">čitih vrsta otpada, kao što su industrijski otpad, otpad iz domaćinstava, te kontaminirane lokacije;</w:t>
            </w:r>
          </w:p>
          <w:p>
            <w:pPr>
              <w:numPr>
                <w:ilvl w:val="0"/>
                <w:numId w:val="3308"/>
              </w:numPr>
              <w:spacing w:before="40" w:after="0" w:line="240"/>
              <w:ind w:right="0" w:left="360" w:hanging="36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Planovi korištenja zemljišta - proces koji provodi lokalna uprava da bi identificirala i usvojila razli</w:t>
            </w:r>
            <w:r>
              <w:rPr>
                <w:rFonts w:ascii="Calibri" w:hAnsi="Calibri" w:cs="Calibri" w:eastAsia="Calibri"/>
                <w:color w:val="auto"/>
                <w:spacing w:val="0"/>
                <w:position w:val="0"/>
                <w:sz w:val="18"/>
                <w:shd w:fill="auto" w:val="clear"/>
              </w:rPr>
              <w:t xml:space="preserve">čite opcije korištenja zemljišta, uključujući razmatranje dugoročnih ekonomskih, socijalnih i ekoloških ciljeva i utjecaja na različite zajednice i interesnegrupe, i na osnovu toga usvojila planove ili propise koji reguliraju dozvoljene ili prihvatljive oblike upotrebe;</w:t>
            </w:r>
          </w:p>
          <w:p>
            <w:pPr>
              <w:numPr>
                <w:ilvl w:val="0"/>
                <w:numId w:val="3308"/>
              </w:numPr>
              <w:spacing w:before="40" w:after="0" w:line="240"/>
              <w:ind w:right="0" w:left="360" w:hanging="36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Poljoprivreda i šumarstvo - obuhvata zemljište kategorizirano /namijenjeno korištenju u poljoprivredi i šumarstvu, kao i povezane organizacije i industrije. Obuhvata sto</w:t>
            </w:r>
            <w:r>
              <w:rPr>
                <w:rFonts w:ascii="Calibri" w:hAnsi="Calibri" w:cs="Calibri" w:eastAsia="Calibri"/>
                <w:color w:val="auto"/>
                <w:spacing w:val="0"/>
                <w:position w:val="0"/>
                <w:sz w:val="18"/>
                <w:shd w:fill="auto" w:val="clear"/>
              </w:rPr>
              <w:t xml:space="preserve">čarstvo, voćarstvo, povrtlarstvo, pčelarstvo, hortikulturu i ostale oblike proizvodnje i usluga u poljoprivredi i šumarstvu u određenom području;</w:t>
            </w:r>
          </w:p>
          <w:p>
            <w:pPr>
              <w:numPr>
                <w:ilvl w:val="0"/>
                <w:numId w:val="3308"/>
              </w:numPr>
              <w:spacing w:before="40" w:after="0" w:line="240"/>
              <w:ind w:right="0" w:left="360" w:hanging="36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Okoliš i biodiverzitet - okoliš se odnosi na zelene krajolike, kvalitet zraka, dok se biodiverzitet odnosi na raznolikost živih bi</w:t>
            </w:r>
            <w:r>
              <w:rPr>
                <w:rFonts w:ascii="Calibri" w:hAnsi="Calibri" w:cs="Calibri" w:eastAsia="Calibri"/>
                <w:color w:val="auto"/>
                <w:spacing w:val="0"/>
                <w:position w:val="0"/>
                <w:sz w:val="18"/>
                <w:shd w:fill="auto" w:val="clear"/>
              </w:rPr>
              <w:t xml:space="preserve">ća na specifičnom prostoru koje se mjeri raznolikošću unutar vrste, među vrstama i raznolikošću eko-sistema;</w:t>
            </w:r>
          </w:p>
          <w:p>
            <w:pPr>
              <w:numPr>
                <w:ilvl w:val="0"/>
                <w:numId w:val="3308"/>
              </w:numPr>
              <w:spacing w:before="40" w:after="0" w:line="240"/>
              <w:ind w:right="0" w:left="360" w:hanging="36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Zdravlje/zdravstvo - odnosi se na geografsku distribuciju dominiraju</w:t>
            </w:r>
            <w:r>
              <w:rPr>
                <w:rFonts w:ascii="Calibri" w:hAnsi="Calibri" w:cs="Calibri" w:eastAsia="Calibri"/>
                <w:color w:val="auto"/>
                <w:spacing w:val="0"/>
                <w:position w:val="0"/>
                <w:sz w:val="18"/>
                <w:shd w:fill="auto" w:val="clear"/>
              </w:rPr>
              <w:t xml:space="preserve">ćih patogenih stanja (alergija, raka, oboljenja dišnih putova, srčanih oboljenja itd.), uključuje informacije o učincima na zdravlje (biomarkere, smanjenje plodnosti, epidemije) ili dobrobit ljudi (umor, stres, posttraumatski stresni poremećaj, smrt itd.) koji su direktno (zagađenje zraka, toplinski valovi, suša, jake poplave, ozon iznad tla, buka itd.) ili indirektno (kvalitet hrane/vode, genetski modificirani organizmi itd.) povezani s kvalitetom okoliša. Također uključuje službu za zdravstvene usluge i s njom povezanu infrastrukturu (npr. bolnice);</w:t>
            </w:r>
          </w:p>
          <w:p>
            <w:pPr>
              <w:numPr>
                <w:ilvl w:val="0"/>
                <w:numId w:val="3308"/>
              </w:numPr>
              <w:spacing w:before="40" w:after="0" w:line="240"/>
              <w:ind w:right="0" w:left="360" w:hanging="36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Civilna zaštita i hitne službe - odnosi se na djelovanje civilne zaštite i hitnih službi za ili u ime javne uprave (npr. organizacije civilne zaštite, policija, vatrogasci, vozila hitne pomo</w:t>
            </w:r>
            <w:r>
              <w:rPr>
                <w:rFonts w:ascii="Calibri" w:hAnsi="Calibri" w:cs="Calibri" w:eastAsia="Calibri"/>
                <w:color w:val="auto"/>
                <w:spacing w:val="0"/>
                <w:position w:val="0"/>
                <w:sz w:val="18"/>
                <w:shd w:fill="auto" w:val="clear"/>
              </w:rPr>
              <w:t xml:space="preserve">ći, hitna medicinska služba), a obuhvata upravljanje i smanjenje rizika od lokalnih katastrofa (treninge osoblja, koordinaciju, opremu, izradu planova za hitne slučajeve itd.);</w:t>
            </w:r>
          </w:p>
          <w:p>
            <w:pPr>
              <w:numPr>
                <w:ilvl w:val="0"/>
                <w:numId w:val="3308"/>
              </w:numPr>
              <w:spacing w:before="40" w:after="0" w:line="240"/>
              <w:ind w:right="0" w:left="360" w:hanging="36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Turizam - odnosi se na aktivnosti osoba koje putuju i borave u mjestima izvan njihova uobi</w:t>
            </w:r>
            <w:r>
              <w:rPr>
                <w:rFonts w:ascii="Calibri" w:hAnsi="Calibri" w:cs="Calibri" w:eastAsia="Calibri"/>
                <w:color w:val="auto"/>
                <w:spacing w:val="0"/>
                <w:position w:val="0"/>
                <w:sz w:val="18"/>
                <w:shd w:fill="auto" w:val="clear"/>
              </w:rPr>
              <w:t xml:space="preserve">čajenog mjesta stanovanja, u periodu koji nije duži od jedne godine, radi odmora, posla i drugih razloga koji se ne odnose na obavljanje bilo kakve djelatnosti za što bi u destinaciji koju posjećuju primali naknadu;</w:t>
            </w:r>
          </w:p>
          <w:p>
            <w:pPr>
              <w:numPr>
                <w:ilvl w:val="0"/>
                <w:numId w:val="3308"/>
              </w:numPr>
              <w:spacing w:before="40" w:after="0" w:line="240"/>
              <w:ind w:right="0" w:left="360" w:hanging="36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Obrazovanje - odnosi se na ustanove, procese, sadržaje i rezultate organiziranog ili slu</w:t>
            </w:r>
            <w:r>
              <w:rPr>
                <w:rFonts w:ascii="Calibri" w:hAnsi="Calibri" w:cs="Calibri" w:eastAsia="Calibri"/>
                <w:color w:val="auto"/>
                <w:spacing w:val="0"/>
                <w:position w:val="0"/>
                <w:sz w:val="18"/>
                <w:shd w:fill="auto" w:val="clear"/>
              </w:rPr>
              <w:t xml:space="preserve">čajnog učenja u funkciji razvoja  kognitivnih sposobnosti, kao i sticanja znanja, vještina i navika o fizičkom, društvenom i ekonomskom okruženju</w:t>
            </w:r>
          </w:p>
          <w:p>
            <w:pPr>
              <w:numPr>
                <w:ilvl w:val="0"/>
                <w:numId w:val="3308"/>
              </w:numPr>
              <w:spacing w:before="40" w:after="120" w:line="240"/>
              <w:ind w:right="0" w:left="357" w:hanging="357"/>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Informaciono-komunikacione tehnologije - odnose se na integraciju (udruživanje) telekomunikacija, ra</w:t>
            </w:r>
            <w:r>
              <w:rPr>
                <w:rFonts w:ascii="Calibri" w:hAnsi="Calibri" w:cs="Calibri" w:eastAsia="Calibri"/>
                <w:color w:val="auto"/>
                <w:spacing w:val="0"/>
                <w:position w:val="0"/>
                <w:sz w:val="18"/>
                <w:shd w:fill="auto" w:val="clear"/>
              </w:rPr>
              <w:t xml:space="preserve">čunara, softvera, memorije, sa ciljem da se  korisnicima omogući pristup, čuvanje, prijenos i upravljanje informacijama.</w:t>
            </w:r>
          </w:p>
        </w:tc>
      </w:tr>
    </w:tbl>
    <w:p>
      <w:pPr>
        <w:spacing w:before="12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Odre</w:t>
      </w:r>
      <w:r>
        <w:rPr>
          <w:rFonts w:ascii="Calibri" w:hAnsi="Calibri" w:cs="Calibri" w:eastAsia="Calibri"/>
          <w:color w:val="auto"/>
          <w:spacing w:val="0"/>
          <w:position w:val="0"/>
          <w:sz w:val="20"/>
          <w:shd w:fill="auto" w:val="clear"/>
        </w:rPr>
        <w:t xml:space="preserve">đene opasnosti, kao što su poplave, imaju uticaja na sve navedene sektore dok druge imaju manji obim uticaja. Što se tiče opasnosti od poplava, na području Doboj Istoka ugroženi su sljedeći sektori: zgradarstvo, saobraćaj, energija, vodosnabdijevanje, planovi korištenja zemljišta, poljoprivreda i šumarstvo, zdravlje, civilna zaštita i hitne službe, obrazovanje te informaciono-komunikacione tehnologije. Nivo uticaja poplava na ove sektore je u najvećem broju slučajeva visok. Indikatori putem kojih se prati nivo uticaja opasnosti na sektore, navedeni su u narednoj tabeli.</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Uticaji drugih identificiranih opasnosti na socio-ekonomske i prirodne sektore na podru</w:t>
      </w:r>
      <w:r>
        <w:rPr>
          <w:rFonts w:ascii="Calibri" w:hAnsi="Calibri" w:cs="Calibri" w:eastAsia="Calibri"/>
          <w:color w:val="auto"/>
          <w:spacing w:val="0"/>
          <w:position w:val="0"/>
          <w:sz w:val="20"/>
          <w:shd w:fill="auto" w:val="clear"/>
        </w:rPr>
        <w:t xml:space="preserve">čju Doboj Istoka, kao i indikatori putem kojih se prati nivo uticaja opasnosti na pojedine sektore navedeni su u narednoj tabeli.  </w:t>
      </w:r>
    </w:p>
    <w:p>
      <w:pPr>
        <w:spacing w:before="60" w:after="0" w:line="240"/>
        <w:ind w:right="0" w:left="0" w:firstLine="0"/>
        <w:jc w:val="both"/>
        <w:rPr>
          <w:rFonts w:ascii="Calibri" w:hAnsi="Calibri" w:cs="Calibri" w:eastAsia="Calibri"/>
          <w:color w:val="auto"/>
          <w:spacing w:val="0"/>
          <w:position w:val="0"/>
          <w:sz w:val="20"/>
          <w:shd w:fill="FFFF00" w:val="clear"/>
        </w:rPr>
      </w:pPr>
    </w:p>
    <w:p>
      <w:pPr>
        <w:spacing w:before="60" w:after="0" w:line="240"/>
        <w:ind w:right="0" w:left="0" w:firstLine="0"/>
        <w:jc w:val="both"/>
        <w:rPr>
          <w:rFonts w:ascii="Calibri" w:hAnsi="Calibri" w:cs="Calibri" w:eastAsia="Calibri"/>
          <w:color w:val="auto"/>
          <w:spacing w:val="0"/>
          <w:position w:val="0"/>
          <w:sz w:val="20"/>
          <w:shd w:fill="FFFF00" w:val="clear"/>
        </w:rPr>
      </w:pPr>
    </w:p>
    <w:p>
      <w:pPr>
        <w:spacing w:before="60" w:after="0" w:line="240"/>
        <w:ind w:right="0" w:left="0" w:firstLine="0"/>
        <w:jc w:val="both"/>
        <w:rPr>
          <w:rFonts w:ascii="Calibri" w:hAnsi="Calibri" w:cs="Calibri" w:eastAsia="Calibri"/>
          <w:color w:val="auto"/>
          <w:spacing w:val="0"/>
          <w:position w:val="0"/>
          <w:sz w:val="18"/>
          <w:shd w:fill="FFFF00" w:val="clear"/>
        </w:rPr>
      </w:pPr>
      <w:r>
        <w:rPr>
          <w:rFonts w:ascii="Calibri" w:hAnsi="Calibri" w:cs="Calibri" w:eastAsia="Calibri"/>
          <w:color w:val="auto"/>
          <w:spacing w:val="0"/>
          <w:position w:val="0"/>
          <w:sz w:val="18"/>
          <w:shd w:fill="FFFF00" w:val="clear"/>
        </w:rPr>
        <w:t xml:space="preserve"> </w:t>
      </w:r>
    </w:p>
    <w:p>
      <w:pPr>
        <w:spacing w:before="60" w:after="0" w:line="240"/>
        <w:ind w:right="0" w:left="0" w:firstLine="0"/>
        <w:jc w:val="both"/>
        <w:rPr>
          <w:rFonts w:ascii="Calibri" w:hAnsi="Calibri" w:cs="Calibri" w:eastAsia="Calibri"/>
          <w:color w:val="auto"/>
          <w:spacing w:val="0"/>
          <w:position w:val="0"/>
          <w:sz w:val="18"/>
          <w:shd w:fill="FFFF00" w:val="clear"/>
        </w:rPr>
      </w:pPr>
    </w:p>
    <w:p>
      <w:pPr>
        <w:keepNext w:val="true"/>
        <w:spacing w:before="0" w:after="60" w:line="240"/>
        <w:ind w:right="0" w:left="0" w:firstLine="0"/>
        <w:jc w:val="center"/>
        <w:rPr>
          <w:rFonts w:ascii="Calibri" w:hAnsi="Calibri" w:cs="Calibri" w:eastAsia="Calibri"/>
          <w:i/>
          <w:color w:val="auto"/>
          <w:spacing w:val="0"/>
          <w:position w:val="0"/>
          <w:sz w:val="18"/>
          <w:shd w:fill="auto" w:val="clear"/>
        </w:rPr>
      </w:pPr>
      <w:r>
        <w:rPr>
          <w:rFonts w:ascii="Calibri" w:hAnsi="Calibri" w:cs="Calibri" w:eastAsia="Calibri"/>
          <w:i/>
          <w:color w:val="auto"/>
          <w:spacing w:val="0"/>
          <w:position w:val="0"/>
          <w:sz w:val="18"/>
          <w:shd w:fill="auto" w:val="clear"/>
        </w:rPr>
        <w:t xml:space="preserve">Tabela 63: Analiza ugroženosti socioekonomskih i prirodnih sektora na podru</w:t>
      </w:r>
      <w:r>
        <w:rPr>
          <w:rFonts w:ascii="Calibri" w:hAnsi="Calibri" w:cs="Calibri" w:eastAsia="Calibri"/>
          <w:i/>
          <w:color w:val="auto"/>
          <w:spacing w:val="0"/>
          <w:position w:val="0"/>
          <w:sz w:val="18"/>
          <w:shd w:fill="auto" w:val="clear"/>
        </w:rPr>
        <w:t xml:space="preserve">čju općine Doboj Istok od opasnosti prouzrokovanih klimatskim promjenama</w:t>
      </w:r>
    </w:p>
    <w:tbl>
      <w:tblPr/>
      <w:tblGrid>
        <w:gridCol w:w="421"/>
        <w:gridCol w:w="1079"/>
        <w:gridCol w:w="1080"/>
        <w:gridCol w:w="1080"/>
        <w:gridCol w:w="1590"/>
        <w:gridCol w:w="989"/>
        <w:gridCol w:w="1417"/>
        <w:gridCol w:w="1274"/>
        <w:gridCol w:w="1277"/>
        <w:gridCol w:w="1417"/>
        <w:gridCol w:w="1135"/>
        <w:gridCol w:w="1135"/>
        <w:gridCol w:w="1274"/>
      </w:tblGrid>
      <w:tr>
        <w:trPr>
          <w:trHeight w:val="1" w:hRule="atLeast"/>
          <w:jc w:val="left"/>
        </w:trPr>
        <w:tc>
          <w:tcPr>
            <w:tcW w:w="421" w:type="dxa"/>
            <w:vMerge w:val="restart"/>
            <w:tcBorders>
              <w:top w:val="single" w:color="000000" w:sz="4"/>
              <w:left w:val="single" w:color="000000" w:sz="4"/>
              <w:bottom w:val="single" w:color="000000" w:sz="4"/>
              <w:right w:val="single" w:color="000000" w:sz="4"/>
            </w:tcBorders>
            <w:shd w:color="000000" w:fill="f2f2f2" w:val="clear"/>
            <w:tcMar>
              <w:left w:w="108" w:type="dxa"/>
              <w:right w:w="108" w:type="dxa"/>
            </w:tcMar>
            <w:vAlign w:val="center"/>
          </w:tcPr>
          <w:p>
            <w:pPr>
              <w:spacing w:before="20" w:after="20" w:line="240"/>
              <w:ind w:right="113" w:left="113" w:firstLine="0"/>
              <w:jc w:val="center"/>
              <w:rPr>
                <w:rFonts w:ascii="Calibri" w:hAnsi="Calibri" w:cs="Calibri" w:eastAsia="Calibri"/>
                <w:spacing w:val="0"/>
                <w:position w:val="0"/>
              </w:rPr>
            </w:pPr>
            <w:r>
              <w:rPr>
                <w:rFonts w:ascii="Calibri" w:hAnsi="Calibri" w:cs="Calibri" w:eastAsia="Calibri"/>
                <w:b/>
                <w:color w:val="000000"/>
                <w:spacing w:val="0"/>
                <w:position w:val="0"/>
                <w:sz w:val="16"/>
                <w:shd w:fill="auto" w:val="clear"/>
              </w:rPr>
              <w:t xml:space="preserve">Opasnosti</w:t>
            </w:r>
          </w:p>
        </w:tc>
        <w:tc>
          <w:tcPr>
            <w:tcW w:w="14747" w:type="dxa"/>
            <w:gridSpan w:val="12"/>
            <w:tcBorders>
              <w:top w:val="single" w:color="000000" w:sz="4"/>
              <w:left w:val="single" w:color="000000" w:sz="4"/>
              <w:bottom w:val="single" w:color="000000" w:sz="4"/>
              <w:right w:val="single" w:color="000000" w:sz="4"/>
            </w:tcBorders>
            <w:shd w:color="000000" w:fill="bdd7ee" w:val="clear"/>
            <w:tcMar>
              <w:left w:w="108" w:type="dxa"/>
              <w:right w:w="108" w:type="dxa"/>
            </w:tcMar>
            <w:vAlign w:val="center"/>
          </w:tcPr>
          <w:p>
            <w:pPr>
              <w:spacing w:before="20" w:after="20" w:line="240"/>
              <w:ind w:right="0" w:left="0" w:firstLine="0"/>
              <w:jc w:val="center"/>
              <w:rPr>
                <w:rFonts w:ascii="Calibri" w:hAnsi="Calibri" w:cs="Calibri" w:eastAsia="Calibri"/>
                <w:spacing w:val="0"/>
                <w:position w:val="0"/>
              </w:rPr>
            </w:pPr>
            <w:r>
              <w:rPr>
                <w:rFonts w:ascii="Calibri" w:hAnsi="Calibri" w:cs="Calibri" w:eastAsia="Calibri"/>
                <w:b/>
                <w:color w:val="000000"/>
                <w:spacing w:val="0"/>
                <w:position w:val="0"/>
                <w:sz w:val="16"/>
                <w:shd w:fill="auto" w:val="clear"/>
              </w:rPr>
              <w:t xml:space="preserve">Ugroženi sektori</w:t>
            </w:r>
          </w:p>
        </w:tc>
      </w:tr>
      <w:tr>
        <w:trPr>
          <w:trHeight w:val="1" w:hRule="atLeast"/>
          <w:jc w:val="left"/>
        </w:trPr>
        <w:tc>
          <w:tcPr>
            <w:tcW w:w="421"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079" w:type="dxa"/>
            <w:tcBorders>
              <w:top w:val="single" w:color="000000" w:sz="4"/>
              <w:left w:val="single" w:color="000000" w:sz="0"/>
              <w:bottom w:val="single" w:color="000000" w:sz="4"/>
              <w:right w:val="single" w:color="000000" w:sz="4"/>
            </w:tcBorders>
            <w:shd w:color="000000" w:fill="bdd7ee" w:val="clear"/>
            <w:tcMar>
              <w:left w:w="108" w:type="dxa"/>
              <w:right w:w="108" w:type="dxa"/>
            </w:tcMar>
            <w:vAlign w:val="center"/>
          </w:tcPr>
          <w:p>
            <w:pPr>
              <w:spacing w:before="20" w:after="20" w:line="240"/>
              <w:ind w:right="0" w:left="0" w:firstLine="0"/>
              <w:jc w:val="center"/>
              <w:rPr>
                <w:rFonts w:ascii="Calibri" w:hAnsi="Calibri" w:cs="Calibri" w:eastAsia="Calibri"/>
                <w:spacing w:val="0"/>
                <w:position w:val="0"/>
              </w:rPr>
            </w:pPr>
            <w:r>
              <w:rPr>
                <w:rFonts w:ascii="Calibri" w:hAnsi="Calibri" w:cs="Calibri" w:eastAsia="Calibri"/>
                <w:b/>
                <w:color w:val="000000"/>
                <w:spacing w:val="0"/>
                <w:position w:val="0"/>
                <w:sz w:val="16"/>
                <w:shd w:fill="auto" w:val="clear"/>
              </w:rPr>
              <w:t xml:space="preserve">Zgrade</w:t>
            </w:r>
            <w:r>
              <w:rPr>
                <w:rFonts w:ascii="Calibri" w:hAnsi="Calibri" w:cs="Calibri" w:eastAsia="Calibri"/>
                <w:color w:val="000000"/>
                <w:spacing w:val="0"/>
                <w:position w:val="0"/>
                <w:sz w:val="16"/>
                <w:shd w:fill="auto" w:val="clear"/>
              </w:rPr>
              <w:br/>
            </w:r>
          </w:p>
        </w:tc>
        <w:tc>
          <w:tcPr>
            <w:tcW w:w="1080" w:type="dxa"/>
            <w:tcBorders>
              <w:top w:val="single" w:color="000000" w:sz="4"/>
              <w:left w:val="single" w:color="000000" w:sz="0"/>
              <w:bottom w:val="single" w:color="000000" w:sz="4"/>
              <w:right w:val="single" w:color="000000" w:sz="4"/>
            </w:tcBorders>
            <w:shd w:color="000000" w:fill="bdd7ee" w:val="clear"/>
            <w:tcMar>
              <w:left w:w="108" w:type="dxa"/>
              <w:right w:w="108" w:type="dxa"/>
            </w:tcMar>
            <w:vAlign w:val="center"/>
          </w:tcPr>
          <w:p>
            <w:pPr>
              <w:spacing w:before="20" w:after="20" w:line="240"/>
              <w:ind w:right="0" w:left="0" w:firstLine="0"/>
              <w:jc w:val="center"/>
              <w:rPr>
                <w:rFonts w:ascii="Calibri" w:hAnsi="Calibri" w:cs="Calibri" w:eastAsia="Calibri"/>
                <w:spacing w:val="0"/>
                <w:position w:val="0"/>
              </w:rPr>
            </w:pPr>
            <w:r>
              <w:rPr>
                <w:rFonts w:ascii="Calibri" w:hAnsi="Calibri" w:cs="Calibri" w:eastAsia="Calibri"/>
                <w:b/>
                <w:color w:val="000000"/>
                <w:spacing w:val="0"/>
                <w:position w:val="0"/>
                <w:sz w:val="16"/>
                <w:shd w:fill="auto" w:val="clear"/>
              </w:rPr>
              <w:t xml:space="preserve">Prijevoz</w:t>
            </w:r>
          </w:p>
        </w:tc>
        <w:tc>
          <w:tcPr>
            <w:tcW w:w="1080" w:type="dxa"/>
            <w:tcBorders>
              <w:top w:val="single" w:color="000000" w:sz="4"/>
              <w:left w:val="single" w:color="000000" w:sz="0"/>
              <w:bottom w:val="single" w:color="000000" w:sz="4"/>
              <w:right w:val="single" w:color="000000" w:sz="4"/>
            </w:tcBorders>
            <w:shd w:color="000000" w:fill="bdd7ee" w:val="clear"/>
            <w:tcMar>
              <w:left w:w="108" w:type="dxa"/>
              <w:right w:w="108" w:type="dxa"/>
            </w:tcMar>
            <w:vAlign w:val="center"/>
          </w:tcPr>
          <w:p>
            <w:pPr>
              <w:spacing w:before="20" w:after="20" w:line="240"/>
              <w:ind w:right="0" w:left="0" w:firstLine="0"/>
              <w:jc w:val="center"/>
              <w:rPr>
                <w:rFonts w:ascii="Calibri" w:hAnsi="Calibri" w:cs="Calibri" w:eastAsia="Calibri"/>
                <w:spacing w:val="0"/>
                <w:position w:val="0"/>
              </w:rPr>
            </w:pPr>
            <w:r>
              <w:rPr>
                <w:rFonts w:ascii="Calibri" w:hAnsi="Calibri" w:cs="Calibri" w:eastAsia="Calibri"/>
                <w:b/>
                <w:color w:val="000000"/>
                <w:spacing w:val="0"/>
                <w:position w:val="0"/>
                <w:sz w:val="16"/>
                <w:shd w:fill="auto" w:val="clear"/>
              </w:rPr>
              <w:t xml:space="preserve">Energija</w:t>
            </w:r>
            <w:r>
              <w:rPr>
                <w:rFonts w:ascii="Calibri" w:hAnsi="Calibri" w:cs="Calibri" w:eastAsia="Calibri"/>
                <w:color w:val="000000"/>
                <w:spacing w:val="0"/>
                <w:position w:val="0"/>
                <w:sz w:val="16"/>
                <w:shd w:fill="auto" w:val="clear"/>
              </w:rPr>
              <w:br/>
            </w:r>
          </w:p>
        </w:tc>
        <w:tc>
          <w:tcPr>
            <w:tcW w:w="1590" w:type="dxa"/>
            <w:tcBorders>
              <w:top w:val="single" w:color="000000" w:sz="4"/>
              <w:left w:val="single" w:color="000000" w:sz="0"/>
              <w:bottom w:val="single" w:color="000000" w:sz="4"/>
              <w:right w:val="single" w:color="000000" w:sz="4"/>
            </w:tcBorders>
            <w:shd w:color="000000" w:fill="bdd7ee" w:val="clear"/>
            <w:tcMar>
              <w:left w:w="108" w:type="dxa"/>
              <w:right w:w="108" w:type="dxa"/>
            </w:tcMar>
            <w:vAlign w:val="center"/>
          </w:tcPr>
          <w:p>
            <w:pPr>
              <w:spacing w:before="20" w:after="20" w:line="240"/>
              <w:ind w:right="0" w:left="0" w:firstLine="0"/>
              <w:jc w:val="center"/>
              <w:rPr>
                <w:rFonts w:ascii="Calibri" w:hAnsi="Calibri" w:cs="Calibri" w:eastAsia="Calibri"/>
                <w:spacing w:val="0"/>
                <w:position w:val="0"/>
              </w:rPr>
            </w:pPr>
            <w:r>
              <w:rPr>
                <w:rFonts w:ascii="Calibri" w:hAnsi="Calibri" w:cs="Calibri" w:eastAsia="Calibri"/>
                <w:b/>
                <w:color w:val="000000"/>
                <w:spacing w:val="0"/>
                <w:position w:val="0"/>
                <w:sz w:val="16"/>
                <w:shd w:fill="auto" w:val="clear"/>
              </w:rPr>
              <w:t xml:space="preserve">Vodosnabdijevanje</w:t>
            </w:r>
            <w:r>
              <w:rPr>
                <w:rFonts w:ascii="Calibri" w:hAnsi="Calibri" w:cs="Calibri" w:eastAsia="Calibri"/>
                <w:color w:val="000000"/>
                <w:spacing w:val="0"/>
                <w:position w:val="0"/>
                <w:sz w:val="16"/>
                <w:shd w:fill="auto" w:val="clear"/>
              </w:rPr>
              <w:br/>
            </w:r>
          </w:p>
        </w:tc>
        <w:tc>
          <w:tcPr>
            <w:tcW w:w="989" w:type="dxa"/>
            <w:tcBorders>
              <w:top w:val="single" w:color="000000" w:sz="4"/>
              <w:left w:val="single" w:color="000000" w:sz="0"/>
              <w:bottom w:val="single" w:color="000000" w:sz="4"/>
              <w:right w:val="single" w:color="000000" w:sz="4"/>
            </w:tcBorders>
            <w:shd w:color="000000" w:fill="bdd7ee" w:val="clear"/>
            <w:tcMar>
              <w:left w:w="108" w:type="dxa"/>
              <w:right w:w="108" w:type="dxa"/>
            </w:tcMar>
            <w:vAlign w:val="center"/>
          </w:tcPr>
          <w:p>
            <w:pPr>
              <w:spacing w:before="20" w:after="20" w:line="240"/>
              <w:ind w:right="0" w:left="0" w:firstLine="0"/>
              <w:jc w:val="center"/>
              <w:rPr>
                <w:rFonts w:ascii="Calibri" w:hAnsi="Calibri" w:cs="Calibri" w:eastAsia="Calibri"/>
                <w:spacing w:val="0"/>
                <w:position w:val="0"/>
              </w:rPr>
            </w:pPr>
            <w:r>
              <w:rPr>
                <w:rFonts w:ascii="Calibri" w:hAnsi="Calibri" w:cs="Calibri" w:eastAsia="Calibri"/>
                <w:b/>
                <w:color w:val="000000"/>
                <w:spacing w:val="0"/>
                <w:position w:val="0"/>
                <w:sz w:val="16"/>
                <w:shd w:fill="auto" w:val="clear"/>
              </w:rPr>
              <w:t xml:space="preserve">Upravljanje otpadom</w:t>
            </w:r>
            <w:r>
              <w:rPr>
                <w:rFonts w:ascii="Calibri" w:hAnsi="Calibri" w:cs="Calibri" w:eastAsia="Calibri"/>
                <w:color w:val="000000"/>
                <w:spacing w:val="0"/>
                <w:position w:val="0"/>
                <w:sz w:val="16"/>
                <w:shd w:fill="auto" w:val="clear"/>
              </w:rPr>
              <w:br/>
            </w:r>
          </w:p>
        </w:tc>
        <w:tc>
          <w:tcPr>
            <w:tcW w:w="1417" w:type="dxa"/>
            <w:tcBorders>
              <w:top w:val="single" w:color="000000" w:sz="4"/>
              <w:left w:val="single" w:color="000000" w:sz="0"/>
              <w:bottom w:val="single" w:color="000000" w:sz="4"/>
              <w:right w:val="single" w:color="000000" w:sz="4"/>
            </w:tcBorders>
            <w:shd w:color="000000" w:fill="bdd7ee" w:val="clear"/>
            <w:tcMar>
              <w:left w:w="108" w:type="dxa"/>
              <w:right w:w="108" w:type="dxa"/>
            </w:tcMar>
            <w:vAlign w:val="center"/>
          </w:tcPr>
          <w:p>
            <w:pPr>
              <w:spacing w:before="20" w:after="20" w:line="240"/>
              <w:ind w:right="0" w:left="0" w:firstLine="0"/>
              <w:jc w:val="center"/>
              <w:rPr>
                <w:rFonts w:ascii="Calibri" w:hAnsi="Calibri" w:cs="Calibri" w:eastAsia="Calibri"/>
                <w:spacing w:val="0"/>
                <w:position w:val="0"/>
              </w:rPr>
            </w:pPr>
            <w:r>
              <w:rPr>
                <w:rFonts w:ascii="Calibri" w:hAnsi="Calibri" w:cs="Calibri" w:eastAsia="Calibri"/>
                <w:b/>
                <w:color w:val="000000"/>
                <w:spacing w:val="0"/>
                <w:position w:val="0"/>
                <w:sz w:val="16"/>
                <w:shd w:fill="auto" w:val="clear"/>
              </w:rPr>
              <w:t xml:space="preserve">Planovi korištenja zemljišta</w:t>
            </w:r>
          </w:p>
        </w:tc>
        <w:tc>
          <w:tcPr>
            <w:tcW w:w="1274" w:type="dxa"/>
            <w:tcBorders>
              <w:top w:val="single" w:color="000000" w:sz="4"/>
              <w:left w:val="single" w:color="000000" w:sz="0"/>
              <w:bottom w:val="single" w:color="000000" w:sz="4"/>
              <w:right w:val="single" w:color="000000" w:sz="4"/>
            </w:tcBorders>
            <w:shd w:color="000000" w:fill="bdd7ee" w:val="clear"/>
            <w:tcMar>
              <w:left w:w="108" w:type="dxa"/>
              <w:right w:w="108" w:type="dxa"/>
            </w:tcMar>
            <w:vAlign w:val="center"/>
          </w:tcPr>
          <w:p>
            <w:pPr>
              <w:spacing w:before="20" w:after="20" w:line="240"/>
              <w:ind w:right="0" w:left="0" w:firstLine="0"/>
              <w:jc w:val="center"/>
              <w:rPr>
                <w:rFonts w:ascii="Calibri" w:hAnsi="Calibri" w:cs="Calibri" w:eastAsia="Calibri"/>
                <w:spacing w:val="0"/>
                <w:position w:val="0"/>
              </w:rPr>
            </w:pPr>
            <w:r>
              <w:rPr>
                <w:rFonts w:ascii="Calibri" w:hAnsi="Calibri" w:cs="Calibri" w:eastAsia="Calibri"/>
                <w:b/>
                <w:color w:val="000000"/>
                <w:spacing w:val="0"/>
                <w:position w:val="0"/>
                <w:sz w:val="16"/>
                <w:shd w:fill="auto" w:val="clear"/>
              </w:rPr>
              <w:t xml:space="preserve">Poljoprivreda i šumarstvo</w:t>
            </w:r>
            <w:r>
              <w:rPr>
                <w:rFonts w:ascii="Calibri" w:hAnsi="Calibri" w:cs="Calibri" w:eastAsia="Calibri"/>
                <w:color w:val="000000"/>
                <w:spacing w:val="0"/>
                <w:position w:val="0"/>
                <w:sz w:val="16"/>
                <w:shd w:fill="auto" w:val="clear"/>
              </w:rPr>
              <w:br/>
            </w:r>
          </w:p>
        </w:tc>
        <w:tc>
          <w:tcPr>
            <w:tcW w:w="1277" w:type="dxa"/>
            <w:tcBorders>
              <w:top w:val="single" w:color="000000" w:sz="4"/>
              <w:left w:val="single" w:color="000000" w:sz="0"/>
              <w:bottom w:val="single" w:color="000000" w:sz="4"/>
              <w:right w:val="single" w:color="000000" w:sz="4"/>
            </w:tcBorders>
            <w:shd w:color="000000" w:fill="bdd7ee" w:val="clear"/>
            <w:tcMar>
              <w:left w:w="108" w:type="dxa"/>
              <w:right w:w="108" w:type="dxa"/>
            </w:tcMar>
            <w:vAlign w:val="center"/>
          </w:tcPr>
          <w:p>
            <w:pPr>
              <w:spacing w:before="20" w:after="20" w:line="240"/>
              <w:ind w:right="0" w:left="0" w:firstLine="0"/>
              <w:jc w:val="center"/>
              <w:rPr>
                <w:rFonts w:ascii="Calibri" w:hAnsi="Calibri" w:cs="Calibri" w:eastAsia="Calibri"/>
                <w:spacing w:val="0"/>
                <w:position w:val="0"/>
              </w:rPr>
            </w:pPr>
            <w:r>
              <w:rPr>
                <w:rFonts w:ascii="Calibri" w:hAnsi="Calibri" w:cs="Calibri" w:eastAsia="Calibri"/>
                <w:b/>
                <w:color w:val="000000"/>
                <w:spacing w:val="0"/>
                <w:position w:val="0"/>
                <w:sz w:val="16"/>
                <w:shd w:fill="auto" w:val="clear"/>
              </w:rPr>
              <w:t xml:space="preserve">Okoliš i biodiverzitet</w:t>
            </w:r>
          </w:p>
        </w:tc>
        <w:tc>
          <w:tcPr>
            <w:tcW w:w="1417" w:type="dxa"/>
            <w:tcBorders>
              <w:top w:val="single" w:color="000000" w:sz="4"/>
              <w:left w:val="single" w:color="000000" w:sz="0"/>
              <w:bottom w:val="single" w:color="000000" w:sz="4"/>
              <w:right w:val="single" w:color="000000" w:sz="4"/>
            </w:tcBorders>
            <w:shd w:color="000000" w:fill="bdd7ee" w:val="clear"/>
            <w:tcMar>
              <w:left w:w="108" w:type="dxa"/>
              <w:right w:w="108" w:type="dxa"/>
            </w:tcMar>
            <w:vAlign w:val="center"/>
          </w:tcPr>
          <w:p>
            <w:pPr>
              <w:spacing w:before="20" w:after="20" w:line="240"/>
              <w:ind w:right="0" w:left="0" w:firstLine="0"/>
              <w:jc w:val="center"/>
              <w:rPr>
                <w:rFonts w:ascii="Calibri" w:hAnsi="Calibri" w:cs="Calibri" w:eastAsia="Calibri"/>
                <w:spacing w:val="0"/>
                <w:position w:val="0"/>
              </w:rPr>
            </w:pPr>
            <w:r>
              <w:rPr>
                <w:rFonts w:ascii="Calibri" w:hAnsi="Calibri" w:cs="Calibri" w:eastAsia="Calibri"/>
                <w:b/>
                <w:color w:val="000000"/>
                <w:spacing w:val="0"/>
                <w:position w:val="0"/>
                <w:sz w:val="16"/>
                <w:shd w:fill="auto" w:val="clear"/>
              </w:rPr>
              <w:t xml:space="preserve">Zdravlje</w:t>
            </w:r>
          </w:p>
        </w:tc>
        <w:tc>
          <w:tcPr>
            <w:tcW w:w="1135" w:type="dxa"/>
            <w:tcBorders>
              <w:top w:val="single" w:color="000000" w:sz="4"/>
              <w:left w:val="single" w:color="000000" w:sz="0"/>
              <w:bottom w:val="single" w:color="000000" w:sz="4"/>
              <w:right w:val="single" w:color="000000" w:sz="4"/>
            </w:tcBorders>
            <w:shd w:color="000000" w:fill="bdd7ee" w:val="clear"/>
            <w:tcMar>
              <w:left w:w="108" w:type="dxa"/>
              <w:right w:w="108" w:type="dxa"/>
            </w:tcMar>
            <w:vAlign w:val="center"/>
          </w:tcPr>
          <w:p>
            <w:pPr>
              <w:spacing w:before="20" w:after="20" w:line="240"/>
              <w:ind w:right="0" w:left="0" w:firstLine="0"/>
              <w:jc w:val="center"/>
              <w:rPr>
                <w:rFonts w:ascii="Calibri" w:hAnsi="Calibri" w:cs="Calibri" w:eastAsia="Calibri"/>
                <w:spacing w:val="0"/>
                <w:position w:val="0"/>
              </w:rPr>
            </w:pPr>
            <w:r>
              <w:rPr>
                <w:rFonts w:ascii="Calibri" w:hAnsi="Calibri" w:cs="Calibri" w:eastAsia="Calibri"/>
                <w:b/>
                <w:color w:val="000000"/>
                <w:spacing w:val="0"/>
                <w:position w:val="0"/>
                <w:sz w:val="16"/>
                <w:shd w:fill="auto" w:val="clear"/>
              </w:rPr>
              <w:t xml:space="preserve">Civilna zaštita i hitne službe</w:t>
            </w:r>
          </w:p>
        </w:tc>
        <w:tc>
          <w:tcPr>
            <w:tcW w:w="1135" w:type="dxa"/>
            <w:tcBorders>
              <w:top w:val="single" w:color="000000" w:sz="4"/>
              <w:left w:val="single" w:color="000000" w:sz="0"/>
              <w:bottom w:val="single" w:color="000000" w:sz="4"/>
              <w:right w:val="single" w:color="000000" w:sz="4"/>
            </w:tcBorders>
            <w:shd w:color="000000" w:fill="bdd7ee" w:val="clear"/>
            <w:tcMar>
              <w:left w:w="108" w:type="dxa"/>
              <w:right w:w="108" w:type="dxa"/>
            </w:tcMar>
            <w:vAlign w:val="center"/>
          </w:tcPr>
          <w:p>
            <w:pPr>
              <w:spacing w:before="20" w:after="20" w:line="240"/>
              <w:ind w:right="0" w:left="0" w:firstLine="0"/>
              <w:jc w:val="center"/>
              <w:rPr>
                <w:rFonts w:ascii="Calibri" w:hAnsi="Calibri" w:cs="Calibri" w:eastAsia="Calibri"/>
                <w:spacing w:val="0"/>
                <w:position w:val="0"/>
              </w:rPr>
            </w:pPr>
            <w:r>
              <w:rPr>
                <w:rFonts w:ascii="Calibri" w:hAnsi="Calibri" w:cs="Calibri" w:eastAsia="Calibri"/>
                <w:b/>
                <w:color w:val="000000"/>
                <w:spacing w:val="0"/>
                <w:position w:val="0"/>
                <w:sz w:val="16"/>
                <w:shd w:fill="auto" w:val="clear"/>
              </w:rPr>
              <w:t xml:space="preserve">Obrazovanje</w:t>
            </w:r>
          </w:p>
        </w:tc>
        <w:tc>
          <w:tcPr>
            <w:tcW w:w="1274" w:type="dxa"/>
            <w:tcBorders>
              <w:top w:val="single" w:color="000000" w:sz="4"/>
              <w:left w:val="single" w:color="000000" w:sz="0"/>
              <w:bottom w:val="single" w:color="000000" w:sz="4"/>
              <w:right w:val="single" w:color="000000" w:sz="4"/>
            </w:tcBorders>
            <w:shd w:color="000000" w:fill="bdd7ee" w:val="clear"/>
            <w:tcMar>
              <w:left w:w="108" w:type="dxa"/>
              <w:right w:w="108" w:type="dxa"/>
            </w:tcMar>
            <w:vAlign w:val="center"/>
          </w:tcPr>
          <w:p>
            <w:pPr>
              <w:spacing w:before="20" w:after="20" w:line="240"/>
              <w:ind w:right="0" w:left="0" w:firstLine="0"/>
              <w:jc w:val="center"/>
              <w:rPr>
                <w:rFonts w:ascii="Calibri" w:hAnsi="Calibri" w:cs="Calibri" w:eastAsia="Calibri"/>
                <w:spacing w:val="0"/>
                <w:position w:val="0"/>
              </w:rPr>
            </w:pPr>
            <w:r>
              <w:rPr>
                <w:rFonts w:ascii="Calibri" w:hAnsi="Calibri" w:cs="Calibri" w:eastAsia="Calibri"/>
                <w:b/>
                <w:color w:val="000000"/>
                <w:spacing w:val="0"/>
                <w:position w:val="0"/>
                <w:sz w:val="16"/>
                <w:shd w:fill="auto" w:val="clear"/>
              </w:rPr>
              <w:t xml:space="preserve">Inf. kom. tehnologije</w:t>
            </w:r>
          </w:p>
        </w:tc>
      </w:tr>
      <w:tr>
        <w:trPr>
          <w:trHeight w:val="1" w:hRule="atLeast"/>
          <w:jc w:val="left"/>
          <w:cantSplit w:val="1"/>
        </w:trPr>
        <w:tc>
          <w:tcPr>
            <w:tcW w:w="421" w:type="dxa"/>
            <w:tcBorders>
              <w:top w:val="single" w:color="000000" w:sz="0"/>
              <w:left w:val="single" w:color="000000" w:sz="4"/>
              <w:bottom w:val="single" w:color="000000" w:sz="4"/>
              <w:right w:val="single" w:color="000000" w:sz="4"/>
            </w:tcBorders>
            <w:shd w:color="000000" w:fill="f2f2f2" w:val="clear"/>
            <w:tcMar>
              <w:left w:w="108" w:type="dxa"/>
              <w:right w:w="108" w:type="dxa"/>
            </w:tcMar>
            <w:vAlign w:val="center"/>
          </w:tcPr>
          <w:p>
            <w:pPr>
              <w:spacing w:before="20" w:after="20" w:line="240"/>
              <w:ind w:right="113" w:left="113" w:firstLine="0"/>
              <w:jc w:val="center"/>
              <w:rPr>
                <w:rFonts w:ascii="Calibri" w:hAnsi="Calibri" w:cs="Calibri" w:eastAsia="Calibri"/>
                <w:spacing w:val="0"/>
                <w:position w:val="0"/>
              </w:rPr>
            </w:pPr>
            <w:r>
              <w:rPr>
                <w:rFonts w:ascii="Calibri" w:hAnsi="Calibri" w:cs="Calibri" w:eastAsia="Calibri"/>
                <w:b/>
                <w:color w:val="000000"/>
                <w:spacing w:val="0"/>
                <w:position w:val="0"/>
                <w:sz w:val="16"/>
                <w:shd w:fill="auto" w:val="clear"/>
              </w:rPr>
              <w:t xml:space="preserve">Ekstremno visoke temperature</w:t>
            </w:r>
          </w:p>
        </w:tc>
        <w:tc>
          <w:tcPr>
            <w:tcW w:w="1079" w:type="dxa"/>
            <w:tcBorders>
              <w:top w:val="single" w:color="000000" w:sz="0"/>
              <w:left w:val="single" w:color="000000" w:sz="0"/>
              <w:bottom w:val="single" w:color="000000" w:sz="4"/>
              <w:right w:val="single" w:color="000000" w:sz="4"/>
            </w:tcBorders>
            <w:shd w:color="000000" w:fill="bdd7ee" w:val="clear"/>
            <w:tcMar>
              <w:left w:w="108" w:type="dxa"/>
              <w:right w:w="108" w:type="dxa"/>
            </w:tcMar>
            <w:vAlign w:val="top"/>
          </w:tcPr>
          <w:p>
            <w:pPr>
              <w:spacing w:before="20" w:after="2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w:t>
            </w:r>
          </w:p>
        </w:tc>
        <w:tc>
          <w:tcPr>
            <w:tcW w:w="1080" w:type="dxa"/>
            <w:tcBorders>
              <w:top w:val="single" w:color="000000" w:sz="0"/>
              <w:left w:val="single" w:color="000000" w:sz="0"/>
              <w:bottom w:val="single" w:color="000000" w:sz="4"/>
              <w:right w:val="single" w:color="000000" w:sz="4"/>
            </w:tcBorders>
            <w:shd w:color="000000" w:fill="bdd7ee" w:val="clear"/>
            <w:tcMar>
              <w:left w:w="108" w:type="dxa"/>
              <w:right w:w="108" w:type="dxa"/>
            </w:tcMar>
            <w:vAlign w:val="top"/>
          </w:tcPr>
          <w:p>
            <w:pPr>
              <w:spacing w:before="20" w:after="2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w:t>
            </w:r>
          </w:p>
        </w:tc>
        <w:tc>
          <w:tcPr>
            <w:tcW w:w="1080" w:type="dxa"/>
            <w:tcBorders>
              <w:top w:val="single" w:color="000000" w:sz="0"/>
              <w:left w:val="single" w:color="000000" w:sz="0"/>
              <w:bottom w:val="single" w:color="000000" w:sz="4"/>
              <w:right w:val="single" w:color="000000" w:sz="4"/>
            </w:tcBorders>
            <w:shd w:color="000000" w:fill="bdd7ee" w:val="clear"/>
            <w:tcMar>
              <w:left w:w="108" w:type="dxa"/>
              <w:right w:w="108" w:type="dxa"/>
            </w:tcMar>
            <w:vAlign w:val="top"/>
          </w:tcPr>
          <w:p>
            <w:pPr>
              <w:spacing w:before="20" w:after="2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w:t>
            </w:r>
          </w:p>
        </w:tc>
        <w:tc>
          <w:tcPr>
            <w:tcW w:w="1590" w:type="dxa"/>
            <w:tcBorders>
              <w:top w:val="single" w:color="000000" w:sz="0"/>
              <w:left w:val="single" w:color="000000" w:sz="0"/>
              <w:bottom w:val="single" w:color="000000" w:sz="4"/>
              <w:right w:val="single" w:color="000000" w:sz="4"/>
            </w:tcBorders>
            <w:shd w:color="000000" w:fill="bdd7ee" w:val="clear"/>
            <w:tcMar>
              <w:left w:w="108" w:type="dxa"/>
              <w:right w:w="108" w:type="dxa"/>
            </w:tcMar>
            <w:vAlign w:val="top"/>
          </w:tcPr>
          <w:p>
            <w:pPr>
              <w:spacing w:before="20" w:after="2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Nisko</w:t>
              <w:br/>
              <w:t xml:space="preserve">(Broj dana prekida vodosnabdijevanja)</w:t>
            </w:r>
          </w:p>
        </w:tc>
        <w:tc>
          <w:tcPr>
            <w:tcW w:w="989" w:type="dxa"/>
            <w:tcBorders>
              <w:top w:val="single" w:color="000000" w:sz="0"/>
              <w:left w:val="single" w:color="000000" w:sz="0"/>
              <w:bottom w:val="single" w:color="000000" w:sz="4"/>
              <w:right w:val="single" w:color="000000" w:sz="4"/>
            </w:tcBorders>
            <w:shd w:color="000000" w:fill="bdd7ee" w:val="clear"/>
            <w:tcMar>
              <w:left w:w="108" w:type="dxa"/>
              <w:right w:w="108" w:type="dxa"/>
            </w:tcMar>
            <w:vAlign w:val="top"/>
          </w:tcPr>
          <w:p>
            <w:pPr>
              <w:spacing w:before="20" w:after="2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w:t>
            </w:r>
          </w:p>
        </w:tc>
        <w:tc>
          <w:tcPr>
            <w:tcW w:w="1417" w:type="dxa"/>
            <w:tcBorders>
              <w:top w:val="single" w:color="000000" w:sz="0"/>
              <w:left w:val="single" w:color="000000" w:sz="0"/>
              <w:bottom w:val="single" w:color="000000" w:sz="4"/>
              <w:right w:val="single" w:color="000000" w:sz="4"/>
            </w:tcBorders>
            <w:shd w:color="000000" w:fill="bdd7ee" w:val="clear"/>
            <w:tcMar>
              <w:left w:w="108" w:type="dxa"/>
              <w:right w:w="108" w:type="dxa"/>
            </w:tcMar>
            <w:vAlign w:val="top"/>
          </w:tcPr>
          <w:p>
            <w:pPr>
              <w:spacing w:before="20" w:after="2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w:t>
            </w:r>
          </w:p>
        </w:tc>
        <w:tc>
          <w:tcPr>
            <w:tcW w:w="1274" w:type="dxa"/>
            <w:tcBorders>
              <w:top w:val="single" w:color="000000" w:sz="0"/>
              <w:left w:val="single" w:color="000000" w:sz="0"/>
              <w:bottom w:val="single" w:color="000000" w:sz="4"/>
              <w:right w:val="single" w:color="000000" w:sz="4"/>
            </w:tcBorders>
            <w:shd w:color="000000" w:fill="bdd7ee" w:val="clear"/>
            <w:tcMar>
              <w:left w:w="108" w:type="dxa"/>
              <w:right w:w="108" w:type="dxa"/>
            </w:tcMar>
            <w:vAlign w:val="top"/>
          </w:tcPr>
          <w:p>
            <w:pPr>
              <w:spacing w:before="20" w:after="2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Visoko (površina poljoprivrednog zemljišta na kojem su ošte</w:t>
            </w:r>
            <w:r>
              <w:rPr>
                <w:rFonts w:ascii="Calibri" w:hAnsi="Calibri" w:cs="Calibri" w:eastAsia="Calibri"/>
                <w:color w:val="000000"/>
                <w:spacing w:val="0"/>
                <w:position w:val="0"/>
                <w:sz w:val="16"/>
                <w:shd w:fill="auto" w:val="clear"/>
              </w:rPr>
              <w:t xml:space="preserve">ćeni usjevi)</w:t>
            </w:r>
          </w:p>
        </w:tc>
        <w:tc>
          <w:tcPr>
            <w:tcW w:w="1277" w:type="dxa"/>
            <w:tcBorders>
              <w:top w:val="single" w:color="000000" w:sz="0"/>
              <w:left w:val="single" w:color="000000" w:sz="0"/>
              <w:bottom w:val="single" w:color="000000" w:sz="4"/>
              <w:right w:val="single" w:color="000000" w:sz="4"/>
            </w:tcBorders>
            <w:shd w:color="000000" w:fill="bdd7ee" w:val="clear"/>
            <w:tcMar>
              <w:left w:w="108" w:type="dxa"/>
              <w:right w:w="108" w:type="dxa"/>
            </w:tcMar>
            <w:vAlign w:val="top"/>
          </w:tcPr>
          <w:p>
            <w:pPr>
              <w:spacing w:before="20" w:after="2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Umjereno (%  zelenih površina ugroženih ekstremno visokim temperaturama</w:t>
            </w:r>
          </w:p>
        </w:tc>
        <w:tc>
          <w:tcPr>
            <w:tcW w:w="1417" w:type="dxa"/>
            <w:tcBorders>
              <w:top w:val="single" w:color="000000" w:sz="0"/>
              <w:left w:val="single" w:color="000000" w:sz="0"/>
              <w:bottom w:val="single" w:color="000000" w:sz="4"/>
              <w:right w:val="single" w:color="000000" w:sz="4"/>
            </w:tcBorders>
            <w:shd w:color="000000" w:fill="bdd7ee" w:val="clear"/>
            <w:tcMar>
              <w:left w:w="108" w:type="dxa"/>
              <w:right w:w="108" w:type="dxa"/>
            </w:tcMar>
            <w:vAlign w:val="top"/>
          </w:tcPr>
          <w:p>
            <w:pPr>
              <w:spacing w:before="20" w:after="2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Umjereno (broj ljekarskih intervencija uzrokovanih ekstremno visokim temperaturama)</w:t>
            </w:r>
          </w:p>
        </w:tc>
        <w:tc>
          <w:tcPr>
            <w:tcW w:w="1135" w:type="dxa"/>
            <w:tcBorders>
              <w:top w:val="single" w:color="000000" w:sz="0"/>
              <w:left w:val="single" w:color="000000" w:sz="0"/>
              <w:bottom w:val="single" w:color="000000" w:sz="4"/>
              <w:right w:val="single" w:color="000000" w:sz="4"/>
            </w:tcBorders>
            <w:shd w:color="000000" w:fill="bdd7ee" w:val="clear"/>
            <w:tcMar>
              <w:left w:w="108" w:type="dxa"/>
              <w:right w:w="108" w:type="dxa"/>
            </w:tcMar>
            <w:vAlign w:val="top"/>
          </w:tcPr>
          <w:p>
            <w:pPr>
              <w:spacing w:before="20" w:after="2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w:t>
            </w:r>
          </w:p>
        </w:tc>
        <w:tc>
          <w:tcPr>
            <w:tcW w:w="1135" w:type="dxa"/>
            <w:tcBorders>
              <w:top w:val="single" w:color="000000" w:sz="0"/>
              <w:left w:val="single" w:color="000000" w:sz="0"/>
              <w:bottom w:val="single" w:color="000000" w:sz="4"/>
              <w:right w:val="single" w:color="000000" w:sz="4"/>
            </w:tcBorders>
            <w:shd w:color="000000" w:fill="bdd7ee" w:val="clear"/>
            <w:tcMar>
              <w:left w:w="108" w:type="dxa"/>
              <w:right w:w="108" w:type="dxa"/>
            </w:tcMar>
            <w:vAlign w:val="top"/>
          </w:tcPr>
          <w:p>
            <w:pPr>
              <w:spacing w:before="20" w:after="2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w:t>
            </w:r>
          </w:p>
        </w:tc>
        <w:tc>
          <w:tcPr>
            <w:tcW w:w="1274" w:type="dxa"/>
            <w:tcBorders>
              <w:top w:val="single" w:color="000000" w:sz="0"/>
              <w:left w:val="single" w:color="000000" w:sz="0"/>
              <w:bottom w:val="single" w:color="000000" w:sz="4"/>
              <w:right w:val="single" w:color="000000" w:sz="4"/>
            </w:tcBorders>
            <w:shd w:color="000000" w:fill="bdd7ee" w:val="clear"/>
            <w:tcMar>
              <w:left w:w="108" w:type="dxa"/>
              <w:right w:w="108" w:type="dxa"/>
            </w:tcMar>
            <w:vAlign w:val="top"/>
          </w:tcPr>
          <w:p>
            <w:pPr>
              <w:spacing w:before="20" w:after="2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w:t>
            </w:r>
          </w:p>
        </w:tc>
      </w:tr>
      <w:tr>
        <w:trPr>
          <w:trHeight w:val="1" w:hRule="atLeast"/>
          <w:jc w:val="left"/>
          <w:cantSplit w:val="1"/>
        </w:trPr>
        <w:tc>
          <w:tcPr>
            <w:tcW w:w="421" w:type="dxa"/>
            <w:tcBorders>
              <w:top w:val="single" w:color="000000" w:sz="0"/>
              <w:left w:val="single" w:color="000000" w:sz="4"/>
              <w:bottom w:val="single" w:color="000000" w:sz="4"/>
              <w:right w:val="single" w:color="000000" w:sz="4"/>
            </w:tcBorders>
            <w:shd w:color="000000" w:fill="f2f2f2" w:val="clear"/>
            <w:tcMar>
              <w:left w:w="108" w:type="dxa"/>
              <w:right w:w="108" w:type="dxa"/>
            </w:tcMar>
            <w:vAlign w:val="center"/>
          </w:tcPr>
          <w:p>
            <w:pPr>
              <w:spacing w:before="20" w:after="20" w:line="240"/>
              <w:ind w:right="113" w:left="113" w:firstLine="0"/>
              <w:jc w:val="center"/>
              <w:rPr>
                <w:rFonts w:ascii="Calibri" w:hAnsi="Calibri" w:cs="Calibri" w:eastAsia="Calibri"/>
                <w:spacing w:val="0"/>
                <w:position w:val="0"/>
              </w:rPr>
            </w:pPr>
            <w:r>
              <w:rPr>
                <w:rFonts w:ascii="Calibri" w:hAnsi="Calibri" w:cs="Calibri" w:eastAsia="Calibri"/>
                <w:b/>
                <w:color w:val="000000"/>
                <w:spacing w:val="0"/>
                <w:position w:val="0"/>
                <w:sz w:val="16"/>
                <w:shd w:fill="auto" w:val="clear"/>
              </w:rPr>
              <w:t xml:space="preserve">Poplave</w:t>
            </w:r>
          </w:p>
        </w:tc>
        <w:tc>
          <w:tcPr>
            <w:tcW w:w="1079" w:type="dxa"/>
            <w:tcBorders>
              <w:top w:val="single" w:color="000000" w:sz="0"/>
              <w:left w:val="single" w:color="000000" w:sz="0"/>
              <w:bottom w:val="single" w:color="000000" w:sz="4"/>
              <w:right w:val="single" w:color="000000" w:sz="4"/>
            </w:tcBorders>
            <w:shd w:color="000000" w:fill="bdd7ee" w:val="clear"/>
            <w:tcMar>
              <w:left w:w="108" w:type="dxa"/>
              <w:right w:w="108" w:type="dxa"/>
            </w:tcMar>
            <w:vAlign w:val="top"/>
          </w:tcPr>
          <w:p>
            <w:pPr>
              <w:spacing w:before="20" w:after="2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Visoko (broj objekata ugrožen poplavama)</w:t>
            </w:r>
          </w:p>
        </w:tc>
        <w:tc>
          <w:tcPr>
            <w:tcW w:w="1080" w:type="dxa"/>
            <w:tcBorders>
              <w:top w:val="single" w:color="000000" w:sz="0"/>
              <w:left w:val="single" w:color="000000" w:sz="0"/>
              <w:bottom w:val="single" w:color="000000" w:sz="4"/>
              <w:right w:val="single" w:color="000000" w:sz="4"/>
            </w:tcBorders>
            <w:shd w:color="000000" w:fill="bdd7ee" w:val="clear"/>
            <w:tcMar>
              <w:left w:w="108" w:type="dxa"/>
              <w:right w:w="108" w:type="dxa"/>
            </w:tcMar>
            <w:vAlign w:val="top"/>
          </w:tcPr>
          <w:p>
            <w:pPr>
              <w:spacing w:before="20" w:after="2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Visoko (dužina nefunkcinalnih prometnica) </w:t>
            </w:r>
          </w:p>
        </w:tc>
        <w:tc>
          <w:tcPr>
            <w:tcW w:w="1080" w:type="dxa"/>
            <w:tcBorders>
              <w:top w:val="single" w:color="000000" w:sz="0"/>
              <w:left w:val="single" w:color="000000" w:sz="0"/>
              <w:bottom w:val="single" w:color="000000" w:sz="4"/>
              <w:right w:val="single" w:color="000000" w:sz="4"/>
            </w:tcBorders>
            <w:shd w:color="000000" w:fill="bdd7ee" w:val="clear"/>
            <w:tcMar>
              <w:left w:w="108" w:type="dxa"/>
              <w:right w:w="108" w:type="dxa"/>
            </w:tcMar>
            <w:vAlign w:val="top"/>
          </w:tcPr>
          <w:p>
            <w:pPr>
              <w:spacing w:before="20" w:after="2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Visoko (broj dana u kojima je prekinuta opskrba energijom /broj ili % infrastrukture ošte</w:t>
            </w:r>
            <w:r>
              <w:rPr>
                <w:rFonts w:ascii="Calibri" w:hAnsi="Calibri" w:cs="Calibri" w:eastAsia="Calibri"/>
                <w:color w:val="000000"/>
                <w:spacing w:val="0"/>
                <w:position w:val="0"/>
                <w:sz w:val="16"/>
                <w:shd w:fill="auto" w:val="clear"/>
              </w:rPr>
              <w:t xml:space="preserve">ćene u slučajevima poplava)</w:t>
            </w:r>
          </w:p>
        </w:tc>
        <w:tc>
          <w:tcPr>
            <w:tcW w:w="1590" w:type="dxa"/>
            <w:tcBorders>
              <w:top w:val="single" w:color="000000" w:sz="0"/>
              <w:left w:val="single" w:color="000000" w:sz="0"/>
              <w:bottom w:val="single" w:color="000000" w:sz="4"/>
              <w:right w:val="single" w:color="000000" w:sz="4"/>
            </w:tcBorders>
            <w:shd w:color="000000" w:fill="bdd7ee" w:val="clear"/>
            <w:tcMar>
              <w:left w:w="108" w:type="dxa"/>
              <w:right w:w="108" w:type="dxa"/>
            </w:tcMar>
            <w:vAlign w:val="top"/>
          </w:tcPr>
          <w:p>
            <w:pPr>
              <w:spacing w:before="20" w:after="2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Visoko</w:t>
              <w:br/>
              <w:t xml:space="preserve">(Broj dana prekida vodonabdijevanja /broj ili %  infrastrukture ugrožene poplavama)</w:t>
            </w:r>
          </w:p>
        </w:tc>
        <w:tc>
          <w:tcPr>
            <w:tcW w:w="989" w:type="dxa"/>
            <w:tcBorders>
              <w:top w:val="single" w:color="000000" w:sz="0"/>
              <w:left w:val="single" w:color="000000" w:sz="0"/>
              <w:bottom w:val="single" w:color="000000" w:sz="4"/>
              <w:right w:val="single" w:color="000000" w:sz="4"/>
            </w:tcBorders>
            <w:shd w:color="000000" w:fill="bdd7ee" w:val="clear"/>
            <w:tcMar>
              <w:left w:w="108" w:type="dxa"/>
              <w:right w:w="108" w:type="dxa"/>
            </w:tcMar>
            <w:vAlign w:val="top"/>
          </w:tcPr>
          <w:p>
            <w:pPr>
              <w:spacing w:before="20" w:after="2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w:t>
            </w:r>
          </w:p>
        </w:tc>
        <w:tc>
          <w:tcPr>
            <w:tcW w:w="1417" w:type="dxa"/>
            <w:tcBorders>
              <w:top w:val="single" w:color="000000" w:sz="0"/>
              <w:left w:val="single" w:color="000000" w:sz="0"/>
              <w:bottom w:val="single" w:color="000000" w:sz="4"/>
              <w:right w:val="single" w:color="000000" w:sz="4"/>
            </w:tcBorders>
            <w:shd w:color="000000" w:fill="bdd7ee" w:val="clear"/>
            <w:tcMar>
              <w:left w:w="108" w:type="dxa"/>
              <w:right w:w="108" w:type="dxa"/>
            </w:tcMar>
            <w:vAlign w:val="top"/>
          </w:tcPr>
          <w:p>
            <w:pPr>
              <w:spacing w:before="20" w:after="2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Umjereno (površina prenamijenjenog zemljišta)</w:t>
            </w:r>
          </w:p>
        </w:tc>
        <w:tc>
          <w:tcPr>
            <w:tcW w:w="1274" w:type="dxa"/>
            <w:tcBorders>
              <w:top w:val="single" w:color="000000" w:sz="0"/>
              <w:left w:val="single" w:color="000000" w:sz="0"/>
              <w:bottom w:val="single" w:color="000000" w:sz="4"/>
              <w:right w:val="single" w:color="000000" w:sz="4"/>
            </w:tcBorders>
            <w:shd w:color="000000" w:fill="bdd7ee" w:val="clear"/>
            <w:tcMar>
              <w:left w:w="108" w:type="dxa"/>
              <w:right w:w="108" w:type="dxa"/>
            </w:tcMar>
            <w:vAlign w:val="top"/>
          </w:tcPr>
          <w:p>
            <w:pPr>
              <w:spacing w:before="20" w:after="2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Visoko (površina poplavljenog poljoprivrednog zemljišta)</w:t>
            </w:r>
          </w:p>
        </w:tc>
        <w:tc>
          <w:tcPr>
            <w:tcW w:w="1277" w:type="dxa"/>
            <w:tcBorders>
              <w:top w:val="single" w:color="000000" w:sz="0"/>
              <w:left w:val="single" w:color="000000" w:sz="0"/>
              <w:bottom w:val="single" w:color="000000" w:sz="4"/>
              <w:right w:val="single" w:color="000000" w:sz="4"/>
            </w:tcBorders>
            <w:shd w:color="000000" w:fill="bdd7ee" w:val="clear"/>
            <w:tcMar>
              <w:left w:w="108" w:type="dxa"/>
              <w:right w:w="108" w:type="dxa"/>
            </w:tcMar>
            <w:vAlign w:val="top"/>
          </w:tcPr>
          <w:p>
            <w:pPr>
              <w:spacing w:before="20" w:after="2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w:t>
            </w:r>
          </w:p>
        </w:tc>
        <w:tc>
          <w:tcPr>
            <w:tcW w:w="1417" w:type="dxa"/>
            <w:tcBorders>
              <w:top w:val="single" w:color="000000" w:sz="0"/>
              <w:left w:val="single" w:color="000000" w:sz="0"/>
              <w:bottom w:val="single" w:color="000000" w:sz="4"/>
              <w:right w:val="single" w:color="000000" w:sz="4"/>
            </w:tcBorders>
            <w:shd w:color="000000" w:fill="bdd7ee" w:val="clear"/>
            <w:tcMar>
              <w:left w:w="108" w:type="dxa"/>
              <w:right w:w="108" w:type="dxa"/>
            </w:tcMar>
            <w:vAlign w:val="top"/>
          </w:tcPr>
          <w:p>
            <w:pPr>
              <w:spacing w:before="20" w:after="2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Visoko (broj osoba ozlije</w:t>
            </w:r>
            <w:r>
              <w:rPr>
                <w:rFonts w:ascii="Calibri" w:hAnsi="Calibri" w:cs="Calibri" w:eastAsia="Calibri"/>
                <w:color w:val="000000"/>
                <w:spacing w:val="0"/>
                <w:position w:val="0"/>
                <w:sz w:val="16"/>
                <w:shd w:fill="auto" w:val="clear"/>
              </w:rPr>
              <w:t xml:space="preserve">đenih uslijed pojave poplava /broj smrtnih slučajeva poveznaih sa poplavama /broj izdanih upozorenja o kvaliteti vode)</w:t>
            </w:r>
          </w:p>
        </w:tc>
        <w:tc>
          <w:tcPr>
            <w:tcW w:w="1135" w:type="dxa"/>
            <w:tcBorders>
              <w:top w:val="single" w:color="000000" w:sz="0"/>
              <w:left w:val="single" w:color="000000" w:sz="0"/>
              <w:bottom w:val="single" w:color="000000" w:sz="4"/>
              <w:right w:val="single" w:color="000000" w:sz="4"/>
            </w:tcBorders>
            <w:shd w:color="000000" w:fill="bdd7ee" w:val="clear"/>
            <w:tcMar>
              <w:left w:w="108" w:type="dxa"/>
              <w:right w:w="108" w:type="dxa"/>
            </w:tcMar>
            <w:vAlign w:val="top"/>
          </w:tcPr>
          <w:p>
            <w:pPr>
              <w:spacing w:before="20" w:after="2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Visoko</w:t>
              <w:br/>
              <w:t xml:space="preserve">(Broj intervencija relevantnih službi/prosje</w:t>
            </w:r>
            <w:r>
              <w:rPr>
                <w:rFonts w:ascii="Calibri" w:hAnsi="Calibri" w:cs="Calibri" w:eastAsia="Calibri"/>
                <w:color w:val="000000"/>
                <w:spacing w:val="0"/>
                <w:position w:val="0"/>
                <w:sz w:val="16"/>
                <w:shd w:fill="auto" w:val="clear"/>
              </w:rPr>
              <w:t xml:space="preserve">čno vrijeme odziva relevantnih službi u slučaju poplava)</w:t>
            </w:r>
          </w:p>
        </w:tc>
        <w:tc>
          <w:tcPr>
            <w:tcW w:w="1135" w:type="dxa"/>
            <w:tcBorders>
              <w:top w:val="single" w:color="000000" w:sz="0"/>
              <w:left w:val="single" w:color="000000" w:sz="0"/>
              <w:bottom w:val="single" w:color="000000" w:sz="4"/>
              <w:right w:val="single" w:color="000000" w:sz="4"/>
            </w:tcBorders>
            <w:shd w:color="000000" w:fill="bdd7ee" w:val="clear"/>
            <w:tcMar>
              <w:left w:w="108" w:type="dxa"/>
              <w:right w:w="108" w:type="dxa"/>
            </w:tcMar>
            <w:vAlign w:val="top"/>
          </w:tcPr>
          <w:p>
            <w:pPr>
              <w:spacing w:before="20" w:after="2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Umjereno (broj dana u kojima je onemogu</w:t>
            </w:r>
            <w:r>
              <w:rPr>
                <w:rFonts w:ascii="Calibri" w:hAnsi="Calibri" w:cs="Calibri" w:eastAsia="Calibri"/>
                <w:color w:val="000000"/>
                <w:spacing w:val="0"/>
                <w:position w:val="0"/>
                <w:sz w:val="16"/>
                <w:shd w:fill="auto" w:val="clear"/>
              </w:rPr>
              <w:t xml:space="preserve">ćeno odvijanje nastave, broj obrazovnih objekata ugrožen poplavama)</w:t>
            </w:r>
          </w:p>
        </w:tc>
        <w:tc>
          <w:tcPr>
            <w:tcW w:w="1274" w:type="dxa"/>
            <w:tcBorders>
              <w:top w:val="single" w:color="000000" w:sz="0"/>
              <w:left w:val="single" w:color="000000" w:sz="0"/>
              <w:bottom w:val="single" w:color="000000" w:sz="4"/>
              <w:right w:val="single" w:color="000000" w:sz="4"/>
            </w:tcBorders>
            <w:shd w:color="000000" w:fill="bdd7ee" w:val="clear"/>
            <w:tcMar>
              <w:left w:w="108" w:type="dxa"/>
              <w:right w:w="108" w:type="dxa"/>
            </w:tcMar>
            <w:vAlign w:val="top"/>
          </w:tcPr>
          <w:p>
            <w:pPr>
              <w:spacing w:before="20" w:after="2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Umjereno (Broj dana/sati prekida i otežanog rada telefonske mreže/Internata/moblne mreže/broj ili %  infrastrukture ugrožene poplavama)</w:t>
            </w:r>
          </w:p>
        </w:tc>
      </w:tr>
      <w:tr>
        <w:trPr>
          <w:trHeight w:val="1" w:hRule="atLeast"/>
          <w:jc w:val="left"/>
          <w:cantSplit w:val="1"/>
        </w:trPr>
        <w:tc>
          <w:tcPr>
            <w:tcW w:w="421" w:type="dxa"/>
            <w:tcBorders>
              <w:top w:val="single" w:color="000000" w:sz="0"/>
              <w:left w:val="single" w:color="000000" w:sz="4"/>
              <w:bottom w:val="single" w:color="000000" w:sz="4"/>
              <w:right w:val="single" w:color="000000" w:sz="4"/>
            </w:tcBorders>
            <w:shd w:color="000000" w:fill="f2f2f2" w:val="clear"/>
            <w:tcMar>
              <w:left w:w="108" w:type="dxa"/>
              <w:right w:w="108" w:type="dxa"/>
            </w:tcMar>
            <w:vAlign w:val="center"/>
          </w:tcPr>
          <w:p>
            <w:pPr>
              <w:spacing w:before="20" w:after="20" w:line="240"/>
              <w:ind w:right="113" w:left="113" w:firstLine="0"/>
              <w:jc w:val="center"/>
              <w:rPr>
                <w:rFonts w:ascii="Calibri" w:hAnsi="Calibri" w:cs="Calibri" w:eastAsia="Calibri"/>
                <w:spacing w:val="0"/>
                <w:position w:val="0"/>
              </w:rPr>
            </w:pPr>
            <w:r>
              <w:rPr>
                <w:rFonts w:ascii="Calibri" w:hAnsi="Calibri" w:cs="Calibri" w:eastAsia="Calibri"/>
                <w:b/>
                <w:color w:val="000000"/>
                <w:spacing w:val="0"/>
                <w:position w:val="0"/>
                <w:sz w:val="14"/>
                <w:shd w:fill="auto" w:val="clear"/>
              </w:rPr>
              <w:t xml:space="preserve">Suša i nestašica vode</w:t>
            </w:r>
          </w:p>
        </w:tc>
        <w:tc>
          <w:tcPr>
            <w:tcW w:w="1079" w:type="dxa"/>
            <w:tcBorders>
              <w:top w:val="single" w:color="000000" w:sz="0"/>
              <w:left w:val="single" w:color="000000" w:sz="0"/>
              <w:bottom w:val="single" w:color="000000" w:sz="4"/>
              <w:right w:val="single" w:color="000000" w:sz="4"/>
            </w:tcBorders>
            <w:shd w:color="000000" w:fill="bdd7ee" w:val="clear"/>
            <w:tcMar>
              <w:left w:w="108" w:type="dxa"/>
              <w:right w:w="108" w:type="dxa"/>
            </w:tcMar>
            <w:vAlign w:val="top"/>
          </w:tcPr>
          <w:p>
            <w:pPr>
              <w:spacing w:before="20" w:after="2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4"/>
                <w:shd w:fill="auto" w:val="clear"/>
              </w:rPr>
              <w:t xml:space="preserve">-</w:t>
            </w:r>
          </w:p>
        </w:tc>
        <w:tc>
          <w:tcPr>
            <w:tcW w:w="1080" w:type="dxa"/>
            <w:tcBorders>
              <w:top w:val="single" w:color="000000" w:sz="0"/>
              <w:left w:val="single" w:color="000000" w:sz="0"/>
              <w:bottom w:val="single" w:color="000000" w:sz="4"/>
              <w:right w:val="single" w:color="000000" w:sz="4"/>
            </w:tcBorders>
            <w:shd w:color="000000" w:fill="bdd7ee" w:val="clear"/>
            <w:tcMar>
              <w:left w:w="108" w:type="dxa"/>
              <w:right w:w="108" w:type="dxa"/>
            </w:tcMar>
            <w:vAlign w:val="top"/>
          </w:tcPr>
          <w:p>
            <w:pPr>
              <w:spacing w:before="20" w:after="2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w:t>
            </w:r>
          </w:p>
        </w:tc>
        <w:tc>
          <w:tcPr>
            <w:tcW w:w="1080" w:type="dxa"/>
            <w:tcBorders>
              <w:top w:val="single" w:color="000000" w:sz="0"/>
              <w:left w:val="single" w:color="000000" w:sz="0"/>
              <w:bottom w:val="single" w:color="000000" w:sz="4"/>
              <w:right w:val="single" w:color="000000" w:sz="4"/>
            </w:tcBorders>
            <w:shd w:color="000000" w:fill="bdd7ee" w:val="clear"/>
            <w:tcMar>
              <w:left w:w="108" w:type="dxa"/>
              <w:right w:w="108" w:type="dxa"/>
            </w:tcMar>
            <w:vAlign w:val="top"/>
          </w:tcPr>
          <w:p>
            <w:pPr>
              <w:spacing w:before="20" w:after="2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w:t>
            </w:r>
          </w:p>
        </w:tc>
        <w:tc>
          <w:tcPr>
            <w:tcW w:w="1590" w:type="dxa"/>
            <w:tcBorders>
              <w:top w:val="single" w:color="000000" w:sz="0"/>
              <w:left w:val="single" w:color="000000" w:sz="0"/>
              <w:bottom w:val="single" w:color="000000" w:sz="4"/>
              <w:right w:val="single" w:color="000000" w:sz="4"/>
            </w:tcBorders>
            <w:shd w:color="000000" w:fill="bdd7ee" w:val="clear"/>
            <w:tcMar>
              <w:left w:w="108" w:type="dxa"/>
              <w:right w:w="108" w:type="dxa"/>
            </w:tcMar>
            <w:vAlign w:val="top"/>
          </w:tcPr>
          <w:p>
            <w:pPr>
              <w:spacing w:before="20" w:after="2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Visoko</w:t>
              <w:br/>
              <w:t xml:space="preserve">(Broj dana prekida vodonabdijevanja)</w:t>
            </w:r>
          </w:p>
        </w:tc>
        <w:tc>
          <w:tcPr>
            <w:tcW w:w="989" w:type="dxa"/>
            <w:tcBorders>
              <w:top w:val="single" w:color="000000" w:sz="0"/>
              <w:left w:val="single" w:color="000000" w:sz="0"/>
              <w:bottom w:val="single" w:color="000000" w:sz="4"/>
              <w:right w:val="single" w:color="000000" w:sz="4"/>
            </w:tcBorders>
            <w:shd w:color="000000" w:fill="bdd7ee" w:val="clear"/>
            <w:tcMar>
              <w:left w:w="108" w:type="dxa"/>
              <w:right w:w="108" w:type="dxa"/>
            </w:tcMar>
            <w:vAlign w:val="top"/>
          </w:tcPr>
          <w:p>
            <w:pPr>
              <w:spacing w:before="20" w:after="2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w:t>
            </w:r>
          </w:p>
        </w:tc>
        <w:tc>
          <w:tcPr>
            <w:tcW w:w="1417" w:type="dxa"/>
            <w:tcBorders>
              <w:top w:val="single" w:color="000000" w:sz="0"/>
              <w:left w:val="single" w:color="000000" w:sz="0"/>
              <w:bottom w:val="single" w:color="000000" w:sz="4"/>
              <w:right w:val="single" w:color="000000" w:sz="4"/>
            </w:tcBorders>
            <w:shd w:color="000000" w:fill="bdd7ee" w:val="clear"/>
            <w:tcMar>
              <w:left w:w="108" w:type="dxa"/>
              <w:right w:w="108" w:type="dxa"/>
            </w:tcMar>
            <w:vAlign w:val="top"/>
          </w:tcPr>
          <w:p>
            <w:pPr>
              <w:spacing w:before="20" w:after="2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w:t>
            </w:r>
          </w:p>
        </w:tc>
        <w:tc>
          <w:tcPr>
            <w:tcW w:w="1274" w:type="dxa"/>
            <w:tcBorders>
              <w:top w:val="single" w:color="000000" w:sz="0"/>
              <w:left w:val="single" w:color="000000" w:sz="0"/>
              <w:bottom w:val="single" w:color="000000" w:sz="4"/>
              <w:right w:val="single" w:color="000000" w:sz="4"/>
            </w:tcBorders>
            <w:shd w:color="000000" w:fill="bdd7ee" w:val="clear"/>
            <w:tcMar>
              <w:left w:w="108" w:type="dxa"/>
              <w:right w:w="108" w:type="dxa"/>
            </w:tcMar>
            <w:vAlign w:val="top"/>
          </w:tcPr>
          <w:p>
            <w:pPr>
              <w:spacing w:before="20" w:after="2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Visoko (površina poljoprivrednog zemljišta na kojem su ošte</w:t>
            </w:r>
            <w:r>
              <w:rPr>
                <w:rFonts w:ascii="Calibri" w:hAnsi="Calibri" w:cs="Calibri" w:eastAsia="Calibri"/>
                <w:color w:val="000000"/>
                <w:spacing w:val="0"/>
                <w:position w:val="0"/>
                <w:sz w:val="16"/>
                <w:shd w:fill="auto" w:val="clear"/>
              </w:rPr>
              <w:t xml:space="preserve">ćeni usjevi)</w:t>
            </w:r>
          </w:p>
        </w:tc>
        <w:tc>
          <w:tcPr>
            <w:tcW w:w="1277" w:type="dxa"/>
            <w:tcBorders>
              <w:top w:val="single" w:color="000000" w:sz="0"/>
              <w:left w:val="single" w:color="000000" w:sz="0"/>
              <w:bottom w:val="single" w:color="000000" w:sz="4"/>
              <w:right w:val="single" w:color="000000" w:sz="4"/>
            </w:tcBorders>
            <w:shd w:color="000000" w:fill="bdd7ee" w:val="clear"/>
            <w:tcMar>
              <w:left w:w="108" w:type="dxa"/>
              <w:right w:w="108" w:type="dxa"/>
            </w:tcMar>
            <w:vAlign w:val="top"/>
          </w:tcPr>
          <w:p>
            <w:pPr>
              <w:spacing w:before="20" w:after="2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w:t>
            </w:r>
          </w:p>
        </w:tc>
        <w:tc>
          <w:tcPr>
            <w:tcW w:w="1417" w:type="dxa"/>
            <w:tcBorders>
              <w:top w:val="single" w:color="000000" w:sz="0"/>
              <w:left w:val="single" w:color="000000" w:sz="0"/>
              <w:bottom w:val="single" w:color="000000" w:sz="4"/>
              <w:right w:val="single" w:color="000000" w:sz="4"/>
            </w:tcBorders>
            <w:shd w:color="000000" w:fill="bdd7ee" w:val="clear"/>
            <w:tcMar>
              <w:left w:w="108" w:type="dxa"/>
              <w:right w:w="108" w:type="dxa"/>
            </w:tcMar>
            <w:vAlign w:val="top"/>
          </w:tcPr>
          <w:p>
            <w:pPr>
              <w:spacing w:before="20" w:after="2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w:t>
            </w:r>
          </w:p>
        </w:tc>
        <w:tc>
          <w:tcPr>
            <w:tcW w:w="1135" w:type="dxa"/>
            <w:tcBorders>
              <w:top w:val="single" w:color="000000" w:sz="0"/>
              <w:left w:val="single" w:color="000000" w:sz="0"/>
              <w:bottom w:val="single" w:color="000000" w:sz="4"/>
              <w:right w:val="single" w:color="000000" w:sz="4"/>
            </w:tcBorders>
            <w:shd w:color="000000" w:fill="bdd7ee" w:val="clear"/>
            <w:tcMar>
              <w:left w:w="108" w:type="dxa"/>
              <w:right w:w="108" w:type="dxa"/>
            </w:tcMar>
            <w:vAlign w:val="top"/>
          </w:tcPr>
          <w:p>
            <w:pPr>
              <w:spacing w:before="20" w:after="2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w:t>
            </w:r>
          </w:p>
        </w:tc>
        <w:tc>
          <w:tcPr>
            <w:tcW w:w="1135" w:type="dxa"/>
            <w:tcBorders>
              <w:top w:val="single" w:color="000000" w:sz="0"/>
              <w:left w:val="single" w:color="000000" w:sz="0"/>
              <w:bottom w:val="single" w:color="000000" w:sz="4"/>
              <w:right w:val="single" w:color="000000" w:sz="4"/>
            </w:tcBorders>
            <w:shd w:color="000000" w:fill="bdd7ee" w:val="clear"/>
            <w:tcMar>
              <w:left w:w="108" w:type="dxa"/>
              <w:right w:w="108" w:type="dxa"/>
            </w:tcMar>
            <w:vAlign w:val="top"/>
          </w:tcPr>
          <w:p>
            <w:pPr>
              <w:spacing w:before="20" w:after="2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w:t>
            </w:r>
          </w:p>
        </w:tc>
        <w:tc>
          <w:tcPr>
            <w:tcW w:w="1274" w:type="dxa"/>
            <w:tcBorders>
              <w:top w:val="single" w:color="000000" w:sz="0"/>
              <w:left w:val="single" w:color="000000" w:sz="0"/>
              <w:bottom w:val="single" w:color="000000" w:sz="4"/>
              <w:right w:val="single" w:color="000000" w:sz="4"/>
            </w:tcBorders>
            <w:shd w:color="000000" w:fill="bdd7ee" w:val="clear"/>
            <w:tcMar>
              <w:left w:w="108" w:type="dxa"/>
              <w:right w:w="108" w:type="dxa"/>
            </w:tcMar>
            <w:vAlign w:val="top"/>
          </w:tcPr>
          <w:p>
            <w:pPr>
              <w:spacing w:before="20" w:after="2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w:t>
            </w:r>
          </w:p>
        </w:tc>
      </w:tr>
      <w:tr>
        <w:trPr>
          <w:trHeight w:val="2465" w:hRule="auto"/>
          <w:jc w:val="left"/>
          <w:cantSplit w:val="1"/>
        </w:trPr>
        <w:tc>
          <w:tcPr>
            <w:tcW w:w="421" w:type="dxa"/>
            <w:tcBorders>
              <w:top w:val="single" w:color="000000" w:sz="0"/>
              <w:left w:val="single" w:color="000000" w:sz="4"/>
              <w:bottom w:val="single" w:color="000000" w:sz="4"/>
              <w:right w:val="single" w:color="000000" w:sz="4"/>
            </w:tcBorders>
            <w:shd w:color="000000" w:fill="f2f2f2" w:val="clear"/>
            <w:tcMar>
              <w:left w:w="108" w:type="dxa"/>
              <w:right w:w="108" w:type="dxa"/>
            </w:tcMar>
            <w:vAlign w:val="center"/>
          </w:tcPr>
          <w:p>
            <w:pPr>
              <w:spacing w:before="20" w:after="20" w:line="240"/>
              <w:ind w:right="113" w:left="113" w:firstLine="0"/>
              <w:jc w:val="center"/>
              <w:rPr>
                <w:rFonts w:ascii="Calibri" w:hAnsi="Calibri" w:cs="Calibri" w:eastAsia="Calibri"/>
                <w:spacing w:val="0"/>
                <w:position w:val="0"/>
              </w:rPr>
            </w:pPr>
            <w:r>
              <w:rPr>
                <w:rFonts w:ascii="Calibri" w:hAnsi="Calibri" w:cs="Calibri" w:eastAsia="Calibri"/>
                <w:b/>
                <w:color w:val="000000"/>
                <w:spacing w:val="0"/>
                <w:position w:val="0"/>
                <w:sz w:val="16"/>
                <w:shd w:fill="auto" w:val="clear"/>
              </w:rPr>
              <w:t xml:space="preserve">Klizišta</w:t>
            </w:r>
          </w:p>
        </w:tc>
        <w:tc>
          <w:tcPr>
            <w:tcW w:w="1079" w:type="dxa"/>
            <w:tcBorders>
              <w:top w:val="single" w:color="000000" w:sz="0"/>
              <w:left w:val="single" w:color="000000" w:sz="0"/>
              <w:bottom w:val="single" w:color="000000" w:sz="4"/>
              <w:right w:val="single" w:color="000000" w:sz="4"/>
            </w:tcBorders>
            <w:shd w:color="000000" w:fill="bdd7ee" w:val="clear"/>
            <w:tcMar>
              <w:left w:w="108" w:type="dxa"/>
              <w:right w:w="108" w:type="dxa"/>
            </w:tcMar>
            <w:vAlign w:val="top"/>
          </w:tcPr>
          <w:p>
            <w:pPr>
              <w:spacing w:before="20" w:after="2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Visoko (broj objekata ugrožen poplavama)</w:t>
            </w:r>
          </w:p>
        </w:tc>
        <w:tc>
          <w:tcPr>
            <w:tcW w:w="1080" w:type="dxa"/>
            <w:tcBorders>
              <w:top w:val="single" w:color="000000" w:sz="0"/>
              <w:left w:val="single" w:color="000000" w:sz="0"/>
              <w:bottom w:val="single" w:color="000000" w:sz="4"/>
              <w:right w:val="single" w:color="000000" w:sz="4"/>
            </w:tcBorders>
            <w:shd w:color="000000" w:fill="bdd7ee" w:val="clear"/>
            <w:tcMar>
              <w:left w:w="108" w:type="dxa"/>
              <w:right w:w="108" w:type="dxa"/>
            </w:tcMar>
            <w:vAlign w:val="top"/>
          </w:tcPr>
          <w:p>
            <w:pPr>
              <w:spacing w:before="20" w:after="2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Visoko (dužina nefunkcinalnih prometnica) </w:t>
            </w:r>
          </w:p>
        </w:tc>
        <w:tc>
          <w:tcPr>
            <w:tcW w:w="1080" w:type="dxa"/>
            <w:tcBorders>
              <w:top w:val="single" w:color="000000" w:sz="0"/>
              <w:left w:val="single" w:color="000000" w:sz="0"/>
              <w:bottom w:val="single" w:color="000000" w:sz="4"/>
              <w:right w:val="single" w:color="000000" w:sz="4"/>
            </w:tcBorders>
            <w:shd w:color="000000" w:fill="bdd7ee" w:val="clear"/>
            <w:tcMar>
              <w:left w:w="108" w:type="dxa"/>
              <w:right w:w="108" w:type="dxa"/>
            </w:tcMar>
            <w:vAlign w:val="top"/>
          </w:tcPr>
          <w:p>
            <w:pPr>
              <w:spacing w:before="20" w:after="2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Visoko (broj dana u kojima je prekinuta opskrba energijom /broj ili % infrastrukture ošte</w:t>
            </w:r>
            <w:r>
              <w:rPr>
                <w:rFonts w:ascii="Calibri" w:hAnsi="Calibri" w:cs="Calibri" w:eastAsia="Calibri"/>
                <w:color w:val="000000"/>
                <w:spacing w:val="0"/>
                <w:position w:val="0"/>
                <w:sz w:val="16"/>
                <w:shd w:fill="auto" w:val="clear"/>
              </w:rPr>
              <w:t xml:space="preserve">ćene u slučajevima klizišta)</w:t>
            </w:r>
          </w:p>
        </w:tc>
        <w:tc>
          <w:tcPr>
            <w:tcW w:w="1590" w:type="dxa"/>
            <w:tcBorders>
              <w:top w:val="single" w:color="000000" w:sz="0"/>
              <w:left w:val="single" w:color="000000" w:sz="0"/>
              <w:bottom w:val="single" w:color="000000" w:sz="4"/>
              <w:right w:val="single" w:color="000000" w:sz="4"/>
            </w:tcBorders>
            <w:shd w:color="000000" w:fill="bdd7ee" w:val="clear"/>
            <w:tcMar>
              <w:left w:w="108" w:type="dxa"/>
              <w:right w:w="108" w:type="dxa"/>
            </w:tcMar>
            <w:vAlign w:val="top"/>
          </w:tcPr>
          <w:p>
            <w:pPr>
              <w:spacing w:before="20" w:after="2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Visoko</w:t>
              <w:br/>
              <w:t xml:space="preserve">(Broj dana prekida vodonabdijevanja /broj ili %  infrastrukture ugrožene klizištima)</w:t>
            </w:r>
          </w:p>
        </w:tc>
        <w:tc>
          <w:tcPr>
            <w:tcW w:w="989" w:type="dxa"/>
            <w:tcBorders>
              <w:top w:val="single" w:color="000000" w:sz="0"/>
              <w:left w:val="single" w:color="000000" w:sz="0"/>
              <w:bottom w:val="single" w:color="000000" w:sz="4"/>
              <w:right w:val="single" w:color="000000" w:sz="4"/>
            </w:tcBorders>
            <w:shd w:color="000000" w:fill="bdd7ee" w:val="clear"/>
            <w:tcMar>
              <w:left w:w="108" w:type="dxa"/>
              <w:right w:w="108" w:type="dxa"/>
            </w:tcMar>
            <w:vAlign w:val="top"/>
          </w:tcPr>
          <w:p>
            <w:pPr>
              <w:spacing w:before="20" w:after="2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 Nisko (broj dana u kojima je nije mogu</w:t>
            </w:r>
            <w:r>
              <w:rPr>
                <w:rFonts w:ascii="Calibri" w:hAnsi="Calibri" w:cs="Calibri" w:eastAsia="Calibri"/>
                <w:color w:val="000000"/>
                <w:spacing w:val="0"/>
                <w:position w:val="0"/>
                <w:sz w:val="16"/>
                <w:shd w:fill="auto" w:val="clear"/>
              </w:rPr>
              <w:t xml:space="preserve">će prikupljati otpad)</w:t>
            </w:r>
          </w:p>
        </w:tc>
        <w:tc>
          <w:tcPr>
            <w:tcW w:w="1417" w:type="dxa"/>
            <w:tcBorders>
              <w:top w:val="single" w:color="000000" w:sz="0"/>
              <w:left w:val="single" w:color="000000" w:sz="0"/>
              <w:bottom w:val="single" w:color="000000" w:sz="4"/>
              <w:right w:val="single" w:color="000000" w:sz="4"/>
            </w:tcBorders>
            <w:shd w:color="000000" w:fill="bdd7ee" w:val="clear"/>
            <w:tcMar>
              <w:left w:w="108" w:type="dxa"/>
              <w:right w:w="108" w:type="dxa"/>
            </w:tcMar>
            <w:vAlign w:val="top"/>
          </w:tcPr>
          <w:p>
            <w:pPr>
              <w:spacing w:before="20" w:after="2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Nisko (površina prenamijenjenog zemljišta)</w:t>
            </w:r>
          </w:p>
        </w:tc>
        <w:tc>
          <w:tcPr>
            <w:tcW w:w="1274" w:type="dxa"/>
            <w:tcBorders>
              <w:top w:val="single" w:color="000000" w:sz="0"/>
              <w:left w:val="single" w:color="000000" w:sz="0"/>
              <w:bottom w:val="single" w:color="000000" w:sz="4"/>
              <w:right w:val="single" w:color="000000" w:sz="4"/>
            </w:tcBorders>
            <w:shd w:color="000000" w:fill="bdd7ee" w:val="clear"/>
            <w:tcMar>
              <w:left w:w="108" w:type="dxa"/>
              <w:right w:w="108" w:type="dxa"/>
            </w:tcMar>
            <w:vAlign w:val="top"/>
          </w:tcPr>
          <w:p>
            <w:pPr>
              <w:spacing w:before="20" w:after="2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Visoko (površina poljoprivrednog zemljišta na kojem su ošte</w:t>
            </w:r>
            <w:r>
              <w:rPr>
                <w:rFonts w:ascii="Calibri" w:hAnsi="Calibri" w:cs="Calibri" w:eastAsia="Calibri"/>
                <w:color w:val="000000"/>
                <w:spacing w:val="0"/>
                <w:position w:val="0"/>
                <w:sz w:val="16"/>
                <w:shd w:fill="auto" w:val="clear"/>
              </w:rPr>
              <w:t xml:space="preserve">ćeni usjevi)</w:t>
            </w:r>
          </w:p>
        </w:tc>
        <w:tc>
          <w:tcPr>
            <w:tcW w:w="1277" w:type="dxa"/>
            <w:tcBorders>
              <w:top w:val="single" w:color="000000" w:sz="0"/>
              <w:left w:val="single" w:color="000000" w:sz="0"/>
              <w:bottom w:val="single" w:color="000000" w:sz="4"/>
              <w:right w:val="single" w:color="000000" w:sz="4"/>
            </w:tcBorders>
            <w:shd w:color="000000" w:fill="bdd7ee" w:val="clear"/>
            <w:tcMar>
              <w:left w:w="108" w:type="dxa"/>
              <w:right w:w="108" w:type="dxa"/>
            </w:tcMar>
            <w:vAlign w:val="top"/>
          </w:tcPr>
          <w:p>
            <w:pPr>
              <w:spacing w:before="20" w:after="2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w:t>
            </w:r>
          </w:p>
        </w:tc>
        <w:tc>
          <w:tcPr>
            <w:tcW w:w="1417" w:type="dxa"/>
            <w:tcBorders>
              <w:top w:val="single" w:color="000000" w:sz="0"/>
              <w:left w:val="single" w:color="000000" w:sz="0"/>
              <w:bottom w:val="single" w:color="000000" w:sz="4"/>
              <w:right w:val="single" w:color="000000" w:sz="4"/>
            </w:tcBorders>
            <w:shd w:color="000000" w:fill="bdd7ee" w:val="clear"/>
            <w:tcMar>
              <w:left w:w="108" w:type="dxa"/>
              <w:right w:w="108" w:type="dxa"/>
            </w:tcMar>
            <w:vAlign w:val="top"/>
          </w:tcPr>
          <w:p>
            <w:pPr>
              <w:spacing w:before="20" w:after="2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w:t>
            </w:r>
          </w:p>
        </w:tc>
        <w:tc>
          <w:tcPr>
            <w:tcW w:w="1135" w:type="dxa"/>
            <w:tcBorders>
              <w:top w:val="single" w:color="000000" w:sz="0"/>
              <w:left w:val="single" w:color="000000" w:sz="0"/>
              <w:bottom w:val="single" w:color="000000" w:sz="4"/>
              <w:right w:val="single" w:color="000000" w:sz="4"/>
            </w:tcBorders>
            <w:shd w:color="000000" w:fill="bdd7ee" w:val="clear"/>
            <w:tcMar>
              <w:left w:w="108" w:type="dxa"/>
              <w:right w:w="108" w:type="dxa"/>
            </w:tcMar>
            <w:vAlign w:val="top"/>
          </w:tcPr>
          <w:p>
            <w:pPr>
              <w:spacing w:before="20" w:after="2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Visoko</w:t>
              <w:br/>
              <w:t xml:space="preserve">(Broj intervencija relevantnih službi /prosje</w:t>
            </w:r>
            <w:r>
              <w:rPr>
                <w:rFonts w:ascii="Calibri" w:hAnsi="Calibri" w:cs="Calibri" w:eastAsia="Calibri"/>
                <w:color w:val="000000"/>
                <w:spacing w:val="0"/>
                <w:position w:val="0"/>
                <w:sz w:val="16"/>
                <w:shd w:fill="auto" w:val="clear"/>
              </w:rPr>
              <w:t xml:space="preserve">čno vrijeme odziva relevantnih službi u slučaju klizišta)</w:t>
            </w:r>
          </w:p>
        </w:tc>
        <w:tc>
          <w:tcPr>
            <w:tcW w:w="1135" w:type="dxa"/>
            <w:tcBorders>
              <w:top w:val="single" w:color="000000" w:sz="0"/>
              <w:left w:val="single" w:color="000000" w:sz="0"/>
              <w:bottom w:val="single" w:color="000000" w:sz="4"/>
              <w:right w:val="single" w:color="000000" w:sz="4"/>
            </w:tcBorders>
            <w:shd w:color="000000" w:fill="bdd7ee" w:val="clear"/>
            <w:tcMar>
              <w:left w:w="108" w:type="dxa"/>
              <w:right w:w="108" w:type="dxa"/>
            </w:tcMar>
            <w:vAlign w:val="top"/>
          </w:tcPr>
          <w:p>
            <w:pPr>
              <w:spacing w:before="20" w:after="2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w:t>
            </w:r>
          </w:p>
        </w:tc>
        <w:tc>
          <w:tcPr>
            <w:tcW w:w="1274" w:type="dxa"/>
            <w:tcBorders>
              <w:top w:val="single" w:color="000000" w:sz="0"/>
              <w:left w:val="single" w:color="000000" w:sz="0"/>
              <w:bottom w:val="single" w:color="000000" w:sz="4"/>
              <w:right w:val="single" w:color="000000" w:sz="4"/>
            </w:tcBorders>
            <w:shd w:color="000000" w:fill="bdd7ee" w:val="clear"/>
            <w:tcMar>
              <w:left w:w="108" w:type="dxa"/>
              <w:right w:w="108" w:type="dxa"/>
            </w:tcMar>
            <w:vAlign w:val="top"/>
          </w:tcPr>
          <w:p>
            <w:pPr>
              <w:spacing w:before="20" w:after="2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6"/>
                <w:shd w:fill="auto" w:val="clear"/>
              </w:rPr>
              <w:t xml:space="preserve">-</w:t>
            </w:r>
          </w:p>
        </w:tc>
      </w:tr>
    </w:tbl>
    <w:p>
      <w:pPr>
        <w:spacing w:before="0" w:after="200" w:line="276"/>
        <w:ind w:right="0" w:left="0" w:firstLine="0"/>
        <w:jc w:val="both"/>
        <w:rPr>
          <w:rFonts w:ascii="Calibri" w:hAnsi="Calibri" w:cs="Calibri" w:eastAsia="Calibri"/>
          <w:color w:val="auto"/>
          <w:spacing w:val="0"/>
          <w:position w:val="0"/>
          <w:sz w:val="22"/>
          <w:shd w:fill="FFFF00" w:val="clear"/>
        </w:rPr>
      </w:pPr>
    </w:p>
    <w:p>
      <w:pPr>
        <w:spacing w:before="120" w:after="0" w:line="240"/>
        <w:ind w:right="0" w:left="0" w:firstLine="0"/>
        <w:jc w:val="both"/>
        <w:rPr>
          <w:rFonts w:ascii="Calibri" w:hAnsi="Calibri" w:cs="Calibri" w:eastAsia="Calibri"/>
          <w:color w:val="auto"/>
          <w:spacing w:val="0"/>
          <w:position w:val="0"/>
          <w:sz w:val="20"/>
          <w:shd w:fill="FFFF00" w:val="clear"/>
        </w:rPr>
      </w:pPr>
    </w:p>
    <w:p>
      <w:pPr>
        <w:spacing w:before="100" w:after="100" w:line="259"/>
        <w:ind w:right="0" w:left="0" w:firstLine="0"/>
        <w:jc w:val="left"/>
        <w:rPr>
          <w:rFonts w:ascii="Calibri" w:hAnsi="Calibri" w:cs="Calibri" w:eastAsia="Calibri"/>
          <w:color w:val="auto"/>
          <w:spacing w:val="0"/>
          <w:position w:val="0"/>
          <w:sz w:val="22"/>
          <w:shd w:fill="FFFF00" w:val="clear"/>
        </w:rPr>
      </w:pPr>
    </w:p>
    <w:p>
      <w:pPr>
        <w:spacing w:before="12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Osim ugroženih sektora, opasnostima od posljedica klimatskih promjena je izloženo cjelokupno stanovništvo, uz razli</w:t>
      </w:r>
      <w:r>
        <w:rPr>
          <w:rFonts w:ascii="Calibri" w:hAnsi="Calibri" w:cs="Calibri" w:eastAsia="Calibri"/>
          <w:color w:val="auto"/>
          <w:spacing w:val="0"/>
          <w:position w:val="0"/>
          <w:sz w:val="20"/>
          <w:shd w:fill="auto" w:val="clear"/>
        </w:rPr>
        <w:t xml:space="preserve">čite nivoe uticaja na različite grupacije. Ekstremno visoke temperature naročito nepovoljno utiču na djecu, starije osobe, osobe sa invaliditetom, osobe sa kroničnim oboljenima, i osobe koje stanuju u neuslovnim zgradama (barake, stare trošne kuće i slično). Klizišta predstavljaju opasnost koja pogađa veliki broj ljudi, ali naročito negativan uticaj imaju na starije osobe, osobe sa invaliditetom, osobe i domaćinstva sa niskim primanjima, nezaposlen,e i osobe koje stanuju u neuslovnim zgradama. Opasnosti od poplava, suša i nestašica vode negativno utiču na cjelokupno stanovništvo na području Doboj Istoka.</w:t>
      </w:r>
    </w:p>
    <w:p>
      <w:pPr>
        <w:keepNext w:val="true"/>
        <w:keepLines w:val="true"/>
        <w:numPr>
          <w:ilvl w:val="0"/>
          <w:numId w:val="3367"/>
        </w:numPr>
        <w:spacing w:before="240" w:after="0" w:line="240"/>
        <w:ind w:right="0" w:left="720" w:hanging="72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Kapaciteti za prilago</w:t>
      </w:r>
      <w:r>
        <w:rPr>
          <w:rFonts w:ascii="Calibri" w:hAnsi="Calibri" w:cs="Calibri" w:eastAsia="Calibri"/>
          <w:b/>
          <w:color w:val="auto"/>
          <w:spacing w:val="0"/>
          <w:position w:val="0"/>
          <w:sz w:val="24"/>
          <w:shd w:fill="auto" w:val="clear"/>
        </w:rPr>
        <w:t xml:space="preserve">đavanje na klimatske promjene na području općine Doboj Istok</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Kapaciteti za prilago</w:t>
      </w:r>
      <w:r>
        <w:rPr>
          <w:rFonts w:ascii="Calibri" w:hAnsi="Calibri" w:cs="Calibri" w:eastAsia="Calibri"/>
          <w:color w:val="auto"/>
          <w:spacing w:val="0"/>
          <w:position w:val="0"/>
          <w:sz w:val="20"/>
          <w:shd w:fill="auto" w:val="clear"/>
        </w:rPr>
        <w:t xml:space="preserve">đavanje odnose se na sposobnost sistema da se prilagodi klimatskim promjenama (uključujući klimatsku varijabilnost i klimatske ekstreme), da se ublaže potencijalne štete, iskoriste mogućnosti koje klimatske promjene donose, ili da se suoči sa njihovim posljedicama. Kapacitet za prilagođavanje ovisi o raspoloživim financijskim izvorima, ljudskim resursima i mogućnostima prilagođavanja, i razlikuje se u ovisnosti od opasnosti i sektora. Na primjer, područje koje je dobro pripremljeno za suzbijanje poplava može biti nepripremljeno za sušu i nestašicu vode. Iznos budžeta, broj obrazovanih osoba po djelatnostima, dostupnost ili nedostatak podataka o uticaju pojedinih opasnosti, načini i mehanizmi djelovanja u hitnim situacijama, programi očuvanja kontinuiteta poslovanja nakon pojave opasnosti itd, su pokazatelji koji se koriste za procjenu kapaciteta za prilagođavanje na klimatske promjene. Niz drugih faktora doprinosi ovom kapacitetu, uključujući iskustvo lokalne administracije u upravljanju i provođenju mjera kao odgovora na opasnosti.</w:t>
      </w:r>
    </w:p>
    <w:p>
      <w:pPr>
        <w:spacing w:before="60" w:after="12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Kapaciteti za prilago</w:t>
      </w:r>
      <w:r>
        <w:rPr>
          <w:rFonts w:ascii="Calibri" w:hAnsi="Calibri" w:cs="Calibri" w:eastAsia="Calibri"/>
          <w:color w:val="auto"/>
          <w:spacing w:val="0"/>
          <w:position w:val="0"/>
          <w:sz w:val="20"/>
          <w:shd w:fill="auto" w:val="clear"/>
        </w:rPr>
        <w:t xml:space="preserve">đavanje na klimatske promjene na području općine Doboj Istok, u kontekstu ove analize,  posmatraju se sa više aspekata. Razmatraju se sljedeći elementi kapaciteta za prilagođavanje:</w:t>
      </w:r>
    </w:p>
    <w:tbl>
      <w:tblPr/>
      <w:tblGrid>
        <w:gridCol w:w="9350"/>
      </w:tblGrid>
      <w:tr>
        <w:trPr>
          <w:trHeight w:val="1" w:hRule="atLeast"/>
          <w:jc w:val="left"/>
        </w:trPr>
        <w:tc>
          <w:tcPr>
            <w:tcW w:w="93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3371"/>
              </w:numPr>
              <w:spacing w:before="40" w:after="0" w:line="240"/>
              <w:ind w:right="0" w:left="360" w:hanging="36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Postojanje javnih službi, što podrazumijeva dostupnost i pristup uslugama javnih službi (policija, vatrogasci, civilna zaštita, hitne službe i sl.) koje se mogu nositi sa identificiranim opasnostima kao što su npr. poplave i klizišta;</w:t>
            </w:r>
          </w:p>
          <w:p>
            <w:pPr>
              <w:numPr>
                <w:ilvl w:val="0"/>
                <w:numId w:val="3371"/>
              </w:numPr>
              <w:spacing w:before="40" w:after="0" w:line="240"/>
              <w:ind w:right="0" w:left="357" w:hanging="357"/>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Postojanje i raspoloživost socio-ekonomskih aktera, što podrazumjeva interakciju izme</w:t>
            </w:r>
            <w:r>
              <w:rPr>
                <w:rFonts w:ascii="Calibri" w:hAnsi="Calibri" w:cs="Calibri" w:eastAsia="Calibri"/>
                <w:color w:val="auto"/>
                <w:spacing w:val="0"/>
                <w:position w:val="0"/>
                <w:sz w:val="18"/>
                <w:shd w:fill="auto" w:val="clear"/>
              </w:rPr>
              <w:t xml:space="preserve">đu socio-ekonomskih aktera uzimajući u obzir raspoloživa sredstva te nivo razvijenosti društvene svijesti i povezanosti (npr. nivo zalaganja i reakcije socio-ekonomskih aktera sa jednog područja u slučaju opasnosti); </w:t>
            </w:r>
          </w:p>
          <w:p>
            <w:pPr>
              <w:numPr>
                <w:ilvl w:val="0"/>
                <w:numId w:val="3371"/>
              </w:numPr>
              <w:spacing w:before="40" w:after="0" w:line="240"/>
              <w:ind w:right="0" w:left="360" w:hanging="36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Postojanje, uskla</w:t>
            </w:r>
            <w:r>
              <w:rPr>
                <w:rFonts w:ascii="Calibri" w:hAnsi="Calibri" w:cs="Calibri" w:eastAsia="Calibri"/>
                <w:color w:val="auto"/>
                <w:spacing w:val="0"/>
                <w:position w:val="0"/>
                <w:sz w:val="18"/>
                <w:shd w:fill="auto" w:val="clear"/>
              </w:rPr>
              <w:t xml:space="preserve">đenost i implementacija regulative, zakona, pravilnika, procedura i slično, što uključuje postojanje institucionalnog okruženja, regulacija i politika (npr. zakoni, preventivne mjere, politike urbanog razvoja); vođstvo i kompetencije lokalne uprave; kapacitet osoblja i postojeće organizacijske strukture (npr. znanje i vještine osoblja, nivo interakcije između gradskih/općinskih službi i tijela); dostupnost financijskih sredstava za klimatske akcije;</w:t>
            </w:r>
          </w:p>
          <w:p>
            <w:pPr>
              <w:numPr>
                <w:ilvl w:val="0"/>
                <w:numId w:val="3371"/>
              </w:numPr>
              <w:spacing w:before="40" w:after="0" w:line="240"/>
              <w:ind w:right="0" w:left="360" w:hanging="36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Postojanje fizi</w:t>
            </w:r>
            <w:r>
              <w:rPr>
                <w:rFonts w:ascii="Calibri" w:hAnsi="Calibri" w:cs="Calibri" w:eastAsia="Calibri"/>
                <w:color w:val="auto"/>
                <w:spacing w:val="0"/>
                <w:position w:val="0"/>
                <w:sz w:val="18"/>
                <w:shd w:fill="auto" w:val="clear"/>
              </w:rPr>
              <w:t xml:space="preserve">čkih resursa, što podrazumjeva dostupnost resursa (npr. vode, zemljišta, pijeska, kamena i dr.) i praksi za njihovo upravljanje, te dostupnost fizičke infrastrukture i uslova za njezino korištenje i održavanje u slučaju opasnosti;</w:t>
            </w:r>
          </w:p>
          <w:p>
            <w:pPr>
              <w:numPr>
                <w:ilvl w:val="0"/>
                <w:numId w:val="3371"/>
              </w:numPr>
              <w:spacing w:before="40" w:after="40" w:line="240"/>
              <w:ind w:right="0" w:left="357" w:hanging="357"/>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Postojanje znanja, metodologija, procjena, studija, sistema ranog upozoravanja i sli</w:t>
            </w:r>
            <w:r>
              <w:rPr>
                <w:rFonts w:ascii="Calibri" w:hAnsi="Calibri" w:cs="Calibri" w:eastAsia="Calibri"/>
                <w:color w:val="auto"/>
                <w:spacing w:val="0"/>
                <w:position w:val="0"/>
                <w:sz w:val="18"/>
                <w:shd w:fill="auto" w:val="clear"/>
              </w:rPr>
              <w:t xml:space="preserve">čno, što se odnosi na dostupnost podataka i znanja (npr. metodologije, smjernice, okviri za procjenu i nadzor); dostupnost i pristup tehnologiji i tehničkim aplikacijama (npr. meteorološkim sistemima, sistemu ranog upozoravanja, sistemima za kontrolu poplava) te vještine i sposobnosti potrebne za njihovu upotrebu te potencijal za inovacije u slučaju opasnosti.</w:t>
            </w:r>
          </w:p>
        </w:tc>
      </w:tr>
    </w:tbl>
    <w:p>
      <w:pPr>
        <w:spacing w:before="120" w:after="12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U narednoj tabeli su prikazani navedeni elementi kapaciteta za prilago</w:t>
      </w:r>
      <w:r>
        <w:rPr>
          <w:rFonts w:ascii="Calibri" w:hAnsi="Calibri" w:cs="Calibri" w:eastAsia="Calibri"/>
          <w:color w:val="auto"/>
          <w:spacing w:val="0"/>
          <w:position w:val="0"/>
          <w:sz w:val="20"/>
          <w:shd w:fill="auto" w:val="clear"/>
        </w:rPr>
        <w:t xml:space="preserve">đavanje na klimatske promjene na području općine Doboj Istok za različite opasnosti i izložene sektore. Za svaki element kapaciteta, opasnosti i sektora iskazana je ocjena nivoa razvijenosti (niska, srednja/umjerena i visoka). Evidentno je da su kapaciteti na području općine Doboj Istok, koji se mogu nositi sa opasnostima od klimatskih promjena, srednje razvijeni. Ova ocjena se odnosi na postojanje i raspoloživost javnih službi i socio-ekonomskih aktera; postojanje, usklađenost i implementaciju regulative, zakona, pravilnika, procedura i sl.; postojanje fizičkih resursa te postojanje znanja, metodologija, procjena, studija, sistema ranog upozoravanja i sl. Svi ovi elementi kapaciteta za prilagođavanje na klimatske promjene zahtijevaju poboljšanja i unaprijeđenja. To npr. znači da Općina Doboj Istok ima srednje razvijene javne službe (policija, vatrogasci, civilna zaštita, hitne službe i sl.) koje se mogu nositi sa poplavama i klizištima. Socio-ekonomski akteri postoje i raspoloživi su, i oni uz srednji nivo razvijenosti, društvene svijesti, povezanosti i zalaganja djeluju u slučaju opasnosti od poplava i klizišta.Što se tiče kapaciteta za prilagođavanje na području Doboj Istoka, potreba unaprijeđenja se odnosi na jačanje kompetencija lokalne uprave, naročito kapaciteta osoblja i postojeće organizacijske strukture, te na povećanje financijskih sredstava za borbu protiv poplava i klizišta. Što se tiče fizičkih resursa kao elementa kapaciteta, neophodno je poboljšati uslove za upravljanje, korištenje i održavanje fizičke infrastrukture i resursa kako bi se spriječile štete i gubici od poplava i klizišta. Posljednji element kapaciteta za prilagođavanje na klimatske promjene može se poboljšati kroz razvoj novih metodologija, analiza, studija, smjernica, procjena, sistema ranog upozoravanja, sistema za kontrolu poplava, meteoroloških stanica i sistema i sl., te ubrzanim razvojem vještina i sposobnosti potrebnih za primjenu novih tehnologija i tehničkih aplikacija za borbu protiv poplava i klizišta. Slični zaključci bi se mogli izvesti i za ostale opasnosti identificirane na području Doboj Istoka.</w:t>
      </w:r>
    </w:p>
    <w:tbl>
      <w:tblPr/>
      <w:tblGrid>
        <w:gridCol w:w="637"/>
        <w:gridCol w:w="1910"/>
        <w:gridCol w:w="1797"/>
        <w:gridCol w:w="1948"/>
        <w:gridCol w:w="1797"/>
        <w:gridCol w:w="1797"/>
      </w:tblGrid>
      <w:tr>
        <w:trPr>
          <w:trHeight w:val="420" w:hRule="auto"/>
          <w:jc w:val="left"/>
        </w:trPr>
        <w:tc>
          <w:tcPr>
            <w:tcW w:w="637" w:type="dxa"/>
            <w:vMerge w:val="restart"/>
            <w:tcBorders>
              <w:top w:val="single" w:color="ffffff" w:sz="4"/>
              <w:left w:val="single" w:color="ffffff" w:sz="4"/>
              <w:bottom w:val="single" w:color="ffffff" w:sz="4"/>
              <w:right w:val="single" w:color="ffffff" w:sz="4"/>
            </w:tcBorders>
            <w:shd w:color="auto" w:fill="deeaf6" w:val="clear"/>
            <w:tcMar>
              <w:left w:w="108" w:type="dxa"/>
              <w:right w:w="108" w:type="dxa"/>
            </w:tcMar>
            <w:vAlign w:val="top"/>
          </w:tcPr>
          <w:p>
            <w:pPr>
              <w:spacing w:before="100" w:after="100" w:line="240"/>
              <w:ind w:right="113" w:left="113"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Opasnosti</w:t>
            </w:r>
          </w:p>
        </w:tc>
        <w:tc>
          <w:tcPr>
            <w:tcW w:w="9249" w:type="dxa"/>
            <w:gridSpan w:val="5"/>
            <w:vMerge w:val="restart"/>
            <w:tcBorders>
              <w:top w:val="single" w:color="ffffff" w:sz="4"/>
              <w:left w:val="single" w:color="ffffff" w:sz="4"/>
              <w:bottom w:val="single" w:color="ffffff" w:sz="4"/>
              <w:right w:val="single" w:color="ffffff" w:sz="4"/>
            </w:tcBorders>
            <w:shd w:color="auto" w:fill="deeaf6" w:val="clear"/>
            <w:tcMar>
              <w:left w:w="108" w:type="dxa"/>
              <w:right w:w="108" w:type="dxa"/>
            </w:tcMar>
            <w:vAlign w:val="center"/>
          </w:tcPr>
          <w:p>
            <w:pPr>
              <w:spacing w:before="100" w:after="10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24"/>
                <w:shd w:fill="auto" w:val="clear"/>
              </w:rPr>
              <w:t xml:space="preserve">Kapaciteti za prilago</w:t>
            </w:r>
            <w:r>
              <w:rPr>
                <w:rFonts w:ascii="Calibri" w:hAnsi="Calibri" w:cs="Calibri" w:eastAsia="Calibri"/>
                <w:color w:val="auto"/>
                <w:spacing w:val="0"/>
                <w:position w:val="0"/>
                <w:sz w:val="24"/>
                <w:shd w:fill="auto" w:val="clear"/>
              </w:rPr>
              <w:t xml:space="preserve">đavanje na klimatske promjene</w:t>
            </w:r>
          </w:p>
        </w:tc>
      </w:tr>
      <w:tr>
        <w:trPr>
          <w:trHeight w:val="269" w:hRule="auto"/>
          <w:jc w:val="left"/>
        </w:trPr>
        <w:tc>
          <w:tcPr>
            <w:tcW w:w="637" w:type="dxa"/>
            <w:vMerge/>
            <w:tcBorders>
              <w:top w:val="single" w:color="ffffff" w:sz="4"/>
              <w:left w:val="single" w:color="ffffff" w:sz="4"/>
              <w:bottom w:val="single" w:color="ffffff" w:sz="4"/>
              <w:right w:val="single" w:color="ffffff" w:sz="4"/>
            </w:tcBorders>
            <w:shd w:color="auto" w:fill="deeaf6"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9249" w:type="dxa"/>
            <w:gridSpan w:val="5"/>
            <w:vMerge/>
            <w:tcBorders>
              <w:top w:val="single" w:color="ffffff" w:sz="4"/>
              <w:left w:val="single" w:color="ffffff" w:sz="4"/>
              <w:bottom w:val="single" w:color="ffffff" w:sz="4"/>
              <w:right w:val="single" w:color="ffffff" w:sz="4"/>
            </w:tcBorders>
            <w:shd w:color="auto" w:fill="deeaf6" w:val="clear"/>
            <w:tcMar>
              <w:left w:w="108" w:type="dxa"/>
              <w:right w:w="108"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r>
      <w:tr>
        <w:trPr>
          <w:trHeight w:val="866" w:hRule="auto"/>
          <w:jc w:val="left"/>
        </w:trPr>
        <w:tc>
          <w:tcPr>
            <w:tcW w:w="637" w:type="dxa"/>
            <w:vMerge/>
            <w:tcBorders>
              <w:top w:val="single" w:color="ffffff" w:sz="4"/>
              <w:left w:val="single" w:color="ffffff" w:sz="4"/>
              <w:bottom w:val="single" w:color="ffffff" w:sz="4"/>
              <w:right w:val="single" w:color="ffffff" w:sz="4"/>
            </w:tcBorders>
            <w:shd w:color="auto" w:fill="deeaf6"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910" w:type="dxa"/>
            <w:tcBorders>
              <w:top w:val="single" w:color="ffffff" w:sz="4"/>
              <w:left w:val="single" w:color="ffffff" w:sz="4"/>
              <w:bottom w:val="single" w:color="ffffff" w:sz="4"/>
              <w:right w:val="single" w:color="ffffff" w:sz="4"/>
            </w:tcBorders>
            <w:shd w:color="auto" w:fill="deeaf6" w:val="clear"/>
            <w:tcMar>
              <w:left w:w="108" w:type="dxa"/>
              <w:right w:w="108" w:type="dxa"/>
            </w:tcMar>
            <w:vAlign w:val="center"/>
          </w:tcPr>
          <w:p>
            <w:pPr>
              <w:spacing w:before="100" w:after="100" w:line="240"/>
              <w:ind w:right="0" w:left="0" w:firstLine="0"/>
              <w:jc w:val="left"/>
              <w:rPr>
                <w:rFonts w:ascii="Calibri" w:hAnsi="Calibri" w:cs="Calibri" w:eastAsia="Calibri"/>
                <w:spacing w:val="0"/>
                <w:position w:val="0"/>
              </w:rPr>
            </w:pPr>
            <w:r>
              <w:rPr>
                <w:rFonts w:ascii="Calibri" w:hAnsi="Calibri" w:cs="Calibri" w:eastAsia="Calibri"/>
                <w:b/>
                <w:color w:val="000000"/>
                <w:spacing w:val="0"/>
                <w:position w:val="0"/>
                <w:sz w:val="17"/>
                <w:shd w:fill="auto" w:val="clear"/>
              </w:rPr>
              <w:t xml:space="preserve">Postojanje javnih službi</w:t>
            </w:r>
          </w:p>
        </w:tc>
        <w:tc>
          <w:tcPr>
            <w:tcW w:w="1797" w:type="dxa"/>
            <w:tcBorders>
              <w:top w:val="single" w:color="ffffff" w:sz="4"/>
              <w:left w:val="single" w:color="ffffff" w:sz="4"/>
              <w:bottom w:val="single" w:color="ffffff" w:sz="4"/>
              <w:right w:val="single" w:color="ffffff" w:sz="4"/>
            </w:tcBorders>
            <w:shd w:color="auto" w:fill="deeaf6" w:val="clear"/>
            <w:tcMar>
              <w:left w:w="108" w:type="dxa"/>
              <w:right w:w="108" w:type="dxa"/>
            </w:tcMar>
            <w:vAlign w:val="center"/>
          </w:tcPr>
          <w:p>
            <w:pPr>
              <w:spacing w:before="100" w:after="100" w:line="240"/>
              <w:ind w:right="0" w:left="0" w:firstLine="0"/>
              <w:jc w:val="left"/>
              <w:rPr>
                <w:rFonts w:ascii="Calibri" w:hAnsi="Calibri" w:cs="Calibri" w:eastAsia="Calibri"/>
                <w:spacing w:val="0"/>
                <w:position w:val="0"/>
              </w:rPr>
            </w:pPr>
            <w:r>
              <w:rPr>
                <w:rFonts w:ascii="Calibri" w:hAnsi="Calibri" w:cs="Calibri" w:eastAsia="Calibri"/>
                <w:b/>
                <w:color w:val="000000"/>
                <w:spacing w:val="0"/>
                <w:position w:val="0"/>
                <w:sz w:val="17"/>
                <w:shd w:fill="auto" w:val="clear"/>
              </w:rPr>
              <w:t xml:space="preserve">Postojanje i raspoloživost socio-ekonomskih aktera</w:t>
            </w:r>
          </w:p>
        </w:tc>
        <w:tc>
          <w:tcPr>
            <w:tcW w:w="1948" w:type="dxa"/>
            <w:tcBorders>
              <w:top w:val="single" w:color="ffffff" w:sz="4"/>
              <w:left w:val="single" w:color="ffffff" w:sz="4"/>
              <w:bottom w:val="single" w:color="ffffff" w:sz="4"/>
              <w:right w:val="single" w:color="ffffff" w:sz="4"/>
            </w:tcBorders>
            <w:shd w:color="auto" w:fill="deeaf6" w:val="clear"/>
            <w:tcMar>
              <w:left w:w="108" w:type="dxa"/>
              <w:right w:w="108" w:type="dxa"/>
            </w:tcMar>
            <w:vAlign w:val="center"/>
          </w:tcPr>
          <w:p>
            <w:pPr>
              <w:spacing w:before="100" w:after="100" w:line="240"/>
              <w:ind w:right="0" w:left="0" w:firstLine="0"/>
              <w:jc w:val="left"/>
              <w:rPr>
                <w:rFonts w:ascii="Calibri" w:hAnsi="Calibri" w:cs="Calibri" w:eastAsia="Calibri"/>
                <w:spacing w:val="0"/>
                <w:position w:val="0"/>
              </w:rPr>
            </w:pPr>
            <w:r>
              <w:rPr>
                <w:rFonts w:ascii="Calibri" w:hAnsi="Calibri" w:cs="Calibri" w:eastAsia="Calibri"/>
                <w:b/>
                <w:color w:val="000000"/>
                <w:spacing w:val="0"/>
                <w:position w:val="0"/>
                <w:sz w:val="17"/>
                <w:shd w:fill="auto" w:val="clear"/>
              </w:rPr>
              <w:t xml:space="preserve">Postojanje, uskla</w:t>
            </w:r>
            <w:r>
              <w:rPr>
                <w:rFonts w:ascii="Calibri" w:hAnsi="Calibri" w:cs="Calibri" w:eastAsia="Calibri"/>
                <w:b/>
                <w:color w:val="000000"/>
                <w:spacing w:val="0"/>
                <w:position w:val="0"/>
                <w:sz w:val="17"/>
                <w:shd w:fill="auto" w:val="clear"/>
              </w:rPr>
              <w:t xml:space="preserve">đenost i implementacija zakonske regulative</w:t>
            </w:r>
          </w:p>
        </w:tc>
        <w:tc>
          <w:tcPr>
            <w:tcW w:w="1797" w:type="dxa"/>
            <w:tcBorders>
              <w:top w:val="single" w:color="ffffff" w:sz="4"/>
              <w:left w:val="single" w:color="ffffff" w:sz="4"/>
              <w:bottom w:val="single" w:color="ffffff" w:sz="4"/>
              <w:right w:val="single" w:color="ffffff" w:sz="4"/>
            </w:tcBorders>
            <w:shd w:color="auto" w:fill="deeaf6" w:val="clear"/>
            <w:tcMar>
              <w:left w:w="108" w:type="dxa"/>
              <w:right w:w="108" w:type="dxa"/>
            </w:tcMar>
            <w:vAlign w:val="center"/>
          </w:tcPr>
          <w:p>
            <w:pPr>
              <w:spacing w:before="100" w:after="100" w:line="240"/>
              <w:ind w:right="0" w:left="0" w:firstLine="0"/>
              <w:jc w:val="left"/>
              <w:rPr>
                <w:rFonts w:ascii="Calibri" w:hAnsi="Calibri" w:cs="Calibri" w:eastAsia="Calibri"/>
                <w:spacing w:val="0"/>
                <w:position w:val="0"/>
              </w:rPr>
            </w:pPr>
            <w:r>
              <w:rPr>
                <w:rFonts w:ascii="Calibri" w:hAnsi="Calibri" w:cs="Calibri" w:eastAsia="Calibri"/>
                <w:b/>
                <w:color w:val="000000"/>
                <w:spacing w:val="0"/>
                <w:position w:val="0"/>
                <w:sz w:val="17"/>
                <w:shd w:fill="auto" w:val="clear"/>
              </w:rPr>
              <w:t xml:space="preserve">Postojanje fizi</w:t>
            </w:r>
            <w:r>
              <w:rPr>
                <w:rFonts w:ascii="Calibri" w:hAnsi="Calibri" w:cs="Calibri" w:eastAsia="Calibri"/>
                <w:b/>
                <w:color w:val="000000"/>
                <w:spacing w:val="0"/>
                <w:position w:val="0"/>
                <w:sz w:val="17"/>
                <w:shd w:fill="auto" w:val="clear"/>
              </w:rPr>
              <w:t xml:space="preserve">čkih resursa</w:t>
            </w:r>
          </w:p>
        </w:tc>
        <w:tc>
          <w:tcPr>
            <w:tcW w:w="1797" w:type="dxa"/>
            <w:tcBorders>
              <w:top w:val="single" w:color="ffffff" w:sz="4"/>
              <w:left w:val="single" w:color="ffffff" w:sz="4"/>
              <w:bottom w:val="single" w:color="ffffff" w:sz="4"/>
              <w:right w:val="single" w:color="ffffff" w:sz="4"/>
            </w:tcBorders>
            <w:shd w:color="auto" w:fill="deeaf6" w:val="clear"/>
            <w:tcMar>
              <w:left w:w="108" w:type="dxa"/>
              <w:right w:w="108" w:type="dxa"/>
            </w:tcMar>
            <w:vAlign w:val="center"/>
          </w:tcPr>
          <w:p>
            <w:pPr>
              <w:spacing w:before="100" w:after="100" w:line="240"/>
              <w:ind w:right="0" w:left="0" w:firstLine="0"/>
              <w:jc w:val="left"/>
              <w:rPr>
                <w:rFonts w:ascii="Calibri" w:hAnsi="Calibri" w:cs="Calibri" w:eastAsia="Calibri"/>
                <w:spacing w:val="0"/>
                <w:position w:val="0"/>
              </w:rPr>
            </w:pPr>
            <w:r>
              <w:rPr>
                <w:rFonts w:ascii="Calibri" w:hAnsi="Calibri" w:cs="Calibri" w:eastAsia="Calibri"/>
                <w:b/>
                <w:color w:val="000000"/>
                <w:spacing w:val="0"/>
                <w:position w:val="0"/>
                <w:sz w:val="17"/>
                <w:shd w:fill="auto" w:val="clear"/>
              </w:rPr>
              <w:t xml:space="preserve">Postojanje znanja, metodologija, procjena, studija, sistema ranog upozoravanja i sl.</w:t>
            </w:r>
          </w:p>
        </w:tc>
      </w:tr>
      <w:tr>
        <w:trPr>
          <w:trHeight w:val="1304" w:hRule="auto"/>
          <w:jc w:val="left"/>
        </w:trPr>
        <w:tc>
          <w:tcPr>
            <w:tcW w:w="637" w:type="dxa"/>
            <w:tcBorders>
              <w:top w:val="single" w:color="ffffff" w:sz="4"/>
              <w:left w:val="single" w:color="ffffff" w:sz="4"/>
              <w:bottom w:val="single" w:color="ffffff" w:sz="4"/>
              <w:right w:val="single" w:color="ffffff" w:sz="4"/>
            </w:tcBorders>
            <w:shd w:color="auto" w:fill="deeaf6" w:val="clear"/>
            <w:tcMar>
              <w:left w:w="108" w:type="dxa"/>
              <w:right w:w="108" w:type="dxa"/>
            </w:tcMar>
            <w:vAlign w:val="top"/>
          </w:tcPr>
          <w:p>
            <w:pPr>
              <w:spacing w:before="100" w:after="100" w:line="240"/>
              <w:ind w:right="113" w:left="113"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Ekstremno visoke temperature</w:t>
            </w:r>
          </w:p>
        </w:tc>
        <w:tc>
          <w:tcPr>
            <w:tcW w:w="1910" w:type="dxa"/>
            <w:tcBorders>
              <w:top w:val="single" w:color="ffffff" w:sz="4"/>
              <w:left w:val="single" w:color="ffffff" w:sz="4"/>
              <w:bottom w:val="single" w:color="ffffff" w:sz="4"/>
              <w:right w:val="single" w:color="ffffff" w:sz="4"/>
            </w:tcBorders>
            <w:shd w:color="auto" w:fill="deeaf6" w:val="clear"/>
            <w:tcMar>
              <w:left w:w="108" w:type="dxa"/>
              <w:right w:w="108" w:type="dxa"/>
            </w:tcMar>
            <w:vAlign w:val="top"/>
          </w:tcPr>
          <w:p>
            <w:pPr>
              <w:spacing w:before="100" w:after="10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7"/>
                <w:shd w:fill="auto" w:val="clear"/>
              </w:rPr>
              <w:t xml:space="preserve">- Sektor voda (umjereno)</w:t>
              <w:br/>
              <w:t xml:space="preserve">- Poljoprivreda i šumarstvo (umjereno)</w:t>
              <w:br/>
              <w:t xml:space="preserve">- Okoliš i biodiverzitet (umjereno)</w:t>
              <w:br/>
              <w:t xml:space="preserve">- Zdravlje (umjereno)</w:t>
            </w:r>
          </w:p>
        </w:tc>
        <w:tc>
          <w:tcPr>
            <w:tcW w:w="1797" w:type="dxa"/>
            <w:tcBorders>
              <w:top w:val="single" w:color="ffffff" w:sz="4"/>
              <w:left w:val="single" w:color="ffffff" w:sz="4"/>
              <w:bottom w:val="single" w:color="ffffff" w:sz="4"/>
              <w:right w:val="single" w:color="ffffff" w:sz="4"/>
            </w:tcBorders>
            <w:shd w:color="auto" w:fill="deeaf6" w:val="clear"/>
            <w:tcMar>
              <w:left w:w="108" w:type="dxa"/>
              <w:right w:w="108" w:type="dxa"/>
            </w:tcMar>
            <w:vAlign w:val="top"/>
          </w:tcPr>
          <w:p>
            <w:pPr>
              <w:spacing w:before="0" w:after="20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7"/>
                <w:shd w:fill="auto" w:val="clear"/>
              </w:rPr>
              <w:t xml:space="preserve">- Sektor voda (umjereno)</w:t>
              <w:br/>
              <w:t xml:space="preserve">- Poljoprivreda i šumarstvo (umjereno)</w:t>
              <w:br/>
              <w:t xml:space="preserve">- Okoliš i biodiverzitet (umjereno)</w:t>
              <w:br/>
              <w:t xml:space="preserve">- Zdravlje (umjereno)</w:t>
            </w:r>
          </w:p>
        </w:tc>
        <w:tc>
          <w:tcPr>
            <w:tcW w:w="1948" w:type="dxa"/>
            <w:tcBorders>
              <w:top w:val="single" w:color="ffffff" w:sz="4"/>
              <w:left w:val="single" w:color="ffffff" w:sz="4"/>
              <w:bottom w:val="single" w:color="ffffff" w:sz="4"/>
              <w:right w:val="single" w:color="ffffff" w:sz="4"/>
            </w:tcBorders>
            <w:shd w:color="auto" w:fill="deeaf6" w:val="clear"/>
            <w:tcMar>
              <w:left w:w="108" w:type="dxa"/>
              <w:right w:w="108" w:type="dxa"/>
            </w:tcMar>
            <w:vAlign w:val="top"/>
          </w:tcPr>
          <w:p>
            <w:pPr>
              <w:spacing w:before="0" w:after="20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7"/>
                <w:shd w:fill="auto" w:val="clear"/>
              </w:rPr>
              <w:t xml:space="preserve">- Sektor voda (umjereno)</w:t>
              <w:br/>
              <w:t xml:space="preserve">- Poljoprivreda i šumarstvo (umjereno)</w:t>
              <w:br/>
              <w:t xml:space="preserve">- Okoliš i biodiverzitet (umjereno)</w:t>
              <w:br/>
              <w:t xml:space="preserve">- Zdravlje (umjereno)</w:t>
            </w:r>
          </w:p>
        </w:tc>
        <w:tc>
          <w:tcPr>
            <w:tcW w:w="1797" w:type="dxa"/>
            <w:tcBorders>
              <w:top w:val="single" w:color="ffffff" w:sz="4"/>
              <w:left w:val="single" w:color="ffffff" w:sz="4"/>
              <w:bottom w:val="single" w:color="ffffff" w:sz="4"/>
              <w:right w:val="single" w:color="ffffff" w:sz="4"/>
            </w:tcBorders>
            <w:shd w:color="auto" w:fill="deeaf6" w:val="clear"/>
            <w:tcMar>
              <w:left w:w="108" w:type="dxa"/>
              <w:right w:w="108" w:type="dxa"/>
            </w:tcMar>
            <w:vAlign w:val="top"/>
          </w:tcPr>
          <w:p>
            <w:pPr>
              <w:spacing w:before="0" w:after="20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7"/>
                <w:shd w:fill="auto" w:val="clear"/>
              </w:rPr>
              <w:t xml:space="preserve">- Sektor voda (umjereno)</w:t>
              <w:br/>
              <w:t xml:space="preserve">- Poljoprivreda i šumarstvo (umjereno)</w:t>
              <w:br/>
              <w:t xml:space="preserve">- Okoliš i biodiverzitet (umjereno)</w:t>
              <w:br/>
              <w:t xml:space="preserve">- Zdravlje (umjereno)</w:t>
            </w:r>
          </w:p>
        </w:tc>
        <w:tc>
          <w:tcPr>
            <w:tcW w:w="1797" w:type="dxa"/>
            <w:tcBorders>
              <w:top w:val="single" w:color="ffffff" w:sz="4"/>
              <w:left w:val="single" w:color="ffffff" w:sz="4"/>
              <w:bottom w:val="single" w:color="ffffff" w:sz="4"/>
              <w:right w:val="single" w:color="ffffff" w:sz="4"/>
            </w:tcBorders>
            <w:shd w:color="auto" w:fill="deeaf6" w:val="clear"/>
            <w:tcMar>
              <w:left w:w="108" w:type="dxa"/>
              <w:right w:w="108" w:type="dxa"/>
            </w:tcMar>
            <w:vAlign w:val="top"/>
          </w:tcPr>
          <w:p>
            <w:pPr>
              <w:spacing w:before="0" w:after="20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7"/>
                <w:shd w:fill="auto" w:val="clear"/>
              </w:rPr>
              <w:t xml:space="preserve">- Sektor voda (umjereno)</w:t>
              <w:br/>
              <w:t xml:space="preserve">- Poljoprivreda i šumarstvo (umjereno)</w:t>
              <w:br/>
              <w:t xml:space="preserve">- Okoliš i biodiverzitet (umjereno)</w:t>
              <w:br/>
              <w:t xml:space="preserve">- Zdravlje (umjereno)</w:t>
            </w:r>
          </w:p>
        </w:tc>
      </w:tr>
      <w:tr>
        <w:trPr>
          <w:trHeight w:val="3683" w:hRule="auto"/>
          <w:jc w:val="left"/>
        </w:trPr>
        <w:tc>
          <w:tcPr>
            <w:tcW w:w="637" w:type="dxa"/>
            <w:tcBorders>
              <w:top w:val="single" w:color="ffffff" w:sz="4"/>
              <w:left w:val="single" w:color="ffffff" w:sz="4"/>
              <w:bottom w:val="single" w:color="ffffff" w:sz="4"/>
              <w:right w:val="single" w:color="ffffff" w:sz="4"/>
            </w:tcBorders>
            <w:shd w:color="auto" w:fill="deeaf6" w:val="clear"/>
            <w:tcMar>
              <w:left w:w="108" w:type="dxa"/>
              <w:right w:w="108" w:type="dxa"/>
            </w:tcMar>
            <w:vAlign w:val="top"/>
          </w:tcPr>
          <w:p>
            <w:pPr>
              <w:spacing w:before="100" w:after="100" w:line="240"/>
              <w:ind w:right="113" w:left="113"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Poplave</w:t>
            </w:r>
          </w:p>
        </w:tc>
        <w:tc>
          <w:tcPr>
            <w:tcW w:w="1910" w:type="dxa"/>
            <w:tcBorders>
              <w:top w:val="single" w:color="ffffff" w:sz="4"/>
              <w:left w:val="single" w:color="ffffff" w:sz="4"/>
              <w:bottom w:val="single" w:color="ffffff" w:sz="4"/>
              <w:right w:val="single" w:color="ffffff" w:sz="4"/>
            </w:tcBorders>
            <w:shd w:color="auto" w:fill="deeaf6" w:val="clear"/>
            <w:tcMar>
              <w:left w:w="108" w:type="dxa"/>
              <w:right w:w="108" w:type="dxa"/>
            </w:tcMar>
            <w:vAlign w:val="top"/>
          </w:tcPr>
          <w:p>
            <w:pPr>
              <w:spacing w:before="100" w:after="10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7"/>
                <w:shd w:fill="auto" w:val="clear"/>
              </w:rPr>
              <w:t xml:space="preserve">- Zgrade (umjereno)</w:t>
              <w:br/>
              <w:t xml:space="preserve">- Saobra</w:t>
            </w:r>
            <w:r>
              <w:rPr>
                <w:rFonts w:ascii="Calibri" w:hAnsi="Calibri" w:cs="Calibri" w:eastAsia="Calibri"/>
                <w:color w:val="000000"/>
                <w:spacing w:val="0"/>
                <w:position w:val="0"/>
                <w:sz w:val="17"/>
                <w:shd w:fill="auto" w:val="clear"/>
              </w:rPr>
              <w:t xml:space="preserve">ćaj (umjereno)</w:t>
              <w:br/>
            </w:r>
            <w:r>
              <w:rPr>
                <w:rFonts w:ascii="Calibri" w:hAnsi="Calibri" w:cs="Calibri" w:eastAsia="Calibri"/>
                <w:color w:val="000000"/>
                <w:spacing w:val="0"/>
                <w:position w:val="0"/>
                <w:sz w:val="17"/>
                <w:shd w:fill="auto" w:val="clear"/>
              </w:rPr>
              <w:t xml:space="preserve">- Energija (umjereno)</w:t>
              <w:br/>
              <w:t xml:space="preserve">- Vodosnabdijevanje</w:t>
              <w:br/>
              <w:t xml:space="preserve">(umjereno)                         </w:t>
              <w:br/>
              <w:t xml:space="preserve">- Planovi korištenja zemljišta (umjereno)</w:t>
              <w:br/>
              <w:t xml:space="preserve">- Poljoprivreda i šumarstvo (umjereno)                                 </w:t>
              <w:br/>
              <w:t xml:space="preserve">- Zdravlje (umjereno)</w:t>
              <w:br/>
              <w:t xml:space="preserve">- Civilna zaštita i hitna služba (umjereno)                     </w:t>
              <w:br/>
              <w:t xml:space="preserve">- Obrazovanje (umjereno)</w:t>
              <w:br/>
              <w:t xml:space="preserve">- Informacione i komunikacione tehnologije (umjereno)</w:t>
            </w:r>
          </w:p>
        </w:tc>
        <w:tc>
          <w:tcPr>
            <w:tcW w:w="1797" w:type="dxa"/>
            <w:tcBorders>
              <w:top w:val="single" w:color="ffffff" w:sz="4"/>
              <w:left w:val="single" w:color="ffffff" w:sz="4"/>
              <w:bottom w:val="single" w:color="ffffff" w:sz="4"/>
              <w:right w:val="single" w:color="ffffff" w:sz="4"/>
            </w:tcBorders>
            <w:shd w:color="auto" w:fill="deeaf6" w:val="clear"/>
            <w:tcMar>
              <w:left w:w="108" w:type="dxa"/>
              <w:right w:w="108" w:type="dxa"/>
            </w:tcMar>
            <w:vAlign w:val="top"/>
          </w:tcPr>
          <w:p>
            <w:pPr>
              <w:spacing w:before="0" w:after="20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7"/>
                <w:shd w:fill="auto" w:val="clear"/>
              </w:rPr>
              <w:t xml:space="preserve">- Zgrade (umjereno)</w:t>
              <w:br/>
              <w:t xml:space="preserve">- Saobra</w:t>
            </w:r>
            <w:r>
              <w:rPr>
                <w:rFonts w:ascii="Calibri" w:hAnsi="Calibri" w:cs="Calibri" w:eastAsia="Calibri"/>
                <w:color w:val="000000"/>
                <w:spacing w:val="0"/>
                <w:position w:val="0"/>
                <w:sz w:val="17"/>
                <w:shd w:fill="auto" w:val="clear"/>
              </w:rPr>
              <w:t xml:space="preserve">ćaj (umjereno)</w:t>
              <w:br/>
            </w:r>
            <w:r>
              <w:rPr>
                <w:rFonts w:ascii="Calibri" w:hAnsi="Calibri" w:cs="Calibri" w:eastAsia="Calibri"/>
                <w:color w:val="000000"/>
                <w:spacing w:val="0"/>
                <w:position w:val="0"/>
                <w:sz w:val="17"/>
                <w:shd w:fill="auto" w:val="clear"/>
              </w:rPr>
              <w:t xml:space="preserve">- Energija (umjereno)</w:t>
              <w:br/>
              <w:t xml:space="preserve">- Vodosnabdijevanje</w:t>
              <w:br/>
              <w:t xml:space="preserve">(umjereno)                         </w:t>
              <w:br/>
              <w:t xml:space="preserve">- Planovi korištenja zemljišta (umjereno)</w:t>
              <w:br/>
              <w:t xml:space="preserve">- Poljoprivreda i šumarstvo (umjereno)                                 </w:t>
              <w:br/>
              <w:t xml:space="preserve">- Zdravlje (umjereno)</w:t>
              <w:br/>
              <w:t xml:space="preserve">- Civilna zaštita i hitna služba (umjereno)                     </w:t>
              <w:br/>
              <w:t xml:space="preserve">- Obrazovanje (umjereno)</w:t>
              <w:br/>
              <w:t xml:space="preserve">- Informacione i komunikacione tehnologije (umjereno)</w:t>
            </w:r>
          </w:p>
        </w:tc>
        <w:tc>
          <w:tcPr>
            <w:tcW w:w="1948" w:type="dxa"/>
            <w:tcBorders>
              <w:top w:val="single" w:color="ffffff" w:sz="4"/>
              <w:left w:val="single" w:color="ffffff" w:sz="4"/>
              <w:bottom w:val="single" w:color="ffffff" w:sz="4"/>
              <w:right w:val="single" w:color="ffffff" w:sz="4"/>
            </w:tcBorders>
            <w:shd w:color="auto" w:fill="deeaf6" w:val="clear"/>
            <w:tcMar>
              <w:left w:w="108" w:type="dxa"/>
              <w:right w:w="108" w:type="dxa"/>
            </w:tcMar>
            <w:vAlign w:val="top"/>
          </w:tcPr>
          <w:p>
            <w:pPr>
              <w:spacing w:before="0" w:after="20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7"/>
                <w:shd w:fill="auto" w:val="clear"/>
              </w:rPr>
              <w:t xml:space="preserve">- Zgrade (umjereno)</w:t>
              <w:br/>
              <w:t xml:space="preserve">- Saobra</w:t>
            </w:r>
            <w:r>
              <w:rPr>
                <w:rFonts w:ascii="Calibri" w:hAnsi="Calibri" w:cs="Calibri" w:eastAsia="Calibri"/>
                <w:color w:val="000000"/>
                <w:spacing w:val="0"/>
                <w:position w:val="0"/>
                <w:sz w:val="17"/>
                <w:shd w:fill="auto" w:val="clear"/>
              </w:rPr>
              <w:t xml:space="preserve">ćaj (umjereno)</w:t>
              <w:br/>
            </w:r>
            <w:r>
              <w:rPr>
                <w:rFonts w:ascii="Calibri" w:hAnsi="Calibri" w:cs="Calibri" w:eastAsia="Calibri"/>
                <w:color w:val="000000"/>
                <w:spacing w:val="0"/>
                <w:position w:val="0"/>
                <w:sz w:val="17"/>
                <w:shd w:fill="auto" w:val="clear"/>
              </w:rPr>
              <w:t xml:space="preserve">- Energija (umjereno)</w:t>
              <w:br/>
              <w:t xml:space="preserve">- Vodosnabdijevanje</w:t>
              <w:br/>
              <w:t xml:space="preserve">(umjereno)                         </w:t>
              <w:br/>
              <w:t xml:space="preserve">- Planovi korištenja zemljišta (umjereno)</w:t>
              <w:br/>
              <w:t xml:space="preserve">- Poljoprivreda i šumarstvo (umjereno)                                 </w:t>
              <w:br/>
              <w:t xml:space="preserve">- Zdravlje (umjereno)</w:t>
              <w:br/>
              <w:t xml:space="preserve">- Civilna zaštita i hitna služba (umjereno)                     </w:t>
              <w:br/>
              <w:t xml:space="preserve">- Obrazovanje (umjereno)</w:t>
              <w:br/>
              <w:t xml:space="preserve">- Informacione i komunikacione tehnologije (umjereno)</w:t>
            </w:r>
          </w:p>
        </w:tc>
        <w:tc>
          <w:tcPr>
            <w:tcW w:w="1797" w:type="dxa"/>
            <w:tcBorders>
              <w:top w:val="single" w:color="ffffff" w:sz="4"/>
              <w:left w:val="single" w:color="ffffff" w:sz="4"/>
              <w:bottom w:val="single" w:color="ffffff" w:sz="4"/>
              <w:right w:val="single" w:color="ffffff" w:sz="4"/>
            </w:tcBorders>
            <w:shd w:color="auto" w:fill="deeaf6" w:val="clear"/>
            <w:tcMar>
              <w:left w:w="108" w:type="dxa"/>
              <w:right w:w="108" w:type="dxa"/>
            </w:tcMar>
            <w:vAlign w:val="top"/>
          </w:tcPr>
          <w:p>
            <w:pPr>
              <w:spacing w:before="0" w:after="20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7"/>
                <w:shd w:fill="auto" w:val="clear"/>
              </w:rPr>
              <w:t xml:space="preserve">- Zgrade (umjereno)</w:t>
              <w:br/>
              <w:t xml:space="preserve">- Saobra</w:t>
            </w:r>
            <w:r>
              <w:rPr>
                <w:rFonts w:ascii="Calibri" w:hAnsi="Calibri" w:cs="Calibri" w:eastAsia="Calibri"/>
                <w:color w:val="000000"/>
                <w:spacing w:val="0"/>
                <w:position w:val="0"/>
                <w:sz w:val="17"/>
                <w:shd w:fill="auto" w:val="clear"/>
              </w:rPr>
              <w:t xml:space="preserve">ćaj (umjereno)</w:t>
              <w:br/>
            </w:r>
            <w:r>
              <w:rPr>
                <w:rFonts w:ascii="Calibri" w:hAnsi="Calibri" w:cs="Calibri" w:eastAsia="Calibri"/>
                <w:color w:val="000000"/>
                <w:spacing w:val="0"/>
                <w:position w:val="0"/>
                <w:sz w:val="17"/>
                <w:shd w:fill="auto" w:val="clear"/>
              </w:rPr>
              <w:t xml:space="preserve">- Energija (umjereno)</w:t>
              <w:br/>
              <w:t xml:space="preserve">- Vodosnabdijevanje</w:t>
              <w:br/>
              <w:t xml:space="preserve">(umjereno)                         </w:t>
              <w:br/>
              <w:t xml:space="preserve">- Planovi korištenja zemljišta (umjereno)</w:t>
              <w:br/>
              <w:t xml:space="preserve">- Poljoprivreda i šumarstvo (umjereno)                                 </w:t>
              <w:br/>
              <w:t xml:space="preserve">- Zdravlje (umjereno)</w:t>
              <w:br/>
              <w:t xml:space="preserve">- Civilna zaštita i hitna služba (umjereno)                     </w:t>
              <w:br/>
              <w:t xml:space="preserve">- Obrazovanje (umjereno)</w:t>
              <w:br/>
              <w:t xml:space="preserve">- Informacione i komunikacione tehnologije (umjereno)</w:t>
            </w:r>
          </w:p>
        </w:tc>
        <w:tc>
          <w:tcPr>
            <w:tcW w:w="1797" w:type="dxa"/>
            <w:tcBorders>
              <w:top w:val="single" w:color="ffffff" w:sz="4"/>
              <w:left w:val="single" w:color="ffffff" w:sz="4"/>
              <w:bottom w:val="single" w:color="ffffff" w:sz="4"/>
              <w:right w:val="single" w:color="ffffff" w:sz="4"/>
            </w:tcBorders>
            <w:shd w:color="auto" w:fill="deeaf6" w:val="clear"/>
            <w:tcMar>
              <w:left w:w="108" w:type="dxa"/>
              <w:right w:w="108" w:type="dxa"/>
            </w:tcMar>
            <w:vAlign w:val="top"/>
          </w:tcPr>
          <w:p>
            <w:pPr>
              <w:spacing w:before="0" w:after="20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7"/>
                <w:shd w:fill="auto" w:val="clear"/>
              </w:rPr>
              <w:t xml:space="preserve">- Zgrade (umjereno)</w:t>
              <w:br/>
              <w:t xml:space="preserve">- Saobra</w:t>
            </w:r>
            <w:r>
              <w:rPr>
                <w:rFonts w:ascii="Calibri" w:hAnsi="Calibri" w:cs="Calibri" w:eastAsia="Calibri"/>
                <w:color w:val="000000"/>
                <w:spacing w:val="0"/>
                <w:position w:val="0"/>
                <w:sz w:val="17"/>
                <w:shd w:fill="auto" w:val="clear"/>
              </w:rPr>
              <w:t xml:space="preserve">ćaj (umjereno)</w:t>
              <w:br/>
            </w:r>
            <w:r>
              <w:rPr>
                <w:rFonts w:ascii="Calibri" w:hAnsi="Calibri" w:cs="Calibri" w:eastAsia="Calibri"/>
                <w:color w:val="000000"/>
                <w:spacing w:val="0"/>
                <w:position w:val="0"/>
                <w:sz w:val="17"/>
                <w:shd w:fill="auto" w:val="clear"/>
              </w:rPr>
              <w:t xml:space="preserve">- Energija (umjereno)</w:t>
              <w:br/>
              <w:t xml:space="preserve">- Vodosnabdijevanje</w:t>
              <w:br/>
              <w:t xml:space="preserve">(umjereno)                         </w:t>
              <w:br/>
              <w:t xml:space="preserve">- Planovi korištenja zemljišta (umjereno)</w:t>
              <w:br/>
              <w:t xml:space="preserve">- Poljoprivreda i šumarstvo (umjereno)                                 </w:t>
              <w:br/>
              <w:t xml:space="preserve">- Zdravlje (umjereno)</w:t>
              <w:br/>
              <w:t xml:space="preserve">- Civilna zaštita i hitna služba (umjereno)                     </w:t>
              <w:br/>
              <w:t xml:space="preserve">- Obrazovanje (umjereno)</w:t>
              <w:br/>
              <w:t xml:space="preserve">- Informacione i komunikacione tehnologije (umjereno)</w:t>
            </w:r>
          </w:p>
        </w:tc>
      </w:tr>
      <w:tr>
        <w:trPr>
          <w:trHeight w:val="1443" w:hRule="auto"/>
          <w:jc w:val="left"/>
        </w:trPr>
        <w:tc>
          <w:tcPr>
            <w:tcW w:w="637" w:type="dxa"/>
            <w:tcBorders>
              <w:top w:val="single" w:color="ffffff" w:sz="4"/>
              <w:left w:val="single" w:color="ffffff" w:sz="4"/>
              <w:bottom w:val="single" w:color="ffffff" w:sz="4"/>
              <w:right w:val="single" w:color="ffffff" w:sz="4"/>
            </w:tcBorders>
            <w:shd w:color="auto" w:fill="deeaf6" w:val="clear"/>
            <w:tcMar>
              <w:left w:w="108" w:type="dxa"/>
              <w:right w:w="108" w:type="dxa"/>
            </w:tcMar>
            <w:vAlign w:val="top"/>
          </w:tcPr>
          <w:p>
            <w:pPr>
              <w:spacing w:before="100" w:after="100" w:line="240"/>
              <w:ind w:right="113" w:left="113"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Suša i nestašica vode</w:t>
            </w:r>
          </w:p>
        </w:tc>
        <w:tc>
          <w:tcPr>
            <w:tcW w:w="1910" w:type="dxa"/>
            <w:tcBorders>
              <w:top w:val="single" w:color="ffffff" w:sz="4"/>
              <w:left w:val="single" w:color="ffffff" w:sz="4"/>
              <w:bottom w:val="single" w:color="ffffff" w:sz="4"/>
              <w:right w:val="single" w:color="ffffff" w:sz="4"/>
            </w:tcBorders>
            <w:shd w:color="auto" w:fill="deeaf6" w:val="clear"/>
            <w:tcMar>
              <w:left w:w="108" w:type="dxa"/>
              <w:right w:w="108" w:type="dxa"/>
            </w:tcMar>
            <w:vAlign w:val="top"/>
          </w:tcPr>
          <w:p>
            <w:pPr>
              <w:spacing w:before="0" w:after="20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7"/>
                <w:shd w:fill="auto" w:val="clear"/>
              </w:rPr>
              <w:t xml:space="preserve">- Vodosnabdijevanje</w:t>
              <w:br/>
              <w:t xml:space="preserve">(umjereno)</w:t>
              <w:br/>
              <w:t xml:space="preserve">- Poljoprivreda i šumarstvo (umjereno)</w:t>
              <w:br/>
            </w:r>
          </w:p>
        </w:tc>
        <w:tc>
          <w:tcPr>
            <w:tcW w:w="1797" w:type="dxa"/>
            <w:tcBorders>
              <w:top w:val="single" w:color="ffffff" w:sz="4"/>
              <w:left w:val="single" w:color="ffffff" w:sz="4"/>
              <w:bottom w:val="single" w:color="ffffff" w:sz="4"/>
              <w:right w:val="single" w:color="ffffff" w:sz="4"/>
            </w:tcBorders>
            <w:shd w:color="auto" w:fill="deeaf6" w:val="clear"/>
            <w:tcMar>
              <w:left w:w="108" w:type="dxa"/>
              <w:right w:w="108" w:type="dxa"/>
            </w:tcMar>
            <w:vAlign w:val="top"/>
          </w:tcPr>
          <w:p>
            <w:pPr>
              <w:spacing w:before="0" w:after="20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7"/>
                <w:shd w:fill="auto" w:val="clear"/>
              </w:rPr>
              <w:t xml:space="preserve">- Vodosnabdijevanje</w:t>
              <w:br/>
              <w:t xml:space="preserve">(umjereno)</w:t>
              <w:br/>
              <w:t xml:space="preserve">- Poljoprivreda i šumarstvo (umjereno)</w:t>
            </w:r>
          </w:p>
        </w:tc>
        <w:tc>
          <w:tcPr>
            <w:tcW w:w="1948" w:type="dxa"/>
            <w:tcBorders>
              <w:top w:val="single" w:color="ffffff" w:sz="4"/>
              <w:left w:val="single" w:color="ffffff" w:sz="4"/>
              <w:bottom w:val="single" w:color="ffffff" w:sz="4"/>
              <w:right w:val="single" w:color="ffffff" w:sz="4"/>
            </w:tcBorders>
            <w:shd w:color="auto" w:fill="deeaf6" w:val="clear"/>
            <w:tcMar>
              <w:left w:w="108" w:type="dxa"/>
              <w:right w:w="108" w:type="dxa"/>
            </w:tcMar>
            <w:vAlign w:val="top"/>
          </w:tcPr>
          <w:p>
            <w:pPr>
              <w:spacing w:before="0" w:after="20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7"/>
                <w:shd w:fill="auto" w:val="clear"/>
              </w:rPr>
              <w:t xml:space="preserve">- Vodosnabdijevanje</w:t>
              <w:br/>
              <w:t xml:space="preserve">(umjereno)</w:t>
              <w:br/>
              <w:t xml:space="preserve">- Poljoprivreda i šumarstvo (umjereno)</w:t>
            </w:r>
          </w:p>
        </w:tc>
        <w:tc>
          <w:tcPr>
            <w:tcW w:w="1797" w:type="dxa"/>
            <w:tcBorders>
              <w:top w:val="single" w:color="ffffff" w:sz="4"/>
              <w:left w:val="single" w:color="ffffff" w:sz="4"/>
              <w:bottom w:val="single" w:color="ffffff" w:sz="4"/>
              <w:right w:val="single" w:color="ffffff" w:sz="4"/>
            </w:tcBorders>
            <w:shd w:color="auto" w:fill="deeaf6" w:val="clear"/>
            <w:tcMar>
              <w:left w:w="108" w:type="dxa"/>
              <w:right w:w="108" w:type="dxa"/>
            </w:tcMar>
            <w:vAlign w:val="top"/>
          </w:tcPr>
          <w:p>
            <w:pPr>
              <w:spacing w:before="0" w:after="20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7"/>
                <w:shd w:fill="auto" w:val="clear"/>
              </w:rPr>
              <w:t xml:space="preserve">- Vodosnabdijevanje</w:t>
              <w:br/>
              <w:t xml:space="preserve">(umjereno)</w:t>
              <w:br/>
              <w:t xml:space="preserve">- Poljoprivreda i šumarstvo (umjereno)</w:t>
            </w:r>
          </w:p>
        </w:tc>
        <w:tc>
          <w:tcPr>
            <w:tcW w:w="1797" w:type="dxa"/>
            <w:tcBorders>
              <w:top w:val="single" w:color="ffffff" w:sz="4"/>
              <w:left w:val="single" w:color="ffffff" w:sz="4"/>
              <w:bottom w:val="single" w:color="ffffff" w:sz="4"/>
              <w:right w:val="single" w:color="ffffff" w:sz="4"/>
            </w:tcBorders>
            <w:shd w:color="auto" w:fill="deeaf6" w:val="clear"/>
            <w:tcMar>
              <w:left w:w="108" w:type="dxa"/>
              <w:right w:w="108" w:type="dxa"/>
            </w:tcMar>
            <w:vAlign w:val="top"/>
          </w:tcPr>
          <w:p>
            <w:pPr>
              <w:spacing w:before="0" w:after="20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7"/>
                <w:shd w:fill="auto" w:val="clear"/>
              </w:rPr>
              <w:t xml:space="preserve">- Vodosnabdijevanje</w:t>
              <w:br/>
              <w:t xml:space="preserve">(umjereno)</w:t>
              <w:br/>
              <w:t xml:space="preserve">- Poljoprivreda i šumarstvo (umjereno)</w:t>
            </w:r>
          </w:p>
        </w:tc>
      </w:tr>
      <w:tr>
        <w:trPr>
          <w:trHeight w:val="54" w:hRule="auto"/>
          <w:jc w:val="left"/>
        </w:trPr>
        <w:tc>
          <w:tcPr>
            <w:tcW w:w="637" w:type="dxa"/>
            <w:tcBorders>
              <w:top w:val="single" w:color="ffffff" w:sz="4"/>
              <w:left w:val="single" w:color="ffffff" w:sz="4"/>
              <w:bottom w:val="single" w:color="ffffff" w:sz="4"/>
              <w:right w:val="single" w:color="ffffff" w:sz="4"/>
            </w:tcBorders>
            <w:shd w:color="auto" w:fill="deeaf6" w:val="clear"/>
            <w:tcMar>
              <w:left w:w="108" w:type="dxa"/>
              <w:right w:w="108" w:type="dxa"/>
            </w:tcMar>
            <w:vAlign w:val="top"/>
          </w:tcPr>
          <w:p>
            <w:pPr>
              <w:spacing w:before="100" w:after="100" w:line="240"/>
              <w:ind w:right="113" w:left="113"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Klizišta</w:t>
            </w:r>
          </w:p>
        </w:tc>
        <w:tc>
          <w:tcPr>
            <w:tcW w:w="1910" w:type="dxa"/>
            <w:tcBorders>
              <w:top w:val="single" w:color="ffffff" w:sz="4"/>
              <w:left w:val="single" w:color="ffffff" w:sz="4"/>
              <w:bottom w:val="single" w:color="ffffff" w:sz="4"/>
              <w:right w:val="single" w:color="ffffff" w:sz="4"/>
            </w:tcBorders>
            <w:shd w:color="auto" w:fill="deeaf6" w:val="clear"/>
            <w:tcMar>
              <w:left w:w="108" w:type="dxa"/>
              <w:right w:w="108" w:type="dxa"/>
            </w:tcMar>
            <w:vAlign w:val="top"/>
          </w:tcPr>
          <w:p>
            <w:pPr>
              <w:spacing w:before="100" w:after="10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7"/>
                <w:shd w:fill="auto" w:val="clear"/>
              </w:rPr>
              <w:t xml:space="preserve">- Zgrade (umjereno)                      - Saobra</w:t>
            </w:r>
            <w:r>
              <w:rPr>
                <w:rFonts w:ascii="Calibri" w:hAnsi="Calibri" w:cs="Calibri" w:eastAsia="Calibri"/>
                <w:color w:val="000000"/>
                <w:spacing w:val="0"/>
                <w:position w:val="0"/>
                <w:sz w:val="17"/>
                <w:shd w:fill="auto" w:val="clear"/>
              </w:rPr>
              <w:t xml:space="preserve">ćaj (umjereno)</w:t>
              <w:br/>
            </w:r>
            <w:r>
              <w:rPr>
                <w:rFonts w:ascii="Calibri" w:hAnsi="Calibri" w:cs="Calibri" w:eastAsia="Calibri"/>
                <w:color w:val="000000"/>
                <w:spacing w:val="0"/>
                <w:position w:val="0"/>
                <w:sz w:val="17"/>
                <w:shd w:fill="auto" w:val="clear"/>
              </w:rPr>
              <w:t xml:space="preserve">- Energija (umjereno)</w:t>
              <w:br/>
              <w:t xml:space="preserve">- Vodosnabdijevanje</w:t>
              <w:br/>
              <w:t xml:space="preserve">(umjereno)                                        - Upravljanje otpadom (umjereno)                     </w:t>
              <w:br/>
              <w:t xml:space="preserve">- Planovi korištenja zemljišta (umjereno)</w:t>
              <w:br/>
              <w:t xml:space="preserve">- Poljoprivreda i šumarstvo (umjereno)                                 </w:t>
              <w:br/>
              <w:t xml:space="preserve">- Civilna zaštita i hitna služba (umjereno)                     </w:t>
            </w:r>
          </w:p>
        </w:tc>
        <w:tc>
          <w:tcPr>
            <w:tcW w:w="1797" w:type="dxa"/>
            <w:tcBorders>
              <w:top w:val="single" w:color="ffffff" w:sz="4"/>
              <w:left w:val="single" w:color="ffffff" w:sz="4"/>
              <w:bottom w:val="single" w:color="ffffff" w:sz="4"/>
              <w:right w:val="single" w:color="ffffff" w:sz="4"/>
            </w:tcBorders>
            <w:shd w:color="auto" w:fill="deeaf6" w:val="clear"/>
            <w:tcMar>
              <w:left w:w="108" w:type="dxa"/>
              <w:right w:w="108" w:type="dxa"/>
            </w:tcMar>
            <w:vAlign w:val="top"/>
          </w:tcPr>
          <w:p>
            <w:pPr>
              <w:spacing w:before="0" w:after="20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7"/>
                <w:shd w:fill="auto" w:val="clear"/>
              </w:rPr>
              <w:t xml:space="preserve">- Zgrade (umjereno)                      - Saobra</w:t>
            </w:r>
            <w:r>
              <w:rPr>
                <w:rFonts w:ascii="Calibri" w:hAnsi="Calibri" w:cs="Calibri" w:eastAsia="Calibri"/>
                <w:color w:val="000000"/>
                <w:spacing w:val="0"/>
                <w:position w:val="0"/>
                <w:sz w:val="17"/>
                <w:shd w:fill="auto" w:val="clear"/>
              </w:rPr>
              <w:t xml:space="preserve">ćaj (umjereno)</w:t>
              <w:br/>
            </w:r>
            <w:r>
              <w:rPr>
                <w:rFonts w:ascii="Calibri" w:hAnsi="Calibri" w:cs="Calibri" w:eastAsia="Calibri"/>
                <w:color w:val="000000"/>
                <w:spacing w:val="0"/>
                <w:position w:val="0"/>
                <w:sz w:val="17"/>
                <w:shd w:fill="auto" w:val="clear"/>
              </w:rPr>
              <w:t xml:space="preserve">- Energija (umjereno)</w:t>
              <w:br/>
              <w:t xml:space="preserve">- Vodosnabdijevanje</w:t>
              <w:br/>
              <w:t xml:space="preserve">(umjereno)                                        - Upravljanje otpadom (umjereno)                     </w:t>
              <w:br/>
              <w:t xml:space="preserve">- Planovi korištenja zemljišta (umjereno)</w:t>
              <w:br/>
              <w:t xml:space="preserve">- Poljoprivreda i šumarstvo (umjereno)                                 </w:t>
              <w:br/>
              <w:t xml:space="preserve">- Civilna zaštita i hitna služba (umjereno)                     </w:t>
            </w:r>
          </w:p>
        </w:tc>
        <w:tc>
          <w:tcPr>
            <w:tcW w:w="1948" w:type="dxa"/>
            <w:tcBorders>
              <w:top w:val="single" w:color="ffffff" w:sz="4"/>
              <w:left w:val="single" w:color="ffffff" w:sz="4"/>
              <w:bottom w:val="single" w:color="ffffff" w:sz="4"/>
              <w:right w:val="single" w:color="ffffff" w:sz="4"/>
            </w:tcBorders>
            <w:shd w:color="auto" w:fill="deeaf6" w:val="clear"/>
            <w:tcMar>
              <w:left w:w="108" w:type="dxa"/>
              <w:right w:w="108" w:type="dxa"/>
            </w:tcMar>
            <w:vAlign w:val="top"/>
          </w:tcPr>
          <w:p>
            <w:pPr>
              <w:spacing w:before="0" w:after="20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7"/>
                <w:shd w:fill="auto" w:val="clear"/>
              </w:rPr>
              <w:t xml:space="preserve">- Zgrade (umjereno)                      - Saobra</w:t>
            </w:r>
            <w:r>
              <w:rPr>
                <w:rFonts w:ascii="Calibri" w:hAnsi="Calibri" w:cs="Calibri" w:eastAsia="Calibri"/>
                <w:color w:val="000000"/>
                <w:spacing w:val="0"/>
                <w:position w:val="0"/>
                <w:sz w:val="17"/>
                <w:shd w:fill="auto" w:val="clear"/>
              </w:rPr>
              <w:t xml:space="preserve">ćaj (umjereno)</w:t>
              <w:br/>
            </w:r>
            <w:r>
              <w:rPr>
                <w:rFonts w:ascii="Calibri" w:hAnsi="Calibri" w:cs="Calibri" w:eastAsia="Calibri"/>
                <w:color w:val="000000"/>
                <w:spacing w:val="0"/>
                <w:position w:val="0"/>
                <w:sz w:val="17"/>
                <w:shd w:fill="auto" w:val="clear"/>
              </w:rPr>
              <w:t xml:space="preserve">- Energija (umjereno)</w:t>
              <w:br/>
              <w:t xml:space="preserve">- Vodosnabdijevanje</w:t>
              <w:br/>
              <w:t xml:space="preserve">(umjereno)                                        - Upravljanje otpadom (umjereno)                     </w:t>
              <w:br/>
              <w:t xml:space="preserve">- Planovi korištenja zemljišta (umjereno)</w:t>
              <w:br/>
              <w:t xml:space="preserve">- Poljoprivreda i šumarstvo (umjereno)                                 </w:t>
              <w:br/>
              <w:t xml:space="preserve">- Civilna zaštita i hitna služba (umjereno)                     </w:t>
            </w:r>
          </w:p>
        </w:tc>
        <w:tc>
          <w:tcPr>
            <w:tcW w:w="1797" w:type="dxa"/>
            <w:tcBorders>
              <w:top w:val="single" w:color="ffffff" w:sz="4"/>
              <w:left w:val="single" w:color="ffffff" w:sz="4"/>
              <w:bottom w:val="single" w:color="ffffff" w:sz="4"/>
              <w:right w:val="single" w:color="ffffff" w:sz="4"/>
            </w:tcBorders>
            <w:shd w:color="auto" w:fill="deeaf6" w:val="clear"/>
            <w:tcMar>
              <w:left w:w="108" w:type="dxa"/>
              <w:right w:w="108" w:type="dxa"/>
            </w:tcMar>
            <w:vAlign w:val="top"/>
          </w:tcPr>
          <w:p>
            <w:pPr>
              <w:spacing w:before="0" w:after="20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7"/>
                <w:shd w:fill="auto" w:val="clear"/>
              </w:rPr>
              <w:t xml:space="preserve">- Zgrade (umjereno)                      - Saobra</w:t>
            </w:r>
            <w:r>
              <w:rPr>
                <w:rFonts w:ascii="Calibri" w:hAnsi="Calibri" w:cs="Calibri" w:eastAsia="Calibri"/>
                <w:color w:val="000000"/>
                <w:spacing w:val="0"/>
                <w:position w:val="0"/>
                <w:sz w:val="17"/>
                <w:shd w:fill="auto" w:val="clear"/>
              </w:rPr>
              <w:t xml:space="preserve">ćaj (umjereno)</w:t>
              <w:br/>
            </w:r>
            <w:r>
              <w:rPr>
                <w:rFonts w:ascii="Calibri" w:hAnsi="Calibri" w:cs="Calibri" w:eastAsia="Calibri"/>
                <w:color w:val="000000"/>
                <w:spacing w:val="0"/>
                <w:position w:val="0"/>
                <w:sz w:val="17"/>
                <w:shd w:fill="auto" w:val="clear"/>
              </w:rPr>
              <w:t xml:space="preserve">- Energija (umjereno)</w:t>
              <w:br/>
              <w:t xml:space="preserve">- Vodosnabdijevanje</w:t>
              <w:br/>
              <w:t xml:space="preserve">(umjereno)                                        - Upravljanje otpadom (umjereno)                     </w:t>
              <w:br/>
              <w:t xml:space="preserve">- Planovi korištenja zemljišta (umjereno)</w:t>
              <w:br/>
              <w:t xml:space="preserve">- Poljoprivreda i šumarstvo (umjereno)                                 </w:t>
              <w:br/>
              <w:t xml:space="preserve">- Civilna zaštita i hitna služba (umjereno)                     </w:t>
            </w:r>
          </w:p>
        </w:tc>
        <w:tc>
          <w:tcPr>
            <w:tcW w:w="1797" w:type="dxa"/>
            <w:tcBorders>
              <w:top w:val="single" w:color="ffffff" w:sz="4"/>
              <w:left w:val="single" w:color="ffffff" w:sz="4"/>
              <w:bottom w:val="single" w:color="ffffff" w:sz="4"/>
              <w:right w:val="single" w:color="ffffff" w:sz="4"/>
            </w:tcBorders>
            <w:shd w:color="auto" w:fill="deeaf6" w:val="clear"/>
            <w:tcMar>
              <w:left w:w="108" w:type="dxa"/>
              <w:right w:w="108" w:type="dxa"/>
            </w:tcMar>
            <w:vAlign w:val="top"/>
          </w:tcPr>
          <w:p>
            <w:pPr>
              <w:spacing w:before="0" w:after="20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7"/>
                <w:shd w:fill="auto" w:val="clear"/>
              </w:rPr>
              <w:t xml:space="preserve">- Zgrade (umjereno)                      - Saobra</w:t>
            </w:r>
            <w:r>
              <w:rPr>
                <w:rFonts w:ascii="Calibri" w:hAnsi="Calibri" w:cs="Calibri" w:eastAsia="Calibri"/>
                <w:color w:val="000000"/>
                <w:spacing w:val="0"/>
                <w:position w:val="0"/>
                <w:sz w:val="17"/>
                <w:shd w:fill="auto" w:val="clear"/>
              </w:rPr>
              <w:t xml:space="preserve">ćaj (umjereno)</w:t>
              <w:br/>
            </w:r>
            <w:r>
              <w:rPr>
                <w:rFonts w:ascii="Calibri" w:hAnsi="Calibri" w:cs="Calibri" w:eastAsia="Calibri"/>
                <w:color w:val="000000"/>
                <w:spacing w:val="0"/>
                <w:position w:val="0"/>
                <w:sz w:val="17"/>
                <w:shd w:fill="auto" w:val="clear"/>
              </w:rPr>
              <w:t xml:space="preserve">- Energija (umjereno)</w:t>
              <w:br/>
              <w:t xml:space="preserve">- Vodosnabdijevanje</w:t>
              <w:br/>
              <w:t xml:space="preserve">(umjereno)                                        - Upravljanje otpadom (umjereno)                     </w:t>
              <w:br/>
              <w:t xml:space="preserve">- Planovi korištenja zemljišta (umjereno)</w:t>
              <w:br/>
              <w:t xml:space="preserve">- Poljoprivreda i šumarstvo (umjereno)                                 </w:t>
              <w:br/>
              <w:t xml:space="preserve">- Civilna zaštita i hitna služba (umjereno)                     </w:t>
            </w:r>
          </w:p>
        </w:tc>
      </w:tr>
    </w:tbl>
    <w:p>
      <w:pPr>
        <w:spacing w:before="0" w:after="200" w:line="240"/>
        <w:ind w:right="0" w:left="0" w:firstLine="0"/>
        <w:jc w:val="center"/>
        <w:rPr>
          <w:rFonts w:ascii="Calibri" w:hAnsi="Calibri" w:cs="Calibri" w:eastAsia="Calibri"/>
          <w:i/>
          <w:color w:val="auto"/>
          <w:spacing w:val="0"/>
          <w:position w:val="0"/>
          <w:sz w:val="18"/>
          <w:shd w:fill="auto" w:val="clear"/>
        </w:rPr>
      </w:pPr>
      <w:r>
        <w:rPr>
          <w:rFonts w:ascii="Calibri" w:hAnsi="Calibri" w:cs="Calibri" w:eastAsia="Calibri"/>
          <w:i/>
          <w:color w:val="auto"/>
          <w:spacing w:val="0"/>
          <w:position w:val="0"/>
          <w:sz w:val="18"/>
          <w:shd w:fill="auto" w:val="clear"/>
        </w:rPr>
        <w:t xml:space="preserve">Tabela 64: Karakteristike kapaciteta op</w:t>
      </w:r>
      <w:r>
        <w:rPr>
          <w:rFonts w:ascii="Calibri" w:hAnsi="Calibri" w:cs="Calibri" w:eastAsia="Calibri"/>
          <w:i/>
          <w:color w:val="auto"/>
          <w:spacing w:val="0"/>
          <w:position w:val="0"/>
          <w:sz w:val="18"/>
          <w:shd w:fill="auto" w:val="clear"/>
        </w:rPr>
        <w:t xml:space="preserve">ćine Doboj Istok za prilagođavanje na klimatske promjene</w:t>
      </w:r>
    </w:p>
    <w:p>
      <w:pPr>
        <w:keepNext w:val="true"/>
        <w:keepLines w:val="true"/>
        <w:numPr>
          <w:ilvl w:val="0"/>
          <w:numId w:val="3441"/>
        </w:numPr>
        <w:spacing w:before="240" w:after="0" w:line="240"/>
        <w:ind w:right="0" w:left="578" w:hanging="578"/>
        <w:jc w:val="both"/>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Mjere prilago</w:t>
      </w:r>
      <w:r>
        <w:rPr>
          <w:rFonts w:ascii="Calibri" w:hAnsi="Calibri" w:cs="Calibri" w:eastAsia="Calibri"/>
          <w:b/>
          <w:color w:val="auto"/>
          <w:spacing w:val="0"/>
          <w:position w:val="0"/>
          <w:sz w:val="28"/>
          <w:shd w:fill="auto" w:val="clear"/>
        </w:rPr>
        <w:t xml:space="preserve">đavanja klimatskim promjenama na području općine Doboj Istok</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Na osnovu ocjene opasnosti, izloženosti i kapaciteta za prilago</w:t>
      </w:r>
      <w:r>
        <w:rPr>
          <w:rFonts w:ascii="Calibri" w:hAnsi="Calibri" w:cs="Calibri" w:eastAsia="Calibri"/>
          <w:color w:val="auto"/>
          <w:spacing w:val="0"/>
          <w:position w:val="0"/>
          <w:sz w:val="20"/>
          <w:shd w:fill="auto" w:val="clear"/>
        </w:rPr>
        <w:t xml:space="preserve">đavanje klimatskim promjenama identificirane su mjere i aktivnosti čija će realizacija dovesti do ispunjenja drugog ključnog cilja postavljenog u ovom Akcionom planu. Uzimajući u obzir prirodne nesreće koje su se najčešće događale na području općine Doboj Istok, kao i stavove i ocjene članica i članova tima i savjetodavne grupe za izradu Akcionog plana općine Doboj Istok, predložene mjere su vezane za opasnosti od poplava, klizišta, suša i nestašica vode te ekstremno visokih temperatura.</w:t>
      </w:r>
    </w:p>
    <w:p>
      <w:pPr>
        <w:keepNext w:val="true"/>
        <w:keepLines w:val="true"/>
        <w:numPr>
          <w:ilvl w:val="0"/>
          <w:numId w:val="3443"/>
        </w:numPr>
        <w:spacing w:before="120" w:after="120" w:line="240"/>
        <w:ind w:right="0" w:left="720" w:hanging="72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Mjere za prilago</w:t>
      </w:r>
      <w:r>
        <w:rPr>
          <w:rFonts w:ascii="Calibri" w:hAnsi="Calibri" w:cs="Calibri" w:eastAsia="Calibri"/>
          <w:b/>
          <w:color w:val="auto"/>
          <w:spacing w:val="0"/>
          <w:position w:val="0"/>
          <w:sz w:val="24"/>
          <w:shd w:fill="auto" w:val="clear"/>
        </w:rPr>
        <w:t xml:space="preserve">đavanje na opasnosti od poplava</w:t>
      </w:r>
    </w:p>
    <w:tbl>
      <w:tblPr/>
      <w:tblGrid>
        <w:gridCol w:w="2122"/>
        <w:gridCol w:w="7484"/>
      </w:tblGrid>
      <w:tr>
        <w:trPr>
          <w:trHeight w:val="350" w:hRule="auto"/>
          <w:jc w:val="left"/>
        </w:trPr>
        <w:tc>
          <w:tcPr>
            <w:tcW w:w="2122" w:type="dxa"/>
            <w:tcBorders>
              <w:top w:val="single" w:color="000000" w:sz="4"/>
              <w:left w:val="single" w:color="000000" w:sz="4"/>
              <w:bottom w:val="single" w:color="000000" w:sz="4"/>
              <w:right w:val="single" w:color="000000" w:sz="4"/>
            </w:tcBorders>
            <w:shd w:color="auto" w:fill="d5dce4"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Redni broj mjere</w:t>
            </w:r>
          </w:p>
        </w:tc>
        <w:tc>
          <w:tcPr>
            <w:tcW w:w="7484" w:type="dxa"/>
            <w:tcBorders>
              <w:top w:val="single" w:color="000000" w:sz="4"/>
              <w:left w:val="single" w:color="000000" w:sz="4"/>
              <w:bottom w:val="single" w:color="000000" w:sz="4"/>
              <w:right w:val="single" w:color="000000" w:sz="4"/>
            </w:tcBorders>
            <w:shd w:color="auto" w:fill="d5dce4" w:val="clear"/>
            <w:tcMar>
              <w:left w:w="108" w:type="dxa"/>
              <w:right w:w="108" w:type="dxa"/>
            </w:tcMar>
            <w:vAlign w:val="top"/>
          </w:tcPr>
          <w:p>
            <w:pPr>
              <w:spacing w:before="40" w:after="40" w:line="240"/>
              <w:ind w:right="0" w:left="0" w:firstLine="0"/>
              <w:jc w:val="center"/>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1</w:t>
            </w:r>
          </w:p>
        </w:tc>
      </w:tr>
      <w:tr>
        <w:trPr>
          <w:trHeight w:val="70" w:hRule="auto"/>
          <w:jc w:val="left"/>
        </w:trPr>
        <w:tc>
          <w:tcPr>
            <w:tcW w:w="2122" w:type="dxa"/>
            <w:tcBorders>
              <w:top w:val="single" w:color="000000" w:sz="4"/>
              <w:left w:val="single" w:color="000000" w:sz="4"/>
              <w:bottom w:val="single" w:color="000000" w:sz="4"/>
              <w:right w:val="single" w:color="000000" w:sz="4"/>
            </w:tcBorders>
            <w:shd w:color="auto" w:fill="d5dce4"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Naziv mjere</w:t>
            </w:r>
          </w:p>
        </w:tc>
        <w:tc>
          <w:tcPr>
            <w:tcW w:w="7484" w:type="dxa"/>
            <w:tcBorders>
              <w:top w:val="single" w:color="000000" w:sz="4"/>
              <w:left w:val="single" w:color="000000" w:sz="4"/>
              <w:bottom w:val="single" w:color="000000" w:sz="4"/>
              <w:right w:val="single" w:color="000000" w:sz="4"/>
            </w:tcBorders>
            <w:shd w:color="auto" w:fill="d5dce4" w:val="clear"/>
            <w:tcMar>
              <w:left w:w="108" w:type="dxa"/>
              <w:right w:w="108" w:type="dxa"/>
            </w:tcMar>
            <w:vAlign w:val="top"/>
          </w:tcPr>
          <w:p>
            <w:pPr>
              <w:spacing w:before="40" w:after="40" w:line="240"/>
              <w:ind w:right="0" w:left="0" w:firstLine="0"/>
              <w:jc w:val="center"/>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Regulacija toka rijeke Spre</w:t>
            </w:r>
            <w:r>
              <w:rPr>
                <w:rFonts w:ascii="Calibri" w:hAnsi="Calibri" w:cs="Calibri" w:eastAsia="Calibri"/>
                <w:b/>
                <w:color w:val="auto"/>
                <w:spacing w:val="0"/>
                <w:position w:val="0"/>
                <w:sz w:val="18"/>
                <w:shd w:fill="auto" w:val="clear"/>
              </w:rPr>
              <w:t xml:space="preserve">če</w:t>
            </w:r>
          </w:p>
        </w:tc>
      </w:tr>
      <w:tr>
        <w:trPr>
          <w:trHeight w:val="227" w:hRule="auto"/>
          <w:jc w:val="left"/>
        </w:trPr>
        <w:tc>
          <w:tcPr>
            <w:tcW w:w="2122" w:type="dxa"/>
            <w:tcBorders>
              <w:top w:val="single" w:color="000000" w:sz="4"/>
              <w:left w:val="single" w:color="000000" w:sz="4"/>
              <w:bottom w:val="single" w:color="000000" w:sz="4"/>
              <w:right w:val="single" w:color="000000" w:sz="4"/>
            </w:tcBorders>
            <w:shd w:color="auto" w:fill="fbe4d5"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Nosilac realizacije mjere</w:t>
            </w:r>
          </w:p>
        </w:tc>
        <w:tc>
          <w:tcPr>
            <w:tcW w:w="7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125"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Agencija za vodno podru</w:t>
            </w:r>
            <w:r>
              <w:rPr>
                <w:rFonts w:ascii="Calibri" w:hAnsi="Calibri" w:cs="Calibri" w:eastAsia="Calibri"/>
                <w:color w:val="auto"/>
                <w:spacing w:val="0"/>
                <w:position w:val="0"/>
                <w:sz w:val="18"/>
                <w:shd w:fill="auto" w:val="clear"/>
              </w:rPr>
              <w:t xml:space="preserve">čje rijeke Save</w:t>
            </w:r>
          </w:p>
        </w:tc>
      </w:tr>
      <w:tr>
        <w:trPr>
          <w:trHeight w:val="227" w:hRule="auto"/>
          <w:jc w:val="left"/>
        </w:trPr>
        <w:tc>
          <w:tcPr>
            <w:tcW w:w="2122" w:type="dxa"/>
            <w:tcBorders>
              <w:top w:val="single" w:color="000000" w:sz="4"/>
              <w:left w:val="single" w:color="000000" w:sz="4"/>
              <w:bottom w:val="single" w:color="000000" w:sz="4"/>
              <w:right w:val="single" w:color="000000" w:sz="4"/>
            </w:tcBorders>
            <w:shd w:color="auto" w:fill="fbe4d5"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Partneri u realizaciji</w:t>
            </w:r>
          </w:p>
        </w:tc>
        <w:tc>
          <w:tcPr>
            <w:tcW w:w="7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3457"/>
              </w:numPr>
              <w:spacing w:before="40" w:after="0" w:line="240"/>
              <w:ind w:right="0" w:left="482"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Op</w:t>
            </w:r>
            <w:r>
              <w:rPr>
                <w:rFonts w:ascii="Calibri" w:hAnsi="Calibri" w:cs="Calibri" w:eastAsia="Calibri"/>
                <w:color w:val="auto"/>
                <w:spacing w:val="0"/>
                <w:position w:val="0"/>
                <w:sz w:val="18"/>
                <w:shd w:fill="auto" w:val="clear"/>
              </w:rPr>
              <w:t xml:space="preserve">ćina Doboj Istok</w:t>
            </w:r>
          </w:p>
          <w:p>
            <w:pPr>
              <w:numPr>
                <w:ilvl w:val="0"/>
                <w:numId w:val="3457"/>
              </w:numPr>
              <w:spacing w:before="0" w:after="0" w:line="240"/>
              <w:ind w:right="0" w:left="482"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Ostale op</w:t>
            </w:r>
            <w:r>
              <w:rPr>
                <w:rFonts w:ascii="Calibri" w:hAnsi="Calibri" w:cs="Calibri" w:eastAsia="Calibri"/>
                <w:color w:val="auto"/>
                <w:spacing w:val="0"/>
                <w:position w:val="0"/>
                <w:sz w:val="18"/>
                <w:shd w:fill="auto" w:val="clear"/>
              </w:rPr>
              <w:t xml:space="preserve">ćine u slivu rijeke Spreče</w:t>
            </w:r>
          </w:p>
          <w:p>
            <w:pPr>
              <w:numPr>
                <w:ilvl w:val="0"/>
                <w:numId w:val="3457"/>
              </w:numPr>
              <w:spacing w:before="0" w:after="40" w:line="240"/>
              <w:ind w:right="0" w:left="482" w:hanging="357"/>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Nadležna kantonalna i entitetska ministarstva i me</w:t>
            </w:r>
            <w:r>
              <w:rPr>
                <w:rFonts w:ascii="Calibri" w:hAnsi="Calibri" w:cs="Calibri" w:eastAsia="Calibri"/>
                <w:color w:val="auto"/>
                <w:spacing w:val="0"/>
                <w:position w:val="0"/>
                <w:sz w:val="18"/>
                <w:shd w:fill="auto" w:val="clear"/>
              </w:rPr>
              <w:t xml:space="preserve">đunarodne organizacije</w:t>
            </w:r>
          </w:p>
        </w:tc>
      </w:tr>
      <w:tr>
        <w:trPr>
          <w:trHeight w:val="227" w:hRule="auto"/>
          <w:jc w:val="left"/>
        </w:trPr>
        <w:tc>
          <w:tcPr>
            <w:tcW w:w="2122" w:type="dxa"/>
            <w:tcBorders>
              <w:top w:val="single" w:color="000000" w:sz="4"/>
              <w:left w:val="single" w:color="000000" w:sz="4"/>
              <w:bottom w:val="single" w:color="000000" w:sz="4"/>
              <w:right w:val="single" w:color="000000" w:sz="4"/>
            </w:tcBorders>
            <w:shd w:color="auto" w:fill="fbe4d5"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Period realizacije</w:t>
            </w:r>
          </w:p>
        </w:tc>
        <w:tc>
          <w:tcPr>
            <w:tcW w:w="7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72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2020-2026.</w:t>
            </w:r>
          </w:p>
        </w:tc>
      </w:tr>
      <w:tr>
        <w:trPr>
          <w:trHeight w:val="227" w:hRule="auto"/>
          <w:jc w:val="left"/>
        </w:trPr>
        <w:tc>
          <w:tcPr>
            <w:tcW w:w="2122" w:type="dxa"/>
            <w:tcBorders>
              <w:top w:val="single" w:color="000000" w:sz="4"/>
              <w:left w:val="single" w:color="000000" w:sz="4"/>
              <w:bottom w:val="single" w:color="000000" w:sz="4"/>
              <w:right w:val="single" w:color="000000" w:sz="4"/>
            </w:tcBorders>
            <w:shd w:color="auto" w:fill="fbe4d5"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Ukupna investicija</w:t>
            </w:r>
          </w:p>
        </w:tc>
        <w:tc>
          <w:tcPr>
            <w:tcW w:w="7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72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1.000.000 KM</w:t>
            </w:r>
          </w:p>
        </w:tc>
      </w:tr>
      <w:tr>
        <w:trPr>
          <w:trHeight w:val="227" w:hRule="auto"/>
          <w:jc w:val="left"/>
        </w:trPr>
        <w:tc>
          <w:tcPr>
            <w:tcW w:w="2122" w:type="dxa"/>
            <w:tcBorders>
              <w:top w:val="single" w:color="000000" w:sz="4"/>
              <w:left w:val="single" w:color="000000" w:sz="4"/>
              <w:bottom w:val="single" w:color="000000" w:sz="4"/>
              <w:right w:val="single" w:color="000000" w:sz="4"/>
            </w:tcBorders>
            <w:shd w:color="auto" w:fill="fbe4d5" w:val="clear"/>
            <w:tcMar>
              <w:left w:w="108" w:type="dxa"/>
              <w:right w:w="108" w:type="dxa"/>
            </w:tcMar>
            <w:vAlign w:val="top"/>
          </w:tcPr>
          <w:p>
            <w:pPr>
              <w:spacing w:before="40" w:after="40" w:line="240"/>
              <w:ind w:right="0" w:left="0" w:firstLine="0"/>
              <w:jc w:val="left"/>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Izvori financijskih sredstava</w:t>
            </w:r>
          </w:p>
        </w:tc>
        <w:tc>
          <w:tcPr>
            <w:tcW w:w="7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3468"/>
              </w:numPr>
              <w:spacing w:before="40" w:after="0" w:line="240"/>
              <w:ind w:right="0" w:left="482"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Agencija za vodno podru</w:t>
            </w:r>
            <w:r>
              <w:rPr>
                <w:rFonts w:ascii="Calibri" w:hAnsi="Calibri" w:cs="Calibri" w:eastAsia="Calibri"/>
                <w:color w:val="auto"/>
                <w:spacing w:val="0"/>
                <w:position w:val="0"/>
                <w:sz w:val="18"/>
                <w:shd w:fill="auto" w:val="clear"/>
              </w:rPr>
              <w:t xml:space="preserve">čje rijeke Save</w:t>
            </w:r>
          </w:p>
          <w:p>
            <w:pPr>
              <w:numPr>
                <w:ilvl w:val="0"/>
                <w:numId w:val="3468"/>
              </w:numPr>
              <w:spacing w:before="0" w:after="0" w:line="240"/>
              <w:ind w:right="0" w:left="482"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Op</w:t>
            </w:r>
            <w:r>
              <w:rPr>
                <w:rFonts w:ascii="Calibri" w:hAnsi="Calibri" w:cs="Calibri" w:eastAsia="Calibri"/>
                <w:color w:val="auto"/>
                <w:spacing w:val="0"/>
                <w:position w:val="0"/>
                <w:sz w:val="18"/>
                <w:shd w:fill="auto" w:val="clear"/>
              </w:rPr>
              <w:t xml:space="preserve">ćina Doboj Istok</w:t>
            </w:r>
          </w:p>
          <w:p>
            <w:pPr>
              <w:numPr>
                <w:ilvl w:val="0"/>
                <w:numId w:val="3468"/>
              </w:numPr>
              <w:spacing w:before="0" w:after="40" w:line="240"/>
              <w:ind w:right="0" w:left="482" w:hanging="357"/>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Me</w:t>
            </w:r>
            <w:r>
              <w:rPr>
                <w:rFonts w:ascii="Calibri" w:hAnsi="Calibri" w:cs="Calibri" w:eastAsia="Calibri"/>
                <w:color w:val="auto"/>
                <w:spacing w:val="0"/>
                <w:position w:val="0"/>
                <w:sz w:val="18"/>
                <w:shd w:fill="auto" w:val="clear"/>
              </w:rPr>
              <w:t xml:space="preserve">đunarodni finansijeri i donatori (EU, UNDP, USAID i dr.)</w:t>
            </w:r>
          </w:p>
        </w:tc>
      </w:tr>
      <w:tr>
        <w:trPr>
          <w:trHeight w:val="710" w:hRule="auto"/>
          <w:jc w:val="left"/>
        </w:trPr>
        <w:tc>
          <w:tcPr>
            <w:tcW w:w="2122" w:type="dxa"/>
            <w:tcBorders>
              <w:top w:val="single" w:color="000000" w:sz="4"/>
              <w:left w:val="single" w:color="000000" w:sz="4"/>
              <w:bottom w:val="single" w:color="000000" w:sz="4"/>
              <w:right w:val="single" w:color="000000" w:sz="4"/>
            </w:tcBorders>
            <w:shd w:color="auto" w:fill="fbe4d5"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Kratki opis mjere</w:t>
            </w:r>
          </w:p>
        </w:tc>
        <w:tc>
          <w:tcPr>
            <w:tcW w:w="7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0" w:line="240"/>
              <w:ind w:right="0" w:left="0" w:firstLine="0"/>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Uslijed obilnih kišnih padavina, kontinuiranog odlaganja sme</w:t>
            </w:r>
            <w:r>
              <w:rPr>
                <w:rFonts w:ascii="Calibri" w:hAnsi="Calibri" w:cs="Calibri" w:eastAsia="Calibri"/>
                <w:color w:val="auto"/>
                <w:spacing w:val="0"/>
                <w:position w:val="0"/>
                <w:sz w:val="18"/>
                <w:shd w:fill="auto" w:val="clear"/>
              </w:rPr>
              <w:t xml:space="preserve">ća i nemara, rijeka Spreča predstavlja okolišni problem i potencijalni rizik za zdravlje stanovnika općine, a posebno onih koji žive na obalama i u neposrednoj blizini rijeke. Rizik od poplava je povećan i zbog naslaga otpada i stvaranja ada u samom koritu rijeke, a veliki problem pričinjavaju i grane drveća koje raste uz obale rijeke, koje uranjaju u vodu i utiču na mijenjanje njenog prirodnog toka. Poplave direktno utječu na uništavanje poljoprivrednih dobara, nesigurnost stanovnika (u 2014.  godini je zbog poplava evakuirano oko 30 porodica), te održavanje i očuvanje sportskih atrakcija (izletištaza  lov i ribolov). Zbog svih navedenih razloga jasna je opravdanost sveukupnog efekta ove mjere na smanjenje opasnosti i šteta nastalih usljed poplava, uzrokovanih nereguliranim tokom rijeke Spreče.</w:t>
            </w:r>
          </w:p>
          <w:p>
            <w:pPr>
              <w:spacing w:before="40" w:after="0" w:line="240"/>
              <w:ind w:right="0" w:left="0" w:firstLine="0"/>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O</w:t>
            </w:r>
            <w:r>
              <w:rPr>
                <w:rFonts w:ascii="Calibri" w:hAnsi="Calibri" w:cs="Calibri" w:eastAsia="Calibri"/>
                <w:color w:val="auto"/>
                <w:spacing w:val="0"/>
                <w:position w:val="0"/>
                <w:sz w:val="18"/>
                <w:shd w:fill="auto" w:val="clear"/>
              </w:rPr>
              <w:t xml:space="preserve">čekivani rezultat provedbe ove mjere je smanjen obim poplavljenog zemljišta i stambenih objekata za 5%. Realizacija ove mjere će doprinijeti i postizanju šire postavljenih ciljeva smanjenja vrijednosti materijalnih šteta od elementarnih i drugih većih nepogoda za 30%, smanjenja broja nesreća koje ugrožavaju život i zdravlje ljudi te dovode do velikih materijalnih šteta usljed elementarnih i drugih većih nepogoda za 50%, te smanjenja zagađenost zemljišta uzrokovanog poplavama i drugim uzrocima zagađenja za 10%, u odnosu na zabilježeno stanje u 2015. godini.</w:t>
            </w:r>
          </w:p>
          <w:p>
            <w:pPr>
              <w:spacing w:before="40" w:after="0" w:line="240"/>
              <w:ind w:right="0" w:left="0" w:firstLine="0"/>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Aktivnosti u okviru provo</w:t>
            </w:r>
            <w:r>
              <w:rPr>
                <w:rFonts w:ascii="Calibri" w:hAnsi="Calibri" w:cs="Calibri" w:eastAsia="Calibri"/>
                <w:color w:val="auto"/>
                <w:spacing w:val="0"/>
                <w:position w:val="0"/>
                <w:sz w:val="18"/>
                <w:shd w:fill="auto" w:val="clear"/>
              </w:rPr>
              <w:t xml:space="preserve">đenja ove mjere uključuju čišćenje desne i lijeve obale rijeke Spreče od otpada i nanosa, njenu regulaciju, te produbljavanje korita radi većeg obima oticanja vode u ukupnoj dužini od jezera Modrac do ušća Spreče u rijeku Bosnu. Dužina regulacije toka rijeke Spreče u općini Doboj Istok je oko 12 km. </w:t>
            </w:r>
          </w:p>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Na podru</w:t>
            </w:r>
            <w:r>
              <w:rPr>
                <w:rFonts w:ascii="Calibri" w:hAnsi="Calibri" w:cs="Calibri" w:eastAsia="Calibri"/>
                <w:color w:val="auto"/>
                <w:spacing w:val="0"/>
                <w:position w:val="0"/>
                <w:sz w:val="18"/>
                <w:shd w:fill="auto" w:val="clear"/>
              </w:rPr>
              <w:t xml:space="preserve">čju općine Doboj Istok ova mjera je dio regionalnog projekta čiji je nosilac Agencija za vodno područje rijeke Save. Projekat se odnosi na općine i gradove Kalesija, Živinice, Lukavac, Gračanica, Doboj Istok u Federaciji BiH, te općinu Petrovo i grad Doboj u Republici Srpskoj. U proteklom periodu dobivene su potrebne saglasnosti od entitetskih vlada i vrši se priprema projektno-tehničke dokumentacije. </w:t>
            </w:r>
          </w:p>
        </w:tc>
      </w:tr>
    </w:tbl>
    <w:p>
      <w:pPr>
        <w:spacing w:before="120" w:after="120" w:line="240"/>
        <w:ind w:right="0" w:left="0" w:firstLine="0"/>
        <w:jc w:val="both"/>
        <w:rPr>
          <w:rFonts w:ascii="Calibri" w:hAnsi="Calibri" w:cs="Calibri" w:eastAsia="Calibri"/>
          <w:color w:val="auto"/>
          <w:spacing w:val="0"/>
          <w:position w:val="0"/>
          <w:sz w:val="22"/>
          <w:shd w:fill="auto" w:val="clear"/>
        </w:rPr>
      </w:pPr>
    </w:p>
    <w:tbl>
      <w:tblPr/>
      <w:tblGrid>
        <w:gridCol w:w="2122"/>
        <w:gridCol w:w="7484"/>
      </w:tblGrid>
      <w:tr>
        <w:trPr>
          <w:trHeight w:val="350" w:hRule="auto"/>
          <w:jc w:val="left"/>
        </w:trPr>
        <w:tc>
          <w:tcPr>
            <w:tcW w:w="2122" w:type="dxa"/>
            <w:tcBorders>
              <w:top w:val="single" w:color="000000" w:sz="4"/>
              <w:left w:val="single" w:color="000000" w:sz="4"/>
              <w:bottom w:val="single" w:color="000000" w:sz="4"/>
              <w:right w:val="single" w:color="000000" w:sz="4"/>
            </w:tcBorders>
            <w:shd w:color="auto" w:fill="d5dce4"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Redni broj mjere</w:t>
            </w:r>
          </w:p>
        </w:tc>
        <w:tc>
          <w:tcPr>
            <w:tcW w:w="7484" w:type="dxa"/>
            <w:tcBorders>
              <w:top w:val="single" w:color="000000" w:sz="4"/>
              <w:left w:val="single" w:color="000000" w:sz="4"/>
              <w:bottom w:val="single" w:color="000000" w:sz="4"/>
              <w:right w:val="single" w:color="000000" w:sz="4"/>
            </w:tcBorders>
            <w:shd w:color="auto" w:fill="d5dce4" w:val="clear"/>
            <w:tcMar>
              <w:left w:w="108" w:type="dxa"/>
              <w:right w:w="108" w:type="dxa"/>
            </w:tcMar>
            <w:vAlign w:val="top"/>
          </w:tcPr>
          <w:p>
            <w:pPr>
              <w:spacing w:before="40" w:after="40" w:line="240"/>
              <w:ind w:right="0" w:left="0" w:firstLine="0"/>
              <w:jc w:val="center"/>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2</w:t>
            </w:r>
          </w:p>
        </w:tc>
      </w:tr>
      <w:tr>
        <w:trPr>
          <w:trHeight w:val="70" w:hRule="auto"/>
          <w:jc w:val="left"/>
        </w:trPr>
        <w:tc>
          <w:tcPr>
            <w:tcW w:w="2122" w:type="dxa"/>
            <w:tcBorders>
              <w:top w:val="single" w:color="000000" w:sz="4"/>
              <w:left w:val="single" w:color="000000" w:sz="4"/>
              <w:bottom w:val="single" w:color="000000" w:sz="4"/>
              <w:right w:val="single" w:color="000000" w:sz="4"/>
            </w:tcBorders>
            <w:shd w:color="auto" w:fill="d5dce4"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Naziv mjere</w:t>
            </w:r>
          </w:p>
        </w:tc>
        <w:tc>
          <w:tcPr>
            <w:tcW w:w="7484" w:type="dxa"/>
            <w:tcBorders>
              <w:top w:val="single" w:color="000000" w:sz="4"/>
              <w:left w:val="single" w:color="000000" w:sz="4"/>
              <w:bottom w:val="single" w:color="000000" w:sz="4"/>
              <w:right w:val="single" w:color="000000" w:sz="4"/>
            </w:tcBorders>
            <w:shd w:color="auto" w:fill="d5dce4" w:val="clear"/>
            <w:tcMar>
              <w:left w:w="108" w:type="dxa"/>
              <w:right w:w="108" w:type="dxa"/>
            </w:tcMar>
            <w:vAlign w:val="top"/>
          </w:tcPr>
          <w:p>
            <w:pPr>
              <w:spacing w:before="40" w:after="40" w:line="240"/>
              <w:ind w:right="0" w:left="0" w:firstLine="0"/>
              <w:jc w:val="center"/>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Ure</w:t>
            </w:r>
            <w:r>
              <w:rPr>
                <w:rFonts w:ascii="Calibri" w:hAnsi="Calibri" w:cs="Calibri" w:eastAsia="Calibri"/>
                <w:b/>
                <w:color w:val="auto"/>
                <w:spacing w:val="0"/>
                <w:position w:val="0"/>
                <w:sz w:val="18"/>
                <w:shd w:fill="auto" w:val="clear"/>
              </w:rPr>
              <w:t xml:space="preserve">đenje, ucjevljenje  i ukoritavanje  vodotoka na području Doboj Istoka</w:t>
            </w:r>
          </w:p>
        </w:tc>
      </w:tr>
      <w:tr>
        <w:trPr>
          <w:trHeight w:val="227" w:hRule="auto"/>
          <w:jc w:val="left"/>
        </w:trPr>
        <w:tc>
          <w:tcPr>
            <w:tcW w:w="2122" w:type="dxa"/>
            <w:tcBorders>
              <w:top w:val="single" w:color="000000" w:sz="4"/>
              <w:left w:val="single" w:color="000000" w:sz="4"/>
              <w:bottom w:val="single" w:color="000000" w:sz="4"/>
              <w:right w:val="single" w:color="000000" w:sz="4"/>
            </w:tcBorders>
            <w:shd w:color="auto" w:fill="fbe4d5"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Nosilac realizacije mjere</w:t>
            </w:r>
          </w:p>
        </w:tc>
        <w:tc>
          <w:tcPr>
            <w:tcW w:w="7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125"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Op</w:t>
            </w:r>
            <w:r>
              <w:rPr>
                <w:rFonts w:ascii="Calibri" w:hAnsi="Calibri" w:cs="Calibri" w:eastAsia="Calibri"/>
                <w:color w:val="auto"/>
                <w:spacing w:val="0"/>
                <w:position w:val="0"/>
                <w:sz w:val="18"/>
                <w:shd w:fill="auto" w:val="clear"/>
              </w:rPr>
              <w:t xml:space="preserve">ćina Doboj Istok</w:t>
            </w:r>
          </w:p>
        </w:tc>
      </w:tr>
      <w:tr>
        <w:trPr>
          <w:trHeight w:val="227" w:hRule="auto"/>
          <w:jc w:val="left"/>
        </w:trPr>
        <w:tc>
          <w:tcPr>
            <w:tcW w:w="2122" w:type="dxa"/>
            <w:tcBorders>
              <w:top w:val="single" w:color="000000" w:sz="4"/>
              <w:left w:val="single" w:color="000000" w:sz="4"/>
              <w:bottom w:val="single" w:color="000000" w:sz="4"/>
              <w:right w:val="single" w:color="000000" w:sz="4"/>
            </w:tcBorders>
            <w:shd w:color="auto" w:fill="fbe4d5"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Partneri u realizaciji</w:t>
            </w:r>
          </w:p>
        </w:tc>
        <w:tc>
          <w:tcPr>
            <w:tcW w:w="7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3491"/>
              </w:numPr>
              <w:spacing w:before="40" w:after="0" w:line="240"/>
              <w:ind w:right="0" w:left="482"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Vlada Tuzlanskog kantona</w:t>
            </w:r>
          </w:p>
          <w:p>
            <w:pPr>
              <w:numPr>
                <w:ilvl w:val="0"/>
                <w:numId w:val="3491"/>
              </w:numPr>
              <w:spacing w:before="0" w:after="40" w:line="240"/>
              <w:ind w:right="0" w:left="482" w:hanging="357"/>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Vlada Federacije Bosne i Hercegovine</w:t>
            </w:r>
          </w:p>
        </w:tc>
      </w:tr>
      <w:tr>
        <w:trPr>
          <w:trHeight w:val="227" w:hRule="auto"/>
          <w:jc w:val="left"/>
        </w:trPr>
        <w:tc>
          <w:tcPr>
            <w:tcW w:w="2122" w:type="dxa"/>
            <w:tcBorders>
              <w:top w:val="single" w:color="000000" w:sz="4"/>
              <w:left w:val="single" w:color="000000" w:sz="4"/>
              <w:bottom w:val="single" w:color="000000" w:sz="4"/>
              <w:right w:val="single" w:color="000000" w:sz="4"/>
            </w:tcBorders>
            <w:shd w:color="auto" w:fill="fbe4d5"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Period realizacije</w:t>
            </w:r>
          </w:p>
        </w:tc>
        <w:tc>
          <w:tcPr>
            <w:tcW w:w="7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72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2020-2028.</w:t>
            </w:r>
          </w:p>
        </w:tc>
      </w:tr>
      <w:tr>
        <w:trPr>
          <w:trHeight w:val="227" w:hRule="auto"/>
          <w:jc w:val="left"/>
        </w:trPr>
        <w:tc>
          <w:tcPr>
            <w:tcW w:w="2122" w:type="dxa"/>
            <w:tcBorders>
              <w:top w:val="single" w:color="000000" w:sz="4"/>
              <w:left w:val="single" w:color="000000" w:sz="4"/>
              <w:bottom w:val="single" w:color="000000" w:sz="4"/>
              <w:right w:val="single" w:color="000000" w:sz="4"/>
            </w:tcBorders>
            <w:shd w:color="auto" w:fill="fbe4d5"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Ukupna investicija</w:t>
            </w:r>
          </w:p>
        </w:tc>
        <w:tc>
          <w:tcPr>
            <w:tcW w:w="7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72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500.000 KM</w:t>
            </w:r>
          </w:p>
        </w:tc>
      </w:tr>
      <w:tr>
        <w:trPr>
          <w:trHeight w:val="227" w:hRule="auto"/>
          <w:jc w:val="left"/>
        </w:trPr>
        <w:tc>
          <w:tcPr>
            <w:tcW w:w="2122" w:type="dxa"/>
            <w:tcBorders>
              <w:top w:val="single" w:color="000000" w:sz="4"/>
              <w:left w:val="single" w:color="000000" w:sz="4"/>
              <w:bottom w:val="single" w:color="000000" w:sz="4"/>
              <w:right w:val="single" w:color="000000" w:sz="4"/>
            </w:tcBorders>
            <w:shd w:color="auto" w:fill="fbe4d5" w:val="clear"/>
            <w:tcMar>
              <w:left w:w="108" w:type="dxa"/>
              <w:right w:w="108" w:type="dxa"/>
            </w:tcMar>
            <w:vAlign w:val="top"/>
          </w:tcPr>
          <w:p>
            <w:pPr>
              <w:spacing w:before="40" w:after="40" w:line="240"/>
              <w:ind w:right="0" w:left="0" w:firstLine="0"/>
              <w:jc w:val="left"/>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Izvori financijskih sredstava</w:t>
            </w:r>
          </w:p>
        </w:tc>
        <w:tc>
          <w:tcPr>
            <w:tcW w:w="7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3501"/>
              </w:numPr>
              <w:spacing w:before="40" w:after="0" w:line="240"/>
              <w:ind w:right="0" w:left="482"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Budžet Op</w:t>
            </w:r>
            <w:r>
              <w:rPr>
                <w:rFonts w:ascii="Calibri" w:hAnsi="Calibri" w:cs="Calibri" w:eastAsia="Calibri"/>
                <w:color w:val="auto"/>
                <w:spacing w:val="0"/>
                <w:position w:val="0"/>
                <w:sz w:val="18"/>
                <w:shd w:fill="auto" w:val="clear"/>
              </w:rPr>
              <w:t xml:space="preserve">ćine Doboj Istok</w:t>
            </w:r>
          </w:p>
          <w:p>
            <w:pPr>
              <w:numPr>
                <w:ilvl w:val="0"/>
                <w:numId w:val="3501"/>
              </w:numPr>
              <w:spacing w:before="0" w:after="0" w:line="240"/>
              <w:ind w:right="0" w:left="482"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Budžet Tuzlanskog kantona</w:t>
            </w:r>
          </w:p>
          <w:p>
            <w:pPr>
              <w:numPr>
                <w:ilvl w:val="0"/>
                <w:numId w:val="3501"/>
              </w:numPr>
              <w:spacing w:before="0" w:after="0" w:line="240"/>
              <w:ind w:right="0" w:left="482"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Budžet Federacije BiH</w:t>
            </w:r>
          </w:p>
          <w:p>
            <w:pPr>
              <w:numPr>
                <w:ilvl w:val="0"/>
                <w:numId w:val="3501"/>
              </w:numPr>
              <w:spacing w:before="0" w:after="40" w:line="240"/>
              <w:ind w:right="0" w:left="482" w:hanging="357"/>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Me</w:t>
            </w:r>
            <w:r>
              <w:rPr>
                <w:rFonts w:ascii="Calibri" w:hAnsi="Calibri" w:cs="Calibri" w:eastAsia="Calibri"/>
                <w:color w:val="auto"/>
                <w:spacing w:val="0"/>
                <w:position w:val="0"/>
                <w:sz w:val="18"/>
                <w:shd w:fill="auto" w:val="clear"/>
              </w:rPr>
              <w:t xml:space="preserve">đunarodni finansijeri i donatori (EU, UNDP, USAID i dr.)</w:t>
            </w:r>
          </w:p>
        </w:tc>
      </w:tr>
      <w:tr>
        <w:trPr>
          <w:trHeight w:val="710" w:hRule="auto"/>
          <w:jc w:val="left"/>
        </w:trPr>
        <w:tc>
          <w:tcPr>
            <w:tcW w:w="2122" w:type="dxa"/>
            <w:tcBorders>
              <w:top w:val="single" w:color="000000" w:sz="4"/>
              <w:left w:val="single" w:color="000000" w:sz="4"/>
              <w:bottom w:val="single" w:color="000000" w:sz="4"/>
              <w:right w:val="single" w:color="000000" w:sz="4"/>
            </w:tcBorders>
            <w:shd w:color="auto" w:fill="fbe4d5"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Kratki opis mjere</w:t>
            </w:r>
          </w:p>
        </w:tc>
        <w:tc>
          <w:tcPr>
            <w:tcW w:w="7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Ukupna dužina vodotoka II kategorije na prostoru op</w:t>
            </w:r>
            <w:r>
              <w:rPr>
                <w:rFonts w:ascii="Calibri" w:hAnsi="Calibri" w:cs="Calibri" w:eastAsia="Calibri"/>
                <w:color w:val="auto"/>
                <w:spacing w:val="0"/>
                <w:position w:val="0"/>
                <w:sz w:val="18"/>
                <w:shd w:fill="auto" w:val="clear"/>
              </w:rPr>
              <w:t xml:space="preserve">ćine iznosi oko 33 km, od čega 10 km u zoni plavljenja, pa je time ugroženo  oko 3.000 stanovnika, 750 stambenih i drugih objekata i značajne poljoprivredne površine. Navedeni vodotoci su bujičnog karaktera, te u sezonama povećanih oborina postoji veliki priliv krutog materijala koji brzo zatrpava postojeća korita. Neuređenost lokalnih vodotokova u značajnoj mjeri doprinosi štetama nastalih uslijed poplava. Ova mjera uključuje određivanje prioriteta uređenja vodotokova, izradu neophodne projektno-tehničke dokumentacije, provođenje procedure javne nabavke i izbor izvođača radova, i izvođenja radova (uređenje, ukoritavanje ili ucjevljenje postojećih ili novih lokalnih vodotokova i izgradnju sabirnika i šahtova), te provođenje katastarsko knjižnih aktivnosti na uknjižavanju. ukoritavanjem vodotoka trapeznog oblika dimenzija 2,20 m dužina poda korita i 2,5 m visina betonske utvrde riješio dugoročan problem te zaštitili ljudi i materijalna dobra.</w:t>
            </w:r>
          </w:p>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Realizacijom mjere štete od poplava </w:t>
            </w:r>
            <w:r>
              <w:rPr>
                <w:rFonts w:ascii="Calibri" w:hAnsi="Calibri" w:cs="Calibri" w:eastAsia="Calibri"/>
                <w:color w:val="auto"/>
                <w:spacing w:val="0"/>
                <w:position w:val="0"/>
                <w:sz w:val="18"/>
                <w:shd w:fill="auto" w:val="clear"/>
              </w:rPr>
              <w:t xml:space="preserve">će se znatno smanjiti, preventivno bi se spriječila pojava klizišta a okolna obradiva zemljišta bi se stavila u funkciju poljoprivredne proizvodnje. Očekivani rezultat ove mjere je smanjenje poplavljenih površina na području općine Doboj Istok za 20%. Realizacija ove mjere će doprinijeti i postizanju šire postavljenih ciljeva smanjenja vrijednosti materijalnih šteta od elementarnih i drugih većih nepogoda za 30%, smanjenja broja nesreća koje ugrožavaju život i zdravlje ljudi te dovode do velikih materijalnih šteta usljed elementarnih i drugih većih nepogoda za 50%, te smanjenja zagađenost zemljišta uzrokovanog poplavama i drugim uzrocima zagađenja za 10%, u odnosu na zabilježeno stanje u 2015. godini.</w:t>
            </w:r>
          </w:p>
        </w:tc>
      </w:tr>
    </w:tbl>
    <w:p>
      <w:pPr>
        <w:spacing w:before="120" w:after="120" w:line="240"/>
        <w:ind w:right="0" w:left="0" w:firstLine="0"/>
        <w:jc w:val="both"/>
        <w:rPr>
          <w:rFonts w:ascii="Calibri" w:hAnsi="Calibri" w:cs="Calibri" w:eastAsia="Calibri"/>
          <w:color w:val="auto"/>
          <w:spacing w:val="0"/>
          <w:position w:val="0"/>
          <w:sz w:val="22"/>
          <w:shd w:fill="auto" w:val="clear"/>
        </w:rPr>
      </w:pPr>
    </w:p>
    <w:tbl>
      <w:tblPr/>
      <w:tblGrid>
        <w:gridCol w:w="2122"/>
        <w:gridCol w:w="7484"/>
      </w:tblGrid>
      <w:tr>
        <w:trPr>
          <w:trHeight w:val="350" w:hRule="auto"/>
          <w:jc w:val="left"/>
        </w:trPr>
        <w:tc>
          <w:tcPr>
            <w:tcW w:w="2122" w:type="dxa"/>
            <w:tcBorders>
              <w:top w:val="single" w:color="000000" w:sz="4"/>
              <w:left w:val="single" w:color="000000" w:sz="4"/>
              <w:bottom w:val="single" w:color="000000" w:sz="4"/>
              <w:right w:val="single" w:color="000000" w:sz="4"/>
            </w:tcBorders>
            <w:shd w:color="auto" w:fill="d5dce4"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Redni broj mjere</w:t>
            </w:r>
          </w:p>
        </w:tc>
        <w:tc>
          <w:tcPr>
            <w:tcW w:w="7484" w:type="dxa"/>
            <w:tcBorders>
              <w:top w:val="single" w:color="000000" w:sz="4"/>
              <w:left w:val="single" w:color="000000" w:sz="4"/>
              <w:bottom w:val="single" w:color="000000" w:sz="4"/>
              <w:right w:val="single" w:color="000000" w:sz="4"/>
            </w:tcBorders>
            <w:shd w:color="auto" w:fill="d5dce4" w:val="clear"/>
            <w:tcMar>
              <w:left w:w="108" w:type="dxa"/>
              <w:right w:w="108" w:type="dxa"/>
            </w:tcMar>
            <w:vAlign w:val="top"/>
          </w:tcPr>
          <w:p>
            <w:pPr>
              <w:spacing w:before="40" w:after="40" w:line="240"/>
              <w:ind w:right="0" w:left="0" w:firstLine="0"/>
              <w:jc w:val="center"/>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3</w:t>
            </w:r>
          </w:p>
        </w:tc>
      </w:tr>
      <w:tr>
        <w:trPr>
          <w:trHeight w:val="70" w:hRule="auto"/>
          <w:jc w:val="left"/>
        </w:trPr>
        <w:tc>
          <w:tcPr>
            <w:tcW w:w="2122" w:type="dxa"/>
            <w:tcBorders>
              <w:top w:val="single" w:color="000000" w:sz="4"/>
              <w:left w:val="single" w:color="000000" w:sz="4"/>
              <w:bottom w:val="single" w:color="000000" w:sz="4"/>
              <w:right w:val="single" w:color="000000" w:sz="4"/>
            </w:tcBorders>
            <w:shd w:color="auto" w:fill="d5dce4"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Naziv mjere</w:t>
            </w:r>
          </w:p>
        </w:tc>
        <w:tc>
          <w:tcPr>
            <w:tcW w:w="7484" w:type="dxa"/>
            <w:tcBorders>
              <w:top w:val="single" w:color="000000" w:sz="4"/>
              <w:left w:val="single" w:color="000000" w:sz="4"/>
              <w:bottom w:val="single" w:color="000000" w:sz="4"/>
              <w:right w:val="single" w:color="000000" w:sz="4"/>
            </w:tcBorders>
            <w:shd w:color="auto" w:fill="d5dce4" w:val="clear"/>
            <w:tcMar>
              <w:left w:w="108" w:type="dxa"/>
              <w:right w:w="108" w:type="dxa"/>
            </w:tcMar>
            <w:vAlign w:val="top"/>
          </w:tcPr>
          <w:p>
            <w:pPr>
              <w:spacing w:before="40" w:after="40" w:line="240"/>
              <w:ind w:right="0" w:left="0" w:firstLine="0"/>
              <w:jc w:val="center"/>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Čišćenje vodotoka na području općine Doboj Istok</w:t>
            </w:r>
          </w:p>
        </w:tc>
      </w:tr>
      <w:tr>
        <w:trPr>
          <w:trHeight w:val="227" w:hRule="auto"/>
          <w:jc w:val="left"/>
        </w:trPr>
        <w:tc>
          <w:tcPr>
            <w:tcW w:w="2122" w:type="dxa"/>
            <w:tcBorders>
              <w:top w:val="single" w:color="000000" w:sz="4"/>
              <w:left w:val="single" w:color="000000" w:sz="4"/>
              <w:bottom w:val="single" w:color="000000" w:sz="4"/>
              <w:right w:val="single" w:color="000000" w:sz="4"/>
            </w:tcBorders>
            <w:shd w:color="auto" w:fill="fbe4d5"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Nosilac realizacije mjere</w:t>
            </w:r>
          </w:p>
        </w:tc>
        <w:tc>
          <w:tcPr>
            <w:tcW w:w="7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125"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Op</w:t>
            </w:r>
            <w:r>
              <w:rPr>
                <w:rFonts w:ascii="Calibri" w:hAnsi="Calibri" w:cs="Calibri" w:eastAsia="Calibri"/>
                <w:color w:val="auto"/>
                <w:spacing w:val="0"/>
                <w:position w:val="0"/>
                <w:sz w:val="18"/>
                <w:shd w:fill="auto" w:val="clear"/>
              </w:rPr>
              <w:t xml:space="preserve">ćina Doboj Istok</w:t>
            </w:r>
          </w:p>
        </w:tc>
      </w:tr>
      <w:tr>
        <w:trPr>
          <w:trHeight w:val="227" w:hRule="auto"/>
          <w:jc w:val="left"/>
        </w:trPr>
        <w:tc>
          <w:tcPr>
            <w:tcW w:w="2122" w:type="dxa"/>
            <w:tcBorders>
              <w:top w:val="single" w:color="000000" w:sz="4"/>
              <w:left w:val="single" w:color="000000" w:sz="4"/>
              <w:bottom w:val="single" w:color="000000" w:sz="4"/>
              <w:right w:val="single" w:color="000000" w:sz="4"/>
            </w:tcBorders>
            <w:shd w:color="auto" w:fill="fbe4d5"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Partneri u realizaciji</w:t>
            </w:r>
          </w:p>
        </w:tc>
        <w:tc>
          <w:tcPr>
            <w:tcW w:w="7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3522"/>
              </w:numPr>
              <w:spacing w:before="40" w:after="40" w:line="240"/>
              <w:ind w:right="0" w:left="482" w:hanging="357"/>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Mjesne zajednice i gra</w:t>
            </w:r>
            <w:r>
              <w:rPr>
                <w:rFonts w:ascii="Calibri" w:hAnsi="Calibri" w:cs="Calibri" w:eastAsia="Calibri"/>
                <w:color w:val="auto"/>
                <w:spacing w:val="0"/>
                <w:position w:val="0"/>
                <w:sz w:val="18"/>
                <w:shd w:fill="auto" w:val="clear"/>
              </w:rPr>
              <w:t xml:space="preserve">đani</w:t>
            </w:r>
          </w:p>
        </w:tc>
      </w:tr>
      <w:tr>
        <w:trPr>
          <w:trHeight w:val="227" w:hRule="auto"/>
          <w:jc w:val="left"/>
        </w:trPr>
        <w:tc>
          <w:tcPr>
            <w:tcW w:w="2122" w:type="dxa"/>
            <w:tcBorders>
              <w:top w:val="single" w:color="000000" w:sz="4"/>
              <w:left w:val="single" w:color="000000" w:sz="4"/>
              <w:bottom w:val="single" w:color="000000" w:sz="4"/>
              <w:right w:val="single" w:color="000000" w:sz="4"/>
            </w:tcBorders>
            <w:shd w:color="auto" w:fill="fbe4d5"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Period realizacije</w:t>
            </w:r>
          </w:p>
        </w:tc>
        <w:tc>
          <w:tcPr>
            <w:tcW w:w="7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40" w:after="40" w:line="240"/>
              <w:ind w:right="0" w:left="72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2020-2029.</w:t>
            </w:r>
          </w:p>
        </w:tc>
      </w:tr>
      <w:tr>
        <w:trPr>
          <w:trHeight w:val="227" w:hRule="auto"/>
          <w:jc w:val="left"/>
        </w:trPr>
        <w:tc>
          <w:tcPr>
            <w:tcW w:w="2122" w:type="dxa"/>
            <w:tcBorders>
              <w:top w:val="single" w:color="000000" w:sz="4"/>
              <w:left w:val="single" w:color="000000" w:sz="4"/>
              <w:bottom w:val="single" w:color="000000" w:sz="4"/>
              <w:right w:val="single" w:color="000000" w:sz="4"/>
            </w:tcBorders>
            <w:shd w:color="auto" w:fill="fbe4d5"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Ukupna investicija</w:t>
            </w:r>
          </w:p>
        </w:tc>
        <w:tc>
          <w:tcPr>
            <w:tcW w:w="7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72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150.000 KM</w:t>
            </w:r>
          </w:p>
        </w:tc>
      </w:tr>
      <w:tr>
        <w:trPr>
          <w:trHeight w:val="227" w:hRule="auto"/>
          <w:jc w:val="left"/>
        </w:trPr>
        <w:tc>
          <w:tcPr>
            <w:tcW w:w="2122" w:type="dxa"/>
            <w:tcBorders>
              <w:top w:val="single" w:color="000000" w:sz="4"/>
              <w:left w:val="single" w:color="000000" w:sz="4"/>
              <w:bottom w:val="single" w:color="000000" w:sz="4"/>
              <w:right w:val="single" w:color="000000" w:sz="4"/>
            </w:tcBorders>
            <w:shd w:color="auto" w:fill="fbe4d5" w:val="clear"/>
            <w:tcMar>
              <w:left w:w="108" w:type="dxa"/>
              <w:right w:w="108" w:type="dxa"/>
            </w:tcMar>
            <w:vAlign w:val="top"/>
          </w:tcPr>
          <w:p>
            <w:pPr>
              <w:spacing w:before="40" w:after="40" w:line="240"/>
              <w:ind w:right="0" w:left="0" w:firstLine="0"/>
              <w:jc w:val="left"/>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Izvori financijskih sredstava</w:t>
            </w:r>
          </w:p>
        </w:tc>
        <w:tc>
          <w:tcPr>
            <w:tcW w:w="7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3533"/>
              </w:numPr>
              <w:spacing w:before="40" w:after="0" w:line="240"/>
              <w:ind w:right="0" w:left="482"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Budžet Op</w:t>
            </w:r>
            <w:r>
              <w:rPr>
                <w:rFonts w:ascii="Calibri" w:hAnsi="Calibri" w:cs="Calibri" w:eastAsia="Calibri"/>
                <w:color w:val="auto"/>
                <w:spacing w:val="0"/>
                <w:position w:val="0"/>
                <w:sz w:val="18"/>
                <w:shd w:fill="auto" w:val="clear"/>
              </w:rPr>
              <w:t xml:space="preserve">ćine Doboj Istok</w:t>
            </w:r>
          </w:p>
          <w:p>
            <w:pPr>
              <w:numPr>
                <w:ilvl w:val="0"/>
                <w:numId w:val="3533"/>
              </w:numPr>
              <w:spacing w:before="0" w:after="0" w:line="240"/>
              <w:ind w:right="0" w:left="482"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Budžet Tuzlanskog kantona</w:t>
            </w:r>
          </w:p>
          <w:p>
            <w:pPr>
              <w:numPr>
                <w:ilvl w:val="0"/>
                <w:numId w:val="3533"/>
              </w:numPr>
              <w:spacing w:before="0" w:after="0" w:line="240"/>
              <w:ind w:right="0" w:left="482"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Budžet Federacije BiH</w:t>
            </w:r>
          </w:p>
          <w:p>
            <w:pPr>
              <w:numPr>
                <w:ilvl w:val="0"/>
                <w:numId w:val="3533"/>
              </w:numPr>
              <w:spacing w:before="0" w:after="40" w:line="240"/>
              <w:ind w:right="0" w:left="482" w:hanging="357"/>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Me</w:t>
            </w:r>
            <w:r>
              <w:rPr>
                <w:rFonts w:ascii="Calibri" w:hAnsi="Calibri" w:cs="Calibri" w:eastAsia="Calibri"/>
                <w:color w:val="auto"/>
                <w:spacing w:val="0"/>
                <w:position w:val="0"/>
                <w:sz w:val="18"/>
                <w:shd w:fill="auto" w:val="clear"/>
              </w:rPr>
              <w:t xml:space="preserve">đunarodni finansijeri i donatori (EU, UNDP, USAID i dr.)</w:t>
            </w:r>
          </w:p>
        </w:tc>
      </w:tr>
      <w:tr>
        <w:trPr>
          <w:trHeight w:val="274" w:hRule="auto"/>
          <w:jc w:val="left"/>
        </w:trPr>
        <w:tc>
          <w:tcPr>
            <w:tcW w:w="2122" w:type="dxa"/>
            <w:tcBorders>
              <w:top w:val="single" w:color="000000" w:sz="4"/>
              <w:left w:val="single" w:color="000000" w:sz="4"/>
              <w:bottom w:val="single" w:color="000000" w:sz="4"/>
              <w:right w:val="single" w:color="000000" w:sz="4"/>
            </w:tcBorders>
            <w:shd w:color="auto" w:fill="fbe4d5"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Kratki opis mjere</w:t>
            </w:r>
          </w:p>
        </w:tc>
        <w:tc>
          <w:tcPr>
            <w:tcW w:w="7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Na podru</w:t>
            </w:r>
            <w:r>
              <w:rPr>
                <w:rFonts w:ascii="Calibri" w:hAnsi="Calibri" w:cs="Calibri" w:eastAsia="Calibri"/>
                <w:color w:val="auto"/>
                <w:spacing w:val="0"/>
                <w:position w:val="0"/>
                <w:sz w:val="18"/>
                <w:shd w:fill="auto" w:val="clear"/>
              </w:rPr>
              <w:t xml:space="preserve">čju općine Doboj Istok postoji veći broj rijeka i potoka čija korita nisu regulirana. Pored toga građani često u njih odlažu razni otpad koji se kod velikih vodostaja pomjera i na uskim grlima zaglavljuje, zbog čega kasnije dolazi do izlivanja iz korita i plavljenja okolnog zemljišta, pa i naselja. Također, zbog konfiguracije terena kod velikih padavina se pojavljuju takozvani bušnjaci, koji sa brda i iz šuma u veće vodotokove donose razni materijal i naplavine (granje drveća, kamenje, zemlju i slično). Zbog toga se javlja stalna potreba za čišćenjem ovih vodotoka od takvih vrsta nanosa, kako bi se obezbijedila nesmetana protočnost korita za buduće velike vodostaje. </w:t>
            </w:r>
          </w:p>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Ova mjera uklju</w:t>
            </w:r>
            <w:r>
              <w:rPr>
                <w:rFonts w:ascii="Calibri" w:hAnsi="Calibri" w:cs="Calibri" w:eastAsia="Calibri"/>
                <w:color w:val="auto"/>
                <w:spacing w:val="0"/>
                <w:position w:val="0"/>
                <w:sz w:val="18"/>
                <w:shd w:fill="auto" w:val="clear"/>
              </w:rPr>
              <w:t xml:space="preserve">čuje donošenje odluke o vodotocima koji će se čistiti, provođenje procedure javne nabavke i izbor izvođača radova, mašinsko i ručno čišćenje korita i uklanjanje naplavina, te odvoz naplavina (granja, grmlja i slično) na deponiju te odlaganje šljunka i kamena na obale u svrhu formiranja brane kao zaštite od izlivanja. Očekivani rezultat provođenja mjere je smanjen broj izlivanja vodotokova iz korita za 20%. Realizacija ove mjere će doprinijeti i postizanju šire postavljenih ciljeva smanjenja vrijednosti materijalnih šteta od elementarnih i drugih većih nepogoda za 30%, smanjenja broja nesreća koje ugrožavaju život i zdravlje ljudi te dovode do velikih materijalnih šteta usljed elementarnih i drugih većih nepogoda za 50%, te smanjenja zagađenost zemljišta uzrokovanog poplavama i drugim uzrocima zagađenja za 10%, u odnosu na zabilježeno stanje u 2015. godini.</w:t>
            </w:r>
          </w:p>
        </w:tc>
      </w:tr>
    </w:tbl>
    <w:p>
      <w:pPr>
        <w:keepNext w:val="true"/>
        <w:keepLines w:val="true"/>
        <w:numPr>
          <w:ilvl w:val="0"/>
          <w:numId w:val="3540"/>
        </w:numPr>
        <w:spacing w:before="240" w:after="120" w:line="240"/>
        <w:ind w:right="0" w:left="720" w:hanging="72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Mjere za prilago</w:t>
      </w:r>
      <w:r>
        <w:rPr>
          <w:rFonts w:ascii="Calibri" w:hAnsi="Calibri" w:cs="Calibri" w:eastAsia="Calibri"/>
          <w:b/>
          <w:color w:val="auto"/>
          <w:spacing w:val="0"/>
          <w:position w:val="0"/>
          <w:sz w:val="24"/>
          <w:shd w:fill="auto" w:val="clear"/>
        </w:rPr>
        <w:t xml:space="preserve">đavanje na opasnosti od klizišta</w:t>
      </w:r>
    </w:p>
    <w:tbl>
      <w:tblPr/>
      <w:tblGrid>
        <w:gridCol w:w="2122"/>
        <w:gridCol w:w="7484"/>
      </w:tblGrid>
      <w:tr>
        <w:trPr>
          <w:trHeight w:val="227" w:hRule="auto"/>
          <w:jc w:val="left"/>
        </w:trPr>
        <w:tc>
          <w:tcPr>
            <w:tcW w:w="2122" w:type="dxa"/>
            <w:tcBorders>
              <w:top w:val="single" w:color="000000" w:sz="4"/>
              <w:left w:val="single" w:color="000000" w:sz="4"/>
              <w:bottom w:val="single" w:color="000000" w:sz="4"/>
              <w:right w:val="single" w:color="000000" w:sz="4"/>
            </w:tcBorders>
            <w:shd w:color="auto" w:fill="d5dce4"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Redni broj mjere</w:t>
            </w:r>
          </w:p>
        </w:tc>
        <w:tc>
          <w:tcPr>
            <w:tcW w:w="7484" w:type="dxa"/>
            <w:tcBorders>
              <w:top w:val="single" w:color="000000" w:sz="4"/>
              <w:left w:val="single" w:color="000000" w:sz="4"/>
              <w:bottom w:val="single" w:color="000000" w:sz="4"/>
              <w:right w:val="single" w:color="000000" w:sz="4"/>
            </w:tcBorders>
            <w:shd w:color="auto" w:fill="d5dce4" w:val="clear"/>
            <w:tcMar>
              <w:left w:w="108" w:type="dxa"/>
              <w:right w:w="108" w:type="dxa"/>
            </w:tcMar>
            <w:vAlign w:val="top"/>
          </w:tcPr>
          <w:p>
            <w:pPr>
              <w:spacing w:before="40" w:after="40" w:line="240"/>
              <w:ind w:right="0" w:left="0" w:firstLine="0"/>
              <w:jc w:val="center"/>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4</w:t>
            </w:r>
          </w:p>
        </w:tc>
      </w:tr>
      <w:tr>
        <w:trPr>
          <w:trHeight w:val="241" w:hRule="auto"/>
          <w:jc w:val="left"/>
        </w:trPr>
        <w:tc>
          <w:tcPr>
            <w:tcW w:w="2122" w:type="dxa"/>
            <w:tcBorders>
              <w:top w:val="single" w:color="000000" w:sz="4"/>
              <w:left w:val="single" w:color="000000" w:sz="4"/>
              <w:bottom w:val="single" w:color="000000" w:sz="4"/>
              <w:right w:val="single" w:color="000000" w:sz="4"/>
            </w:tcBorders>
            <w:shd w:color="auto" w:fill="d5dce4"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Naziv mjere</w:t>
            </w:r>
          </w:p>
        </w:tc>
        <w:tc>
          <w:tcPr>
            <w:tcW w:w="7484" w:type="dxa"/>
            <w:tcBorders>
              <w:top w:val="single" w:color="000000" w:sz="4"/>
              <w:left w:val="single" w:color="000000" w:sz="4"/>
              <w:bottom w:val="single" w:color="000000" w:sz="4"/>
              <w:right w:val="single" w:color="000000" w:sz="4"/>
            </w:tcBorders>
            <w:shd w:color="auto" w:fill="d5dce4" w:val="clear"/>
            <w:tcMar>
              <w:left w:w="108" w:type="dxa"/>
              <w:right w:w="108" w:type="dxa"/>
            </w:tcMar>
            <w:vAlign w:val="top"/>
          </w:tcPr>
          <w:p>
            <w:pPr>
              <w:spacing w:before="40" w:after="40" w:line="240"/>
              <w:ind w:right="0" w:left="0" w:firstLine="0"/>
              <w:jc w:val="center"/>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Izrada katastra klizišta na podru</w:t>
            </w:r>
            <w:r>
              <w:rPr>
                <w:rFonts w:ascii="Calibri" w:hAnsi="Calibri" w:cs="Calibri" w:eastAsia="Calibri"/>
                <w:b/>
                <w:color w:val="auto"/>
                <w:spacing w:val="0"/>
                <w:position w:val="0"/>
                <w:sz w:val="18"/>
                <w:shd w:fill="auto" w:val="clear"/>
              </w:rPr>
              <w:t xml:space="preserve">čju općine Doboj Istok</w:t>
            </w:r>
          </w:p>
        </w:tc>
      </w:tr>
      <w:tr>
        <w:trPr>
          <w:trHeight w:val="227" w:hRule="auto"/>
          <w:jc w:val="left"/>
        </w:trPr>
        <w:tc>
          <w:tcPr>
            <w:tcW w:w="2122" w:type="dxa"/>
            <w:tcBorders>
              <w:top w:val="single" w:color="000000" w:sz="4"/>
              <w:left w:val="single" w:color="000000" w:sz="4"/>
              <w:bottom w:val="single" w:color="000000" w:sz="4"/>
              <w:right w:val="single" w:color="000000" w:sz="4"/>
            </w:tcBorders>
            <w:shd w:color="auto" w:fill="fbe4d5"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Nosilac realizacije mjere</w:t>
            </w:r>
          </w:p>
        </w:tc>
        <w:tc>
          <w:tcPr>
            <w:tcW w:w="7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125"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Op</w:t>
            </w:r>
            <w:r>
              <w:rPr>
                <w:rFonts w:ascii="Calibri" w:hAnsi="Calibri" w:cs="Calibri" w:eastAsia="Calibri"/>
                <w:color w:val="auto"/>
                <w:spacing w:val="0"/>
                <w:position w:val="0"/>
                <w:sz w:val="18"/>
                <w:shd w:fill="auto" w:val="clear"/>
              </w:rPr>
              <w:t xml:space="preserve">ćina Doboj Istok</w:t>
            </w:r>
          </w:p>
        </w:tc>
      </w:tr>
      <w:tr>
        <w:trPr>
          <w:trHeight w:val="227" w:hRule="auto"/>
          <w:jc w:val="left"/>
        </w:trPr>
        <w:tc>
          <w:tcPr>
            <w:tcW w:w="2122" w:type="dxa"/>
            <w:tcBorders>
              <w:top w:val="single" w:color="000000" w:sz="4"/>
              <w:left w:val="single" w:color="000000" w:sz="4"/>
              <w:bottom w:val="single" w:color="000000" w:sz="4"/>
              <w:right w:val="single" w:color="000000" w:sz="4"/>
            </w:tcBorders>
            <w:shd w:color="auto" w:fill="fbe4d5"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Partneri u realizaciji</w:t>
            </w:r>
          </w:p>
        </w:tc>
        <w:tc>
          <w:tcPr>
            <w:tcW w:w="7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3554"/>
              </w:numPr>
              <w:spacing w:before="40" w:after="0" w:line="240"/>
              <w:ind w:right="0" w:left="482" w:hanging="357"/>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Kantonalna uprava civilne zaštite</w:t>
            </w:r>
          </w:p>
          <w:p>
            <w:pPr>
              <w:numPr>
                <w:ilvl w:val="0"/>
                <w:numId w:val="3554"/>
              </w:numPr>
              <w:spacing w:before="0" w:after="0" w:line="240"/>
              <w:ind w:right="0" w:left="482" w:hanging="357"/>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Federalna uprava civilne zaštite</w:t>
            </w:r>
          </w:p>
          <w:p>
            <w:pPr>
              <w:numPr>
                <w:ilvl w:val="0"/>
                <w:numId w:val="3554"/>
              </w:numPr>
              <w:spacing w:before="0" w:after="40" w:line="240"/>
              <w:ind w:right="0" w:left="482" w:hanging="357"/>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Rudarsko-geološko-gra</w:t>
            </w:r>
            <w:r>
              <w:rPr>
                <w:rFonts w:ascii="Calibri" w:hAnsi="Calibri" w:cs="Calibri" w:eastAsia="Calibri"/>
                <w:color w:val="auto"/>
                <w:spacing w:val="0"/>
                <w:position w:val="0"/>
                <w:sz w:val="18"/>
                <w:shd w:fill="auto" w:val="clear"/>
              </w:rPr>
              <w:t xml:space="preserve">đevinski fakultet Univerziteta u Tuzli</w:t>
            </w:r>
          </w:p>
        </w:tc>
      </w:tr>
      <w:tr>
        <w:trPr>
          <w:trHeight w:val="227" w:hRule="auto"/>
          <w:jc w:val="left"/>
        </w:trPr>
        <w:tc>
          <w:tcPr>
            <w:tcW w:w="2122" w:type="dxa"/>
            <w:tcBorders>
              <w:top w:val="single" w:color="000000" w:sz="4"/>
              <w:left w:val="single" w:color="000000" w:sz="4"/>
              <w:bottom w:val="single" w:color="000000" w:sz="4"/>
              <w:right w:val="single" w:color="000000" w:sz="4"/>
            </w:tcBorders>
            <w:shd w:color="auto" w:fill="fbe4d5"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Period realizacije</w:t>
            </w:r>
          </w:p>
        </w:tc>
        <w:tc>
          <w:tcPr>
            <w:tcW w:w="7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72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2020-2022.</w:t>
            </w:r>
          </w:p>
        </w:tc>
      </w:tr>
      <w:tr>
        <w:trPr>
          <w:trHeight w:val="274" w:hRule="auto"/>
          <w:jc w:val="left"/>
        </w:trPr>
        <w:tc>
          <w:tcPr>
            <w:tcW w:w="2122" w:type="dxa"/>
            <w:tcBorders>
              <w:top w:val="single" w:color="000000" w:sz="4"/>
              <w:left w:val="single" w:color="000000" w:sz="4"/>
              <w:bottom w:val="single" w:color="000000" w:sz="4"/>
              <w:right w:val="single" w:color="000000" w:sz="4"/>
            </w:tcBorders>
            <w:shd w:color="auto" w:fill="fbe4d5"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Ukupna investicija</w:t>
            </w:r>
          </w:p>
        </w:tc>
        <w:tc>
          <w:tcPr>
            <w:tcW w:w="7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72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20.000 KM</w:t>
            </w:r>
          </w:p>
        </w:tc>
      </w:tr>
      <w:tr>
        <w:trPr>
          <w:trHeight w:val="227" w:hRule="auto"/>
          <w:jc w:val="left"/>
        </w:trPr>
        <w:tc>
          <w:tcPr>
            <w:tcW w:w="2122" w:type="dxa"/>
            <w:tcBorders>
              <w:top w:val="single" w:color="000000" w:sz="4"/>
              <w:left w:val="single" w:color="000000" w:sz="4"/>
              <w:bottom w:val="single" w:color="000000" w:sz="4"/>
              <w:right w:val="single" w:color="000000" w:sz="4"/>
            </w:tcBorders>
            <w:shd w:color="auto" w:fill="fbe4d5" w:val="clear"/>
            <w:tcMar>
              <w:left w:w="108" w:type="dxa"/>
              <w:right w:w="108" w:type="dxa"/>
            </w:tcMar>
            <w:vAlign w:val="top"/>
          </w:tcPr>
          <w:p>
            <w:pPr>
              <w:spacing w:before="40" w:after="40" w:line="240"/>
              <w:ind w:right="0" w:left="0" w:firstLine="0"/>
              <w:jc w:val="left"/>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Izvori financijskih sredstava</w:t>
            </w:r>
          </w:p>
        </w:tc>
        <w:tc>
          <w:tcPr>
            <w:tcW w:w="7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3567"/>
              </w:numPr>
              <w:spacing w:before="40" w:after="0" w:line="240"/>
              <w:ind w:right="0" w:left="482" w:hanging="357"/>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Budžet Op</w:t>
            </w:r>
            <w:r>
              <w:rPr>
                <w:rFonts w:ascii="Calibri" w:hAnsi="Calibri" w:cs="Calibri" w:eastAsia="Calibri"/>
                <w:color w:val="auto"/>
                <w:spacing w:val="0"/>
                <w:position w:val="0"/>
                <w:sz w:val="18"/>
                <w:shd w:fill="auto" w:val="clear"/>
              </w:rPr>
              <w:t xml:space="preserve">ćine Doboj Istok</w:t>
            </w:r>
          </w:p>
          <w:p>
            <w:pPr>
              <w:numPr>
                <w:ilvl w:val="0"/>
                <w:numId w:val="3567"/>
              </w:numPr>
              <w:spacing w:before="0" w:after="0" w:line="240"/>
              <w:ind w:right="0" w:left="482" w:hanging="357"/>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Budžet Tuzlanskog kantona</w:t>
            </w:r>
          </w:p>
          <w:p>
            <w:pPr>
              <w:numPr>
                <w:ilvl w:val="0"/>
                <w:numId w:val="3567"/>
              </w:numPr>
              <w:spacing w:before="0" w:after="0" w:line="240"/>
              <w:ind w:right="0" w:left="482" w:hanging="357"/>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Budžet Federacije Bosne i Hercegovine</w:t>
            </w:r>
          </w:p>
          <w:p>
            <w:pPr>
              <w:numPr>
                <w:ilvl w:val="0"/>
                <w:numId w:val="3567"/>
              </w:numPr>
              <w:spacing w:before="0" w:after="40" w:line="240"/>
              <w:ind w:right="0" w:left="482" w:hanging="357"/>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Me</w:t>
            </w:r>
            <w:r>
              <w:rPr>
                <w:rFonts w:ascii="Calibri" w:hAnsi="Calibri" w:cs="Calibri" w:eastAsia="Calibri"/>
                <w:color w:val="auto"/>
                <w:spacing w:val="0"/>
                <w:position w:val="0"/>
                <w:sz w:val="18"/>
                <w:shd w:fill="auto" w:val="clear"/>
              </w:rPr>
              <w:t xml:space="preserve">đunarodni finansijeri i donatori (EU, UNDP, USAID i dr.)</w:t>
            </w:r>
          </w:p>
        </w:tc>
      </w:tr>
      <w:tr>
        <w:trPr>
          <w:trHeight w:val="274" w:hRule="auto"/>
          <w:jc w:val="left"/>
        </w:trPr>
        <w:tc>
          <w:tcPr>
            <w:tcW w:w="2122" w:type="dxa"/>
            <w:tcBorders>
              <w:top w:val="single" w:color="000000" w:sz="4"/>
              <w:left w:val="single" w:color="000000" w:sz="4"/>
              <w:bottom w:val="single" w:color="000000" w:sz="4"/>
              <w:right w:val="single" w:color="000000" w:sz="4"/>
            </w:tcBorders>
            <w:shd w:color="auto" w:fill="fbe4d5"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Kratki opis mjere</w:t>
            </w:r>
          </w:p>
        </w:tc>
        <w:tc>
          <w:tcPr>
            <w:tcW w:w="7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sz w:val="18"/>
                <w:shd w:fill="FFFFFF" w:val="clear"/>
              </w:rPr>
            </w:pPr>
            <w:r>
              <w:rPr>
                <w:rFonts w:ascii="Calibri" w:hAnsi="Calibri" w:cs="Calibri" w:eastAsia="Calibri"/>
                <w:color w:val="auto"/>
                <w:spacing w:val="0"/>
                <w:position w:val="0"/>
                <w:sz w:val="18"/>
                <w:shd w:fill="FFFFFF" w:val="clear"/>
              </w:rPr>
              <w:t xml:space="preserve">Štete kojima su gra</w:t>
            </w:r>
            <w:r>
              <w:rPr>
                <w:rFonts w:ascii="Calibri" w:hAnsi="Calibri" w:cs="Calibri" w:eastAsia="Calibri"/>
                <w:color w:val="auto"/>
                <w:spacing w:val="0"/>
                <w:position w:val="0"/>
                <w:sz w:val="18"/>
                <w:shd w:fill="FFFFFF" w:val="clear"/>
              </w:rPr>
              <w:t xml:space="preserve">đani i društvena zajednica na području općine Doboj Istok izloženi usljed djelovanja erozionih procesa uvelike premašuju mogućnosti sanacije. Preko 200 evidentiranih klizišta i odrona, odnosno 10% prostora u zoni građenja koji je prema općinskom prostornom planu uzurpiran djelovanjem klizišta i odrona, dovoljan su pokazatelj ozbiljnosti samog problema. Vidne su štete na stambenim i drugim objektima, putnim komunikacijama, vodovodnim sistemima, elektro-mreži, poljoprivrednom zemljištu i slično. Saniranje klizišta u početnoj fazi je neuporedivo jeftiniji proces od sanacije kasnijih posljedica. Pravovremena sanacija klizišta, uključujući izradu kvalitetne projektne dokumentacije zahtijev kvalitetne podatke o  uzurpiranom prostoru. </w:t>
            </w:r>
          </w:p>
          <w:p>
            <w:pPr>
              <w:spacing w:before="40" w:after="40" w:line="240"/>
              <w:ind w:right="0" w:left="0" w:firstLine="0"/>
              <w:jc w:val="both"/>
              <w:rPr>
                <w:rFonts w:ascii="Calibri" w:hAnsi="Calibri" w:cs="Calibri" w:eastAsia="Calibri"/>
                <w:color w:val="auto"/>
                <w:spacing w:val="0"/>
                <w:position w:val="0"/>
                <w:sz w:val="18"/>
                <w:shd w:fill="FFFFFF" w:val="clear"/>
              </w:rPr>
            </w:pPr>
            <w:r>
              <w:rPr>
                <w:rFonts w:ascii="Calibri" w:hAnsi="Calibri" w:cs="Calibri" w:eastAsia="Calibri"/>
                <w:color w:val="auto"/>
                <w:spacing w:val="0"/>
                <w:position w:val="0"/>
                <w:sz w:val="18"/>
                <w:shd w:fill="FFFFFF" w:val="clear"/>
              </w:rPr>
              <w:t xml:space="preserve">Ciljevi uspostave </w:t>
            </w:r>
            <w:r>
              <w:rPr>
                <w:rFonts w:ascii="Calibri" w:hAnsi="Calibri" w:cs="Calibri" w:eastAsia="Calibri"/>
                <w:i/>
                <w:color w:val="auto"/>
                <w:spacing w:val="0"/>
                <w:position w:val="0"/>
                <w:sz w:val="18"/>
                <w:shd w:fill="FFFFFF" w:val="clear"/>
              </w:rPr>
              <w:t xml:space="preserve">Katastra klizišta i labilnih padina </w:t>
            </w:r>
            <w:r>
              <w:rPr>
                <w:rFonts w:ascii="Calibri" w:hAnsi="Calibri" w:cs="Calibri" w:eastAsia="Calibri"/>
                <w:color w:val="auto"/>
                <w:spacing w:val="0"/>
                <w:position w:val="0"/>
                <w:sz w:val="18"/>
                <w:shd w:fill="FFFFFF" w:val="clear"/>
              </w:rPr>
              <w:t xml:space="preserve">su: omogu</w:t>
            </w:r>
            <w:r>
              <w:rPr>
                <w:rFonts w:ascii="Calibri" w:hAnsi="Calibri" w:cs="Calibri" w:eastAsia="Calibri"/>
                <w:color w:val="auto"/>
                <w:spacing w:val="0"/>
                <w:position w:val="0"/>
                <w:sz w:val="18"/>
                <w:shd w:fill="FFFFFF" w:val="clear"/>
              </w:rPr>
              <w:t xml:space="preserve">ćavanje sistemskog praćenja, kontrole, istraživanja i sanacije klizišta; pretvaranje ugroženih dijelova terena u teren pogodan za plansku izgradnju objekata; te smanjenje rizika od oštećenja materijalnih dobara i ugrožavanja ljudskih života. Očekivani rezultat provedbe ove mjere je funkcionalan katastar klizišta i sistem za praćenje i izvještavanje o stanju klizišta, a r</w:t>
            </w:r>
            <w:r>
              <w:rPr>
                <w:rFonts w:ascii="Calibri" w:hAnsi="Calibri" w:cs="Calibri" w:eastAsia="Calibri"/>
                <w:color w:val="auto"/>
                <w:spacing w:val="0"/>
                <w:position w:val="0"/>
                <w:sz w:val="18"/>
                <w:shd w:fill="auto" w:val="clear"/>
              </w:rPr>
              <w:t xml:space="preserve">ealizacija ove mjere će doprinijeti i postizanju šire postavljenih ciljeva smanjenja vrijednosti materijalnih šteta od elementarnih i drugih većih nepogoda za 30%, smanjenja broja nesreća koje ugrožavaju život i zdravlje ljudi te dovode do velikih materijalnih šteta usljed elementarnih i drugih većih nepogoda za 50%, te smanjenja zagađenost zemljišta uzrokovanog poplavama i drugim uzrocima zagađenja za 10%, u odnosu na zabilježeno stanje u 2015. godini.</w:t>
            </w:r>
          </w:p>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FFFFFF" w:val="clear"/>
              </w:rPr>
              <w:t xml:space="preserve">Mjera uklju</w:t>
            </w:r>
            <w:r>
              <w:rPr>
                <w:rFonts w:ascii="Calibri" w:hAnsi="Calibri" w:cs="Calibri" w:eastAsia="Calibri"/>
                <w:color w:val="auto"/>
                <w:spacing w:val="0"/>
                <w:position w:val="0"/>
                <w:sz w:val="18"/>
                <w:shd w:fill="FFFFFF" w:val="clear"/>
              </w:rPr>
              <w:t xml:space="preserve">čuje definiranje programa i plana aktivnosti na izradi Katastra te donošenje odgovarajućih zaključaka, odluka i slično, formiranje multidisciplinarnog stručnog tima za izradu Katastra klizišta odnosno izbor tijela za izradu katastra, provođenje procedure javne nabavke za nabavku i instalaciju informacionog sistema i terenske opreme potrebne za izradu katastra. U prvoj fazi uspostave Katastra neophodno je definirati izgled katastarskih listova koji čine jednu cjelinu pri katastarskoj obradi svakog pojedinačnog klizišta, izraditi metodologiju vođenja Katastra klizišta i katastarskih listova sa upustvom za popunjavanje, definirati minimalni obim informacionog sistema za uspostavu Katastra koji treba da omogući integraciju uobičajenih operacija (pretraživanja, upiti, statističke analize) sa bazama podataka, uz korištenje vizualizacije i prostorne analize. Aplikacije moraju podržati dvije osnovne funkcije: evidentiranje klizišta, i izvještavanje o klizištima, što uključuje unos podataka i izvještavanje iz evidencije klizišta saglasno katastarskim listovima, uključujući alfanumeričke i geografske podatke. Uporedo sa uspostavljanjem informacionog sistema, neophodna je nabavka odgovarajuće terenske oprema za realizaciju mjere, kao što su GPS, laserski daljinomjeri, terenski računari sa ubačenim topografskim podlogama R 1:2.500 i slično. U svrhu daljnjeg razvoja uspostavljenog katastra, neophodno je vršiti redovni monitoring i unapređenje informacionog sistema. </w:t>
            </w:r>
          </w:p>
        </w:tc>
      </w:tr>
    </w:tbl>
    <w:p>
      <w:pPr>
        <w:spacing w:before="120" w:after="120" w:line="240"/>
        <w:ind w:right="0" w:left="0" w:firstLine="0"/>
        <w:jc w:val="both"/>
        <w:rPr>
          <w:rFonts w:ascii="Calibri" w:hAnsi="Calibri" w:cs="Calibri" w:eastAsia="Calibri"/>
          <w:color w:val="auto"/>
          <w:spacing w:val="0"/>
          <w:position w:val="0"/>
          <w:sz w:val="22"/>
          <w:shd w:fill="auto" w:val="clear"/>
        </w:rPr>
      </w:pPr>
    </w:p>
    <w:tbl>
      <w:tblPr/>
      <w:tblGrid>
        <w:gridCol w:w="2122"/>
        <w:gridCol w:w="7484"/>
      </w:tblGrid>
      <w:tr>
        <w:trPr>
          <w:trHeight w:val="227" w:hRule="auto"/>
          <w:jc w:val="left"/>
        </w:trPr>
        <w:tc>
          <w:tcPr>
            <w:tcW w:w="2122" w:type="dxa"/>
            <w:tcBorders>
              <w:top w:val="single" w:color="000000" w:sz="4"/>
              <w:left w:val="single" w:color="000000" w:sz="4"/>
              <w:bottom w:val="single" w:color="000000" w:sz="4"/>
              <w:right w:val="single" w:color="000000" w:sz="4"/>
            </w:tcBorders>
            <w:shd w:color="auto" w:fill="d5dce4"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Redni broj mjere</w:t>
            </w:r>
          </w:p>
        </w:tc>
        <w:tc>
          <w:tcPr>
            <w:tcW w:w="7484" w:type="dxa"/>
            <w:tcBorders>
              <w:top w:val="single" w:color="000000" w:sz="4"/>
              <w:left w:val="single" w:color="000000" w:sz="4"/>
              <w:bottom w:val="single" w:color="000000" w:sz="4"/>
              <w:right w:val="single" w:color="000000" w:sz="4"/>
            </w:tcBorders>
            <w:shd w:color="auto" w:fill="d5dce4" w:val="clear"/>
            <w:tcMar>
              <w:left w:w="108" w:type="dxa"/>
              <w:right w:w="108" w:type="dxa"/>
            </w:tcMar>
            <w:vAlign w:val="top"/>
          </w:tcPr>
          <w:p>
            <w:pPr>
              <w:spacing w:before="40" w:after="40" w:line="240"/>
              <w:ind w:right="0" w:left="0" w:firstLine="0"/>
              <w:jc w:val="center"/>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5</w:t>
            </w:r>
          </w:p>
        </w:tc>
      </w:tr>
      <w:tr>
        <w:trPr>
          <w:trHeight w:val="241" w:hRule="auto"/>
          <w:jc w:val="left"/>
        </w:trPr>
        <w:tc>
          <w:tcPr>
            <w:tcW w:w="2122" w:type="dxa"/>
            <w:tcBorders>
              <w:top w:val="single" w:color="000000" w:sz="4"/>
              <w:left w:val="single" w:color="000000" w:sz="4"/>
              <w:bottom w:val="single" w:color="000000" w:sz="4"/>
              <w:right w:val="single" w:color="000000" w:sz="4"/>
            </w:tcBorders>
            <w:shd w:color="auto" w:fill="d5dce4"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Naziv mjere</w:t>
            </w:r>
          </w:p>
        </w:tc>
        <w:tc>
          <w:tcPr>
            <w:tcW w:w="7484" w:type="dxa"/>
            <w:tcBorders>
              <w:top w:val="single" w:color="000000" w:sz="4"/>
              <w:left w:val="single" w:color="000000" w:sz="4"/>
              <w:bottom w:val="single" w:color="000000" w:sz="4"/>
              <w:right w:val="single" w:color="000000" w:sz="4"/>
            </w:tcBorders>
            <w:shd w:color="auto" w:fill="d5dce4" w:val="clear"/>
            <w:tcMar>
              <w:left w:w="108" w:type="dxa"/>
              <w:right w:w="108" w:type="dxa"/>
            </w:tcMar>
            <w:vAlign w:val="top"/>
          </w:tcPr>
          <w:p>
            <w:pPr>
              <w:spacing w:before="40" w:after="40" w:line="240"/>
              <w:ind w:right="0" w:left="0" w:firstLine="0"/>
              <w:jc w:val="center"/>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Sanacija prioritetnih klizišta na podru</w:t>
            </w:r>
            <w:r>
              <w:rPr>
                <w:rFonts w:ascii="Calibri" w:hAnsi="Calibri" w:cs="Calibri" w:eastAsia="Calibri"/>
                <w:b/>
                <w:color w:val="auto"/>
                <w:spacing w:val="0"/>
                <w:position w:val="0"/>
                <w:sz w:val="18"/>
                <w:shd w:fill="auto" w:val="clear"/>
              </w:rPr>
              <w:t xml:space="preserve">čju općine Doboj Istok - naselje Hodžići</w:t>
            </w:r>
          </w:p>
        </w:tc>
      </w:tr>
      <w:tr>
        <w:trPr>
          <w:trHeight w:val="227" w:hRule="auto"/>
          <w:jc w:val="left"/>
        </w:trPr>
        <w:tc>
          <w:tcPr>
            <w:tcW w:w="2122" w:type="dxa"/>
            <w:tcBorders>
              <w:top w:val="single" w:color="000000" w:sz="4"/>
              <w:left w:val="single" w:color="000000" w:sz="4"/>
              <w:bottom w:val="single" w:color="000000" w:sz="4"/>
              <w:right w:val="single" w:color="000000" w:sz="4"/>
            </w:tcBorders>
            <w:shd w:color="auto" w:fill="fbe4d5"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Nosilac realizacije mjere</w:t>
            </w:r>
          </w:p>
        </w:tc>
        <w:tc>
          <w:tcPr>
            <w:tcW w:w="7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125"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Op</w:t>
            </w:r>
            <w:r>
              <w:rPr>
                <w:rFonts w:ascii="Calibri" w:hAnsi="Calibri" w:cs="Calibri" w:eastAsia="Calibri"/>
                <w:color w:val="auto"/>
                <w:spacing w:val="0"/>
                <w:position w:val="0"/>
                <w:sz w:val="18"/>
                <w:shd w:fill="auto" w:val="clear"/>
              </w:rPr>
              <w:t xml:space="preserve">ćina Doboj Istok</w:t>
            </w:r>
          </w:p>
        </w:tc>
      </w:tr>
      <w:tr>
        <w:trPr>
          <w:trHeight w:val="227" w:hRule="auto"/>
          <w:jc w:val="left"/>
        </w:trPr>
        <w:tc>
          <w:tcPr>
            <w:tcW w:w="2122" w:type="dxa"/>
            <w:tcBorders>
              <w:top w:val="single" w:color="000000" w:sz="4"/>
              <w:left w:val="single" w:color="000000" w:sz="4"/>
              <w:bottom w:val="single" w:color="000000" w:sz="4"/>
              <w:right w:val="single" w:color="000000" w:sz="4"/>
            </w:tcBorders>
            <w:shd w:color="auto" w:fill="fbe4d5"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Partneri u realizaciji</w:t>
            </w:r>
          </w:p>
        </w:tc>
        <w:tc>
          <w:tcPr>
            <w:tcW w:w="7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3588"/>
              </w:numPr>
              <w:spacing w:before="40" w:after="0" w:line="240"/>
              <w:ind w:right="0" w:left="482" w:hanging="357"/>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Kantonalna uprava civilne zaštite</w:t>
            </w:r>
          </w:p>
          <w:p>
            <w:pPr>
              <w:numPr>
                <w:ilvl w:val="0"/>
                <w:numId w:val="3588"/>
              </w:numPr>
              <w:spacing w:before="0" w:after="0" w:line="240"/>
              <w:ind w:right="0" w:left="482" w:hanging="357"/>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Federalna uprava civilne zaštite</w:t>
            </w:r>
          </w:p>
          <w:p>
            <w:pPr>
              <w:numPr>
                <w:ilvl w:val="0"/>
                <w:numId w:val="3588"/>
              </w:numPr>
              <w:spacing w:before="0" w:after="0" w:line="240"/>
              <w:ind w:right="0" w:left="482" w:hanging="357"/>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Rudarsko-geološko-gra</w:t>
            </w:r>
            <w:r>
              <w:rPr>
                <w:rFonts w:ascii="Calibri" w:hAnsi="Calibri" w:cs="Calibri" w:eastAsia="Calibri"/>
                <w:color w:val="auto"/>
                <w:spacing w:val="0"/>
                <w:position w:val="0"/>
                <w:sz w:val="18"/>
                <w:shd w:fill="auto" w:val="clear"/>
              </w:rPr>
              <w:t xml:space="preserve">đevinski fakultet Univerziteta u Tuzli</w:t>
            </w:r>
          </w:p>
          <w:p>
            <w:pPr>
              <w:numPr>
                <w:ilvl w:val="0"/>
                <w:numId w:val="3588"/>
              </w:numPr>
              <w:spacing w:before="0" w:after="40" w:line="240"/>
              <w:ind w:right="0" w:left="482" w:hanging="357"/>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Mjesne zajednice i gra</w:t>
            </w:r>
            <w:r>
              <w:rPr>
                <w:rFonts w:ascii="Calibri" w:hAnsi="Calibri" w:cs="Calibri" w:eastAsia="Calibri"/>
                <w:color w:val="auto"/>
                <w:spacing w:val="0"/>
                <w:position w:val="0"/>
                <w:sz w:val="18"/>
                <w:shd w:fill="auto" w:val="clear"/>
              </w:rPr>
              <w:t xml:space="preserve">đani</w:t>
            </w:r>
          </w:p>
        </w:tc>
      </w:tr>
      <w:tr>
        <w:trPr>
          <w:trHeight w:val="227" w:hRule="auto"/>
          <w:jc w:val="left"/>
        </w:trPr>
        <w:tc>
          <w:tcPr>
            <w:tcW w:w="2122" w:type="dxa"/>
            <w:tcBorders>
              <w:top w:val="single" w:color="000000" w:sz="4"/>
              <w:left w:val="single" w:color="000000" w:sz="4"/>
              <w:bottom w:val="single" w:color="000000" w:sz="4"/>
              <w:right w:val="single" w:color="000000" w:sz="4"/>
            </w:tcBorders>
            <w:shd w:color="auto" w:fill="fbe4d5"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Period realizacije</w:t>
            </w:r>
          </w:p>
        </w:tc>
        <w:tc>
          <w:tcPr>
            <w:tcW w:w="7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144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2021-2023.</w:t>
            </w:r>
          </w:p>
        </w:tc>
      </w:tr>
      <w:tr>
        <w:trPr>
          <w:trHeight w:val="274" w:hRule="auto"/>
          <w:jc w:val="left"/>
        </w:trPr>
        <w:tc>
          <w:tcPr>
            <w:tcW w:w="2122" w:type="dxa"/>
            <w:tcBorders>
              <w:top w:val="single" w:color="000000" w:sz="4"/>
              <w:left w:val="single" w:color="000000" w:sz="4"/>
              <w:bottom w:val="single" w:color="000000" w:sz="4"/>
              <w:right w:val="single" w:color="000000" w:sz="4"/>
            </w:tcBorders>
            <w:shd w:color="auto" w:fill="fbe4d5"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Ukupna investicija</w:t>
            </w:r>
          </w:p>
        </w:tc>
        <w:tc>
          <w:tcPr>
            <w:tcW w:w="7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80.000 KM</w:t>
            </w:r>
          </w:p>
        </w:tc>
      </w:tr>
      <w:tr>
        <w:trPr>
          <w:trHeight w:val="227" w:hRule="auto"/>
          <w:jc w:val="left"/>
        </w:trPr>
        <w:tc>
          <w:tcPr>
            <w:tcW w:w="2122" w:type="dxa"/>
            <w:tcBorders>
              <w:top w:val="single" w:color="000000" w:sz="4"/>
              <w:left w:val="single" w:color="000000" w:sz="4"/>
              <w:bottom w:val="single" w:color="000000" w:sz="4"/>
              <w:right w:val="single" w:color="000000" w:sz="4"/>
            </w:tcBorders>
            <w:shd w:color="auto" w:fill="fbe4d5" w:val="clear"/>
            <w:tcMar>
              <w:left w:w="108" w:type="dxa"/>
              <w:right w:w="108" w:type="dxa"/>
            </w:tcMar>
            <w:vAlign w:val="top"/>
          </w:tcPr>
          <w:p>
            <w:pPr>
              <w:spacing w:before="40" w:after="40" w:line="240"/>
              <w:ind w:right="0" w:left="0" w:firstLine="0"/>
              <w:jc w:val="left"/>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Izvori financijskih sredstava</w:t>
            </w:r>
          </w:p>
        </w:tc>
        <w:tc>
          <w:tcPr>
            <w:tcW w:w="7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3600"/>
              </w:numPr>
              <w:spacing w:before="40" w:after="0" w:line="240"/>
              <w:ind w:right="0" w:left="482" w:hanging="357"/>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Budžet Op</w:t>
            </w:r>
            <w:r>
              <w:rPr>
                <w:rFonts w:ascii="Calibri" w:hAnsi="Calibri" w:cs="Calibri" w:eastAsia="Calibri"/>
                <w:color w:val="auto"/>
                <w:spacing w:val="0"/>
                <w:position w:val="0"/>
                <w:sz w:val="18"/>
                <w:shd w:fill="auto" w:val="clear"/>
              </w:rPr>
              <w:t xml:space="preserve">ćine Doboj Istok</w:t>
            </w:r>
          </w:p>
          <w:p>
            <w:pPr>
              <w:numPr>
                <w:ilvl w:val="0"/>
                <w:numId w:val="3600"/>
              </w:numPr>
              <w:spacing w:before="0" w:after="0" w:line="240"/>
              <w:ind w:right="0" w:left="482" w:hanging="357"/>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Budžet Tuzlanskog kantona</w:t>
            </w:r>
          </w:p>
          <w:p>
            <w:pPr>
              <w:numPr>
                <w:ilvl w:val="0"/>
                <w:numId w:val="3600"/>
              </w:numPr>
              <w:spacing w:before="0" w:after="0" w:line="240"/>
              <w:ind w:right="0" w:left="482" w:hanging="357"/>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Budžet Federacije Bosne i Hercegovine</w:t>
            </w:r>
          </w:p>
          <w:p>
            <w:pPr>
              <w:numPr>
                <w:ilvl w:val="0"/>
                <w:numId w:val="3600"/>
              </w:numPr>
              <w:spacing w:before="0" w:after="40" w:line="240"/>
              <w:ind w:right="0" w:left="482" w:hanging="357"/>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Me</w:t>
            </w:r>
            <w:r>
              <w:rPr>
                <w:rFonts w:ascii="Calibri" w:hAnsi="Calibri" w:cs="Calibri" w:eastAsia="Calibri"/>
                <w:color w:val="auto"/>
                <w:spacing w:val="0"/>
                <w:position w:val="0"/>
                <w:sz w:val="18"/>
                <w:shd w:fill="auto" w:val="clear"/>
              </w:rPr>
              <w:t xml:space="preserve">đunarodni finansijeri i donatori (EU, UNDP, USAID i dr.)</w:t>
            </w:r>
          </w:p>
        </w:tc>
      </w:tr>
      <w:tr>
        <w:trPr>
          <w:trHeight w:val="620" w:hRule="auto"/>
          <w:jc w:val="left"/>
        </w:trPr>
        <w:tc>
          <w:tcPr>
            <w:tcW w:w="2122" w:type="dxa"/>
            <w:tcBorders>
              <w:top w:val="single" w:color="000000" w:sz="4"/>
              <w:left w:val="single" w:color="000000" w:sz="4"/>
              <w:bottom w:val="single" w:color="000000" w:sz="4"/>
              <w:right w:val="single" w:color="000000" w:sz="4"/>
            </w:tcBorders>
            <w:shd w:color="auto" w:fill="fbe4d5"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Kratki opis mjere</w:t>
            </w:r>
          </w:p>
        </w:tc>
        <w:tc>
          <w:tcPr>
            <w:tcW w:w="7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sz w:val="18"/>
                <w:shd w:fill="FFFFFF" w:val="clear"/>
              </w:rPr>
            </w:pPr>
            <w:r>
              <w:rPr>
                <w:rFonts w:ascii="Calibri" w:hAnsi="Calibri" w:cs="Calibri" w:eastAsia="Calibri"/>
                <w:color w:val="auto"/>
                <w:spacing w:val="0"/>
                <w:position w:val="0"/>
                <w:sz w:val="18"/>
                <w:shd w:fill="FFFFFF" w:val="clear"/>
              </w:rPr>
              <w:t xml:space="preserve">Štete kojima su gra</w:t>
            </w:r>
            <w:r>
              <w:rPr>
                <w:rFonts w:ascii="Calibri" w:hAnsi="Calibri" w:cs="Calibri" w:eastAsia="Calibri"/>
                <w:color w:val="auto"/>
                <w:spacing w:val="0"/>
                <w:position w:val="0"/>
                <w:sz w:val="18"/>
                <w:shd w:fill="FFFFFF" w:val="clear"/>
              </w:rPr>
              <w:t xml:space="preserve">đani i društvena zajednica na području općine Doboj Istok izloženi usljed djelovanja erozionih procesa uvelike premašuju mogućnosti sanacije. Preko 200 evidentiranih klizišta i odrona, odnosno 10% prostora u zoni građenja koji je prema općinskom prostornom planu uzurpiran djelovanjem klizišta i odrona, dovoljan su pokazatelj ozbiljnosti samog problema. Vidne su štete na stambenim i drugim objektima, putnim komunikacijama, vodovodnim sistemima, elektro-mreži, poljoprivrednom zemljištu i slično. Saniranje klizišta u početnoj fazi je neuporedivo jeftiniji proces od sanacije kasnijih posljedica. Cilj sanacije klizišta je i pretvaranje ugroženih dijelova terena u pogodne sredine za plansku izgradnju objekata, te smanjenja rizika od oštećenja materijalnih dobara i ugrožavanja ljudskih života. </w:t>
            </w:r>
          </w:p>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FFFFFF" w:val="clear"/>
              </w:rPr>
              <w:t xml:space="preserve">Mjera uklju</w:t>
            </w:r>
            <w:r>
              <w:rPr>
                <w:rFonts w:ascii="Calibri" w:hAnsi="Calibri" w:cs="Calibri" w:eastAsia="Calibri"/>
                <w:color w:val="auto"/>
                <w:spacing w:val="0"/>
                <w:position w:val="0"/>
                <w:sz w:val="18"/>
                <w:shd w:fill="FFFFFF" w:val="clear"/>
              </w:rPr>
              <w:t xml:space="preserve">čuje </w:t>
            </w:r>
            <w:r>
              <w:rPr>
                <w:rFonts w:ascii="Calibri" w:hAnsi="Calibri" w:cs="Calibri" w:eastAsia="Calibri"/>
                <w:color w:val="auto"/>
                <w:spacing w:val="0"/>
                <w:position w:val="0"/>
                <w:sz w:val="18"/>
                <w:shd w:fill="auto" w:val="clear"/>
              </w:rPr>
              <w:t xml:space="preserve">analiza trenutnog stanja navedenog klizišta, izradu neophodne tehničko-projektne dokumentacije, provođenje procedura javne  nabavke i izbor izvođača radova, te realizaciju radova na sanaciji klizišta.</w:t>
            </w:r>
          </w:p>
        </w:tc>
      </w:tr>
    </w:tbl>
    <w:p>
      <w:pPr>
        <w:keepNext w:val="true"/>
        <w:keepLines w:val="true"/>
        <w:numPr>
          <w:ilvl w:val="0"/>
          <w:numId w:val="3607"/>
        </w:numPr>
        <w:spacing w:before="240" w:after="120" w:line="240"/>
        <w:ind w:right="0" w:left="720" w:hanging="72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Mjere za prilago</w:t>
      </w:r>
      <w:r>
        <w:rPr>
          <w:rFonts w:ascii="Calibri" w:hAnsi="Calibri" w:cs="Calibri" w:eastAsia="Calibri"/>
          <w:b/>
          <w:color w:val="auto"/>
          <w:spacing w:val="0"/>
          <w:position w:val="0"/>
          <w:sz w:val="24"/>
          <w:shd w:fill="auto" w:val="clear"/>
        </w:rPr>
        <w:t xml:space="preserve">đavanje na opasnosti od suše i nestašice vode</w:t>
      </w:r>
    </w:p>
    <w:tbl>
      <w:tblPr/>
      <w:tblGrid>
        <w:gridCol w:w="2122"/>
        <w:gridCol w:w="7484"/>
      </w:tblGrid>
      <w:tr>
        <w:trPr>
          <w:trHeight w:val="227" w:hRule="auto"/>
          <w:jc w:val="left"/>
        </w:trPr>
        <w:tc>
          <w:tcPr>
            <w:tcW w:w="2122" w:type="dxa"/>
            <w:tcBorders>
              <w:top w:val="single" w:color="000000" w:sz="4"/>
              <w:left w:val="single" w:color="000000" w:sz="4"/>
              <w:bottom w:val="single" w:color="000000" w:sz="4"/>
              <w:right w:val="single" w:color="000000" w:sz="4"/>
            </w:tcBorders>
            <w:shd w:color="auto" w:fill="d5dce4"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Redni broj mjere</w:t>
            </w:r>
          </w:p>
        </w:tc>
        <w:tc>
          <w:tcPr>
            <w:tcW w:w="7484" w:type="dxa"/>
            <w:tcBorders>
              <w:top w:val="single" w:color="000000" w:sz="4"/>
              <w:left w:val="single" w:color="000000" w:sz="4"/>
              <w:bottom w:val="single" w:color="000000" w:sz="4"/>
              <w:right w:val="single" w:color="000000" w:sz="4"/>
            </w:tcBorders>
            <w:shd w:color="auto" w:fill="d5dce4" w:val="clear"/>
            <w:tcMar>
              <w:left w:w="108" w:type="dxa"/>
              <w:right w:w="108" w:type="dxa"/>
            </w:tcMar>
            <w:vAlign w:val="top"/>
          </w:tcPr>
          <w:p>
            <w:pPr>
              <w:spacing w:before="40" w:after="40" w:line="240"/>
              <w:ind w:right="0" w:left="0" w:firstLine="0"/>
              <w:jc w:val="center"/>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6</w:t>
            </w:r>
          </w:p>
        </w:tc>
      </w:tr>
      <w:tr>
        <w:trPr>
          <w:trHeight w:val="355" w:hRule="auto"/>
          <w:jc w:val="left"/>
        </w:trPr>
        <w:tc>
          <w:tcPr>
            <w:tcW w:w="2122" w:type="dxa"/>
            <w:tcBorders>
              <w:top w:val="single" w:color="000000" w:sz="4"/>
              <w:left w:val="single" w:color="000000" w:sz="4"/>
              <w:bottom w:val="single" w:color="000000" w:sz="4"/>
              <w:right w:val="single" w:color="000000" w:sz="4"/>
            </w:tcBorders>
            <w:shd w:color="auto" w:fill="d5dce4"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Naziv mjere</w:t>
            </w:r>
          </w:p>
        </w:tc>
        <w:tc>
          <w:tcPr>
            <w:tcW w:w="7484" w:type="dxa"/>
            <w:tcBorders>
              <w:top w:val="single" w:color="000000" w:sz="4"/>
              <w:left w:val="single" w:color="000000" w:sz="4"/>
              <w:bottom w:val="single" w:color="000000" w:sz="4"/>
              <w:right w:val="single" w:color="000000" w:sz="4"/>
            </w:tcBorders>
            <w:shd w:color="auto" w:fill="d5dce4" w:val="clear"/>
            <w:tcMar>
              <w:left w:w="108" w:type="dxa"/>
              <w:right w:w="108" w:type="dxa"/>
            </w:tcMar>
            <w:vAlign w:val="top"/>
          </w:tcPr>
          <w:p>
            <w:pPr>
              <w:spacing w:before="40" w:after="40" w:line="240"/>
              <w:ind w:right="0" w:left="0" w:firstLine="0"/>
              <w:jc w:val="center"/>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Izgradnja novih i sanacija postoje</w:t>
            </w:r>
            <w:r>
              <w:rPr>
                <w:rFonts w:ascii="Calibri" w:hAnsi="Calibri" w:cs="Calibri" w:eastAsia="Calibri"/>
                <w:b/>
                <w:color w:val="auto"/>
                <w:spacing w:val="0"/>
                <w:position w:val="0"/>
                <w:sz w:val="18"/>
                <w:shd w:fill="auto" w:val="clear"/>
              </w:rPr>
              <w:t xml:space="preserve">ćih vodozahvatnih objekata – izgradnja bunara u Brijesnici Velikoj</w:t>
            </w:r>
          </w:p>
        </w:tc>
      </w:tr>
      <w:tr>
        <w:trPr>
          <w:trHeight w:val="176" w:hRule="auto"/>
          <w:jc w:val="left"/>
        </w:trPr>
        <w:tc>
          <w:tcPr>
            <w:tcW w:w="2122" w:type="dxa"/>
            <w:tcBorders>
              <w:top w:val="single" w:color="000000" w:sz="4"/>
              <w:left w:val="single" w:color="000000" w:sz="4"/>
              <w:bottom w:val="single" w:color="000000" w:sz="4"/>
              <w:right w:val="single" w:color="000000" w:sz="4"/>
            </w:tcBorders>
            <w:shd w:color="auto" w:fill="fbe4d5"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Nosilac realizacije mjere</w:t>
            </w:r>
          </w:p>
        </w:tc>
        <w:tc>
          <w:tcPr>
            <w:tcW w:w="7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125"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Op</w:t>
            </w:r>
            <w:r>
              <w:rPr>
                <w:rFonts w:ascii="Calibri" w:hAnsi="Calibri" w:cs="Calibri" w:eastAsia="Calibri"/>
                <w:color w:val="auto"/>
                <w:spacing w:val="0"/>
                <w:position w:val="0"/>
                <w:sz w:val="18"/>
                <w:shd w:fill="auto" w:val="clear"/>
              </w:rPr>
              <w:t xml:space="preserve">ćina Doboj Istok</w:t>
            </w:r>
          </w:p>
        </w:tc>
      </w:tr>
      <w:tr>
        <w:trPr>
          <w:trHeight w:val="584" w:hRule="auto"/>
          <w:jc w:val="left"/>
        </w:trPr>
        <w:tc>
          <w:tcPr>
            <w:tcW w:w="2122" w:type="dxa"/>
            <w:tcBorders>
              <w:top w:val="single" w:color="000000" w:sz="4"/>
              <w:left w:val="single" w:color="000000" w:sz="4"/>
              <w:bottom w:val="single" w:color="000000" w:sz="4"/>
              <w:right w:val="single" w:color="000000" w:sz="4"/>
            </w:tcBorders>
            <w:shd w:color="auto" w:fill="fbe4d5"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Partneri u realizaciji</w:t>
            </w:r>
          </w:p>
        </w:tc>
        <w:tc>
          <w:tcPr>
            <w:tcW w:w="7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3622"/>
              </w:numPr>
              <w:spacing w:before="40" w:after="0" w:line="240"/>
              <w:ind w:right="0" w:left="482"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JKP „</w:t>
            </w:r>
            <w:r>
              <w:rPr>
                <w:rFonts w:ascii="Calibri" w:hAnsi="Calibri" w:cs="Calibri" w:eastAsia="Calibri"/>
                <w:color w:val="auto"/>
                <w:spacing w:val="0"/>
                <w:position w:val="0"/>
                <w:sz w:val="18"/>
                <w:shd w:fill="auto" w:val="clear"/>
              </w:rPr>
              <w:t xml:space="preserve">ČISTO“ doo Doboj Istok</w:t>
            </w:r>
          </w:p>
          <w:p>
            <w:pPr>
              <w:numPr>
                <w:ilvl w:val="0"/>
                <w:numId w:val="3622"/>
              </w:numPr>
              <w:spacing w:before="0" w:after="40" w:line="240"/>
              <w:ind w:right="0" w:left="482" w:hanging="357"/>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Mjesne zajednice</w:t>
            </w:r>
          </w:p>
        </w:tc>
      </w:tr>
      <w:tr>
        <w:trPr>
          <w:trHeight w:val="227" w:hRule="auto"/>
          <w:jc w:val="left"/>
        </w:trPr>
        <w:tc>
          <w:tcPr>
            <w:tcW w:w="2122" w:type="dxa"/>
            <w:tcBorders>
              <w:top w:val="single" w:color="000000" w:sz="4"/>
              <w:left w:val="single" w:color="000000" w:sz="4"/>
              <w:bottom w:val="single" w:color="000000" w:sz="4"/>
              <w:right w:val="single" w:color="000000" w:sz="4"/>
            </w:tcBorders>
            <w:shd w:color="auto" w:fill="fbe4d5"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Period realizacije</w:t>
            </w:r>
          </w:p>
        </w:tc>
        <w:tc>
          <w:tcPr>
            <w:tcW w:w="7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72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2020-2024.</w:t>
            </w:r>
          </w:p>
        </w:tc>
      </w:tr>
      <w:tr>
        <w:trPr>
          <w:trHeight w:val="227" w:hRule="auto"/>
          <w:jc w:val="left"/>
        </w:trPr>
        <w:tc>
          <w:tcPr>
            <w:tcW w:w="2122" w:type="dxa"/>
            <w:tcBorders>
              <w:top w:val="single" w:color="000000" w:sz="4"/>
              <w:left w:val="single" w:color="000000" w:sz="4"/>
              <w:bottom w:val="single" w:color="000000" w:sz="4"/>
              <w:right w:val="single" w:color="000000" w:sz="4"/>
            </w:tcBorders>
            <w:shd w:color="auto" w:fill="fbe4d5"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Ukupna investicija</w:t>
            </w:r>
          </w:p>
        </w:tc>
        <w:tc>
          <w:tcPr>
            <w:tcW w:w="7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72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100.000 KM</w:t>
            </w:r>
          </w:p>
        </w:tc>
      </w:tr>
      <w:tr>
        <w:trPr>
          <w:trHeight w:val="330" w:hRule="auto"/>
          <w:jc w:val="left"/>
        </w:trPr>
        <w:tc>
          <w:tcPr>
            <w:tcW w:w="2122" w:type="dxa"/>
            <w:tcBorders>
              <w:top w:val="single" w:color="000000" w:sz="4"/>
              <w:left w:val="single" w:color="000000" w:sz="4"/>
              <w:bottom w:val="single" w:color="000000" w:sz="4"/>
              <w:right w:val="single" w:color="000000" w:sz="4"/>
            </w:tcBorders>
            <w:shd w:color="auto" w:fill="fbe4d5" w:val="clear"/>
            <w:tcMar>
              <w:left w:w="108" w:type="dxa"/>
              <w:right w:w="108" w:type="dxa"/>
            </w:tcMar>
            <w:vAlign w:val="top"/>
          </w:tcPr>
          <w:p>
            <w:pPr>
              <w:spacing w:before="40" w:after="40" w:line="240"/>
              <w:ind w:right="0" w:left="0" w:firstLine="0"/>
              <w:jc w:val="left"/>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Izvori financijskih sredstava</w:t>
            </w:r>
          </w:p>
        </w:tc>
        <w:tc>
          <w:tcPr>
            <w:tcW w:w="7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3634"/>
              </w:numPr>
              <w:spacing w:before="40" w:after="0" w:line="240"/>
              <w:ind w:right="0" w:left="482"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Ministarstvo poljoprivrede, vodoprivrede i šumarstva Tuzlanskog kantona</w:t>
            </w:r>
          </w:p>
          <w:p>
            <w:pPr>
              <w:numPr>
                <w:ilvl w:val="0"/>
                <w:numId w:val="3634"/>
              </w:numPr>
              <w:spacing w:before="0" w:after="0" w:line="240"/>
              <w:ind w:right="0" w:left="482"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Budžet Op</w:t>
            </w:r>
            <w:r>
              <w:rPr>
                <w:rFonts w:ascii="Calibri" w:hAnsi="Calibri" w:cs="Calibri" w:eastAsia="Calibri"/>
                <w:color w:val="auto"/>
                <w:spacing w:val="0"/>
                <w:position w:val="0"/>
                <w:sz w:val="18"/>
                <w:shd w:fill="auto" w:val="clear"/>
              </w:rPr>
              <w:t xml:space="preserve">ćine Doboj Istok</w:t>
            </w:r>
          </w:p>
          <w:p>
            <w:pPr>
              <w:numPr>
                <w:ilvl w:val="0"/>
                <w:numId w:val="3634"/>
              </w:numPr>
              <w:spacing w:before="0" w:after="40" w:line="240"/>
              <w:ind w:right="0" w:left="482" w:hanging="357"/>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Me</w:t>
            </w:r>
            <w:r>
              <w:rPr>
                <w:rFonts w:ascii="Calibri" w:hAnsi="Calibri" w:cs="Calibri" w:eastAsia="Calibri"/>
                <w:color w:val="auto"/>
                <w:spacing w:val="0"/>
                <w:position w:val="0"/>
                <w:sz w:val="18"/>
                <w:shd w:fill="auto" w:val="clear"/>
              </w:rPr>
              <w:t xml:space="preserve">đunarodni finansijeri i donatori (EU, UNDP, USAID i dr.)</w:t>
            </w:r>
          </w:p>
        </w:tc>
      </w:tr>
      <w:tr>
        <w:trPr>
          <w:trHeight w:val="800" w:hRule="auto"/>
          <w:jc w:val="left"/>
        </w:trPr>
        <w:tc>
          <w:tcPr>
            <w:tcW w:w="2122" w:type="dxa"/>
            <w:tcBorders>
              <w:top w:val="single" w:color="000000" w:sz="4"/>
              <w:left w:val="single" w:color="000000" w:sz="4"/>
              <w:bottom w:val="single" w:color="000000" w:sz="4"/>
              <w:right w:val="single" w:color="000000" w:sz="4"/>
            </w:tcBorders>
            <w:shd w:color="auto" w:fill="fbe4d5"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Kratki opis mjere</w:t>
            </w:r>
          </w:p>
        </w:tc>
        <w:tc>
          <w:tcPr>
            <w:tcW w:w="7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sz w:val="18"/>
                <w:shd w:fill="FFFFFF" w:val="clear"/>
              </w:rPr>
            </w:pPr>
            <w:r>
              <w:rPr>
                <w:rFonts w:ascii="Calibri" w:hAnsi="Calibri" w:cs="Calibri" w:eastAsia="Calibri"/>
                <w:color w:val="auto"/>
                <w:spacing w:val="0"/>
                <w:position w:val="0"/>
                <w:sz w:val="18"/>
                <w:shd w:fill="auto" w:val="clear"/>
              </w:rPr>
              <w:t xml:space="preserve">Ekstremno visoke temperature, suša i nestašica vode su prepoznate kao opasnosti za podru</w:t>
            </w:r>
            <w:r>
              <w:rPr>
                <w:rFonts w:ascii="Calibri" w:hAnsi="Calibri" w:cs="Calibri" w:eastAsia="Calibri"/>
                <w:color w:val="auto"/>
                <w:spacing w:val="0"/>
                <w:position w:val="0"/>
                <w:sz w:val="18"/>
                <w:shd w:fill="auto" w:val="clear"/>
              </w:rPr>
              <w:t xml:space="preserve">čje Doboj Istoka. Njihov intenzitet i  učestalost su ocijenjeni kao umjereni, i sada i u budućnosti. Voda je resurs koji je izuzetno osjetljiv na efekte klimatskih promjena, i što se tiče dostupnosti i kvaliteta. Dostupnost vode postaje sve veći problem, pa su mjere na očuvanju vode kao resursa neophodne. Cilj mjere je poboljšanje kapaciteta i kvaliteta vodosnabdijevanja, povećanje sigurnosti snabdijevanja odnosno </w:t>
            </w:r>
            <w:r>
              <w:rPr>
                <w:rFonts w:ascii="Calibri" w:hAnsi="Calibri" w:cs="Calibri" w:eastAsia="Calibri"/>
                <w:color w:val="auto"/>
                <w:spacing w:val="0"/>
                <w:position w:val="0"/>
                <w:sz w:val="18"/>
                <w:shd w:fill="FFFFFF" w:val="clear"/>
              </w:rPr>
              <w:t xml:space="preserve">osiguranje dovoljne količine zdravstveno ispravne vode za ljudsku potrošnju, te povećanje stope priključenosti stanovništva na javne sisteme vodosnabdijevanja. </w:t>
            </w:r>
            <w:r>
              <w:rPr>
                <w:rFonts w:ascii="Calibri" w:hAnsi="Calibri" w:cs="Calibri" w:eastAsia="Calibri"/>
                <w:color w:val="auto"/>
                <w:spacing w:val="0"/>
                <w:position w:val="0"/>
                <w:sz w:val="18"/>
                <w:shd w:fill="auto" w:val="clear"/>
              </w:rPr>
              <w:t xml:space="preserve">Realizacija ove mjere predstavlja i doprinos usklađivanju sa </w:t>
            </w:r>
            <w:r>
              <w:rPr>
                <w:rFonts w:ascii="Calibri" w:hAnsi="Calibri" w:cs="Calibri" w:eastAsia="Calibri"/>
                <w:color w:val="auto"/>
                <w:spacing w:val="0"/>
                <w:position w:val="0"/>
                <w:sz w:val="18"/>
                <w:shd w:fill="FFFFFF" w:val="clear"/>
              </w:rPr>
              <w:t xml:space="preserve">Okvirnom direktivom o vodama (2000/60/EC) i Direktivom o kvaliteti vode namijenjene za ljudsku potrošnju (98/83/EC).</w:t>
            </w:r>
          </w:p>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FFFFFF" w:val="clear"/>
              </w:rPr>
              <w:t xml:space="preserve">Postoje</w:t>
            </w:r>
            <w:r>
              <w:rPr>
                <w:rFonts w:ascii="Calibri" w:hAnsi="Calibri" w:cs="Calibri" w:eastAsia="Calibri"/>
                <w:color w:val="auto"/>
                <w:spacing w:val="0"/>
                <w:position w:val="0"/>
                <w:sz w:val="18"/>
                <w:shd w:fill="FFFFFF" w:val="clear"/>
              </w:rPr>
              <w:t xml:space="preserve">ća bunarska bušotina u vodozaštitnoj zoni arteškog bunara u Brijesnici Velikoj, kojom se napaja oko 2000 stanovnika ove mjesne zajednice, je u lošem stanju, pumpe u bunaru su već amortizirane, a osnova bunara se obrušava već više godina. Osim problema snadbijevanja vodom za piće za stanovništvo, javio se i problem obezbjeđenja vode za napajanje stoke. Očekivani rezultati ove mjere su: stavljanje u funkciju vodozahvatnog bunara u Brijesnici Velikoj sa prosječnim kapacitetom snabdjevanja vode od 14,5 l/s, te povećanje pokrivenosti domaćinstava sa pristupom kontroliranoj vodi za piće na 90%. Mjera uključuje analizu trenutnog stanja izdašnosti navedenog bunara, izradu glavnog projekta za zamjenski bunar u Brijesnici Velikoj, dobivanje vodozahvatnih saglasnosti i dozvola, procedure javne nabavke i izbor izvođača radova, izgradnju zamjenskog bunara, analizu kvaliteta i izdašnosti vode te preuzimanje bunara na upravljanje od strane JKP Čisto. </w:t>
            </w:r>
          </w:p>
        </w:tc>
      </w:tr>
    </w:tbl>
    <w:p>
      <w:pPr>
        <w:spacing w:before="120" w:after="120" w:line="240"/>
        <w:ind w:right="0" w:left="0" w:firstLine="0"/>
        <w:jc w:val="left"/>
        <w:rPr>
          <w:rFonts w:ascii="Arial" w:hAnsi="Arial" w:cs="Arial" w:eastAsia="Arial"/>
          <w:b/>
          <w:color w:val="000000"/>
          <w:spacing w:val="0"/>
          <w:position w:val="0"/>
          <w:sz w:val="24"/>
          <w:shd w:fill="auto" w:val="clear"/>
        </w:rPr>
      </w:pPr>
    </w:p>
    <w:tbl>
      <w:tblPr/>
      <w:tblGrid>
        <w:gridCol w:w="2122"/>
        <w:gridCol w:w="7484"/>
      </w:tblGrid>
      <w:tr>
        <w:trPr>
          <w:trHeight w:val="227" w:hRule="auto"/>
          <w:jc w:val="left"/>
        </w:trPr>
        <w:tc>
          <w:tcPr>
            <w:tcW w:w="2122" w:type="dxa"/>
            <w:tcBorders>
              <w:top w:val="single" w:color="000000" w:sz="4"/>
              <w:left w:val="single" w:color="000000" w:sz="4"/>
              <w:bottom w:val="single" w:color="000000" w:sz="4"/>
              <w:right w:val="single" w:color="000000" w:sz="4"/>
            </w:tcBorders>
            <w:shd w:color="auto" w:fill="d5dce4"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Redni broj mjere</w:t>
            </w:r>
          </w:p>
        </w:tc>
        <w:tc>
          <w:tcPr>
            <w:tcW w:w="7484" w:type="dxa"/>
            <w:tcBorders>
              <w:top w:val="single" w:color="000000" w:sz="4"/>
              <w:left w:val="single" w:color="000000" w:sz="4"/>
              <w:bottom w:val="single" w:color="000000" w:sz="4"/>
              <w:right w:val="single" w:color="000000" w:sz="4"/>
            </w:tcBorders>
            <w:shd w:color="auto" w:fill="d5dce4" w:val="clear"/>
            <w:tcMar>
              <w:left w:w="108" w:type="dxa"/>
              <w:right w:w="108" w:type="dxa"/>
            </w:tcMar>
            <w:vAlign w:val="top"/>
          </w:tcPr>
          <w:p>
            <w:pPr>
              <w:spacing w:before="40" w:after="40" w:line="240"/>
              <w:ind w:right="0" w:left="0" w:firstLine="0"/>
              <w:jc w:val="center"/>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7</w:t>
            </w:r>
          </w:p>
        </w:tc>
      </w:tr>
      <w:tr>
        <w:trPr>
          <w:trHeight w:val="355" w:hRule="auto"/>
          <w:jc w:val="left"/>
        </w:trPr>
        <w:tc>
          <w:tcPr>
            <w:tcW w:w="2122" w:type="dxa"/>
            <w:tcBorders>
              <w:top w:val="single" w:color="000000" w:sz="4"/>
              <w:left w:val="single" w:color="000000" w:sz="4"/>
              <w:bottom w:val="single" w:color="000000" w:sz="4"/>
              <w:right w:val="single" w:color="000000" w:sz="4"/>
            </w:tcBorders>
            <w:shd w:color="auto" w:fill="d5dce4"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Naziv mjere</w:t>
            </w:r>
          </w:p>
        </w:tc>
        <w:tc>
          <w:tcPr>
            <w:tcW w:w="7484" w:type="dxa"/>
            <w:tcBorders>
              <w:top w:val="single" w:color="000000" w:sz="4"/>
              <w:left w:val="single" w:color="000000" w:sz="4"/>
              <w:bottom w:val="single" w:color="000000" w:sz="4"/>
              <w:right w:val="single" w:color="000000" w:sz="4"/>
            </w:tcBorders>
            <w:shd w:color="auto" w:fill="d5dce4" w:val="clear"/>
            <w:tcMar>
              <w:left w:w="108" w:type="dxa"/>
              <w:right w:w="108" w:type="dxa"/>
            </w:tcMar>
            <w:vAlign w:val="top"/>
          </w:tcPr>
          <w:p>
            <w:pPr>
              <w:spacing w:before="40" w:after="40" w:line="240"/>
              <w:ind w:right="0" w:left="0" w:firstLine="0"/>
              <w:jc w:val="center"/>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Uklju</w:t>
            </w:r>
            <w:r>
              <w:rPr>
                <w:rFonts w:ascii="Calibri" w:hAnsi="Calibri" w:cs="Calibri" w:eastAsia="Calibri"/>
                <w:b/>
                <w:color w:val="auto"/>
                <w:spacing w:val="0"/>
                <w:position w:val="0"/>
                <w:sz w:val="18"/>
                <w:shd w:fill="auto" w:val="clear"/>
              </w:rPr>
              <w:t xml:space="preserve">čivanje prirodnih izvorišta u postojeće vodovodne mreže</w:t>
            </w:r>
          </w:p>
        </w:tc>
      </w:tr>
      <w:tr>
        <w:trPr>
          <w:trHeight w:val="176" w:hRule="auto"/>
          <w:jc w:val="left"/>
        </w:trPr>
        <w:tc>
          <w:tcPr>
            <w:tcW w:w="2122" w:type="dxa"/>
            <w:tcBorders>
              <w:top w:val="single" w:color="000000" w:sz="4"/>
              <w:left w:val="single" w:color="000000" w:sz="4"/>
              <w:bottom w:val="single" w:color="000000" w:sz="4"/>
              <w:right w:val="single" w:color="000000" w:sz="4"/>
            </w:tcBorders>
            <w:shd w:color="auto" w:fill="fbe4d5"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Nosilac realizacije mjere</w:t>
            </w:r>
          </w:p>
        </w:tc>
        <w:tc>
          <w:tcPr>
            <w:tcW w:w="7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125"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Op</w:t>
            </w:r>
            <w:r>
              <w:rPr>
                <w:rFonts w:ascii="Calibri" w:hAnsi="Calibri" w:cs="Calibri" w:eastAsia="Calibri"/>
                <w:color w:val="auto"/>
                <w:spacing w:val="0"/>
                <w:position w:val="0"/>
                <w:sz w:val="18"/>
                <w:shd w:fill="auto" w:val="clear"/>
              </w:rPr>
              <w:t xml:space="preserve">ćina Doboj Istok</w:t>
            </w:r>
          </w:p>
        </w:tc>
      </w:tr>
      <w:tr>
        <w:trPr>
          <w:trHeight w:val="584" w:hRule="auto"/>
          <w:jc w:val="left"/>
        </w:trPr>
        <w:tc>
          <w:tcPr>
            <w:tcW w:w="2122" w:type="dxa"/>
            <w:tcBorders>
              <w:top w:val="single" w:color="000000" w:sz="4"/>
              <w:left w:val="single" w:color="000000" w:sz="4"/>
              <w:bottom w:val="single" w:color="000000" w:sz="4"/>
              <w:right w:val="single" w:color="000000" w:sz="4"/>
            </w:tcBorders>
            <w:shd w:color="auto" w:fill="fbe4d5"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Partneri u realizaciji</w:t>
            </w:r>
          </w:p>
        </w:tc>
        <w:tc>
          <w:tcPr>
            <w:tcW w:w="7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3656"/>
              </w:numPr>
              <w:spacing w:before="40" w:after="0" w:line="240"/>
              <w:ind w:right="0" w:left="482"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JKP „</w:t>
            </w:r>
            <w:r>
              <w:rPr>
                <w:rFonts w:ascii="Calibri" w:hAnsi="Calibri" w:cs="Calibri" w:eastAsia="Calibri"/>
                <w:color w:val="auto"/>
                <w:spacing w:val="0"/>
                <w:position w:val="0"/>
                <w:sz w:val="18"/>
                <w:shd w:fill="auto" w:val="clear"/>
              </w:rPr>
              <w:t xml:space="preserve">ČISTO“ doo Doboj Istok</w:t>
            </w:r>
          </w:p>
          <w:p>
            <w:pPr>
              <w:numPr>
                <w:ilvl w:val="0"/>
                <w:numId w:val="3656"/>
              </w:numPr>
              <w:spacing w:before="0" w:after="40" w:line="240"/>
              <w:ind w:right="0" w:left="482" w:hanging="357"/>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Mjesne zajednice</w:t>
            </w:r>
          </w:p>
        </w:tc>
      </w:tr>
      <w:tr>
        <w:trPr>
          <w:trHeight w:val="227" w:hRule="auto"/>
          <w:jc w:val="left"/>
        </w:trPr>
        <w:tc>
          <w:tcPr>
            <w:tcW w:w="2122" w:type="dxa"/>
            <w:tcBorders>
              <w:top w:val="single" w:color="000000" w:sz="4"/>
              <w:left w:val="single" w:color="000000" w:sz="4"/>
              <w:bottom w:val="single" w:color="000000" w:sz="4"/>
              <w:right w:val="single" w:color="000000" w:sz="4"/>
            </w:tcBorders>
            <w:shd w:color="auto" w:fill="fbe4d5"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Period realizacije</w:t>
            </w:r>
          </w:p>
        </w:tc>
        <w:tc>
          <w:tcPr>
            <w:tcW w:w="7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72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2021-2025.</w:t>
            </w:r>
          </w:p>
        </w:tc>
      </w:tr>
      <w:tr>
        <w:trPr>
          <w:trHeight w:val="227" w:hRule="auto"/>
          <w:jc w:val="left"/>
        </w:trPr>
        <w:tc>
          <w:tcPr>
            <w:tcW w:w="2122" w:type="dxa"/>
            <w:tcBorders>
              <w:top w:val="single" w:color="000000" w:sz="4"/>
              <w:left w:val="single" w:color="000000" w:sz="4"/>
              <w:bottom w:val="single" w:color="000000" w:sz="4"/>
              <w:right w:val="single" w:color="000000" w:sz="4"/>
            </w:tcBorders>
            <w:shd w:color="auto" w:fill="fbe4d5"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Ukupna investicija</w:t>
            </w:r>
          </w:p>
        </w:tc>
        <w:tc>
          <w:tcPr>
            <w:tcW w:w="7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72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100.000 KM</w:t>
            </w:r>
          </w:p>
        </w:tc>
      </w:tr>
      <w:tr>
        <w:trPr>
          <w:trHeight w:val="330" w:hRule="auto"/>
          <w:jc w:val="left"/>
        </w:trPr>
        <w:tc>
          <w:tcPr>
            <w:tcW w:w="2122" w:type="dxa"/>
            <w:tcBorders>
              <w:top w:val="single" w:color="000000" w:sz="4"/>
              <w:left w:val="single" w:color="000000" w:sz="4"/>
              <w:bottom w:val="single" w:color="000000" w:sz="4"/>
              <w:right w:val="single" w:color="000000" w:sz="4"/>
            </w:tcBorders>
            <w:shd w:color="auto" w:fill="fbe4d5" w:val="clear"/>
            <w:tcMar>
              <w:left w:w="108" w:type="dxa"/>
              <w:right w:w="108" w:type="dxa"/>
            </w:tcMar>
            <w:vAlign w:val="top"/>
          </w:tcPr>
          <w:p>
            <w:pPr>
              <w:spacing w:before="40" w:after="40" w:line="240"/>
              <w:ind w:right="0" w:left="0" w:firstLine="0"/>
              <w:jc w:val="left"/>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Izvori financijskih sredstava</w:t>
            </w:r>
          </w:p>
        </w:tc>
        <w:tc>
          <w:tcPr>
            <w:tcW w:w="7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3668"/>
              </w:numPr>
              <w:spacing w:before="40" w:after="0" w:line="240"/>
              <w:ind w:right="0" w:left="482"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Budžet Tuzlanskog kantona</w:t>
            </w:r>
          </w:p>
          <w:p>
            <w:pPr>
              <w:numPr>
                <w:ilvl w:val="0"/>
                <w:numId w:val="3668"/>
              </w:numPr>
              <w:spacing w:before="0" w:after="0" w:line="240"/>
              <w:ind w:right="0" w:left="482"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Budžet Op</w:t>
            </w:r>
            <w:r>
              <w:rPr>
                <w:rFonts w:ascii="Calibri" w:hAnsi="Calibri" w:cs="Calibri" w:eastAsia="Calibri"/>
                <w:color w:val="auto"/>
                <w:spacing w:val="0"/>
                <w:position w:val="0"/>
                <w:sz w:val="18"/>
                <w:shd w:fill="auto" w:val="clear"/>
              </w:rPr>
              <w:t xml:space="preserve">ćine Doboj Istok</w:t>
            </w:r>
          </w:p>
          <w:p>
            <w:pPr>
              <w:numPr>
                <w:ilvl w:val="0"/>
                <w:numId w:val="3668"/>
              </w:numPr>
              <w:spacing w:before="0" w:after="40" w:line="240"/>
              <w:ind w:right="0" w:left="482" w:hanging="357"/>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Me</w:t>
            </w:r>
            <w:r>
              <w:rPr>
                <w:rFonts w:ascii="Calibri" w:hAnsi="Calibri" w:cs="Calibri" w:eastAsia="Calibri"/>
                <w:color w:val="auto"/>
                <w:spacing w:val="0"/>
                <w:position w:val="0"/>
                <w:sz w:val="18"/>
                <w:shd w:fill="auto" w:val="clear"/>
              </w:rPr>
              <w:t xml:space="preserve">đunarodni finansijeri i donatori (EU, UNDP, USAID i dr.)</w:t>
            </w:r>
          </w:p>
        </w:tc>
      </w:tr>
      <w:tr>
        <w:trPr>
          <w:trHeight w:val="800" w:hRule="auto"/>
          <w:jc w:val="left"/>
        </w:trPr>
        <w:tc>
          <w:tcPr>
            <w:tcW w:w="2122" w:type="dxa"/>
            <w:tcBorders>
              <w:top w:val="single" w:color="000000" w:sz="4"/>
              <w:left w:val="single" w:color="000000" w:sz="4"/>
              <w:bottom w:val="single" w:color="000000" w:sz="4"/>
              <w:right w:val="single" w:color="000000" w:sz="4"/>
            </w:tcBorders>
            <w:shd w:color="auto" w:fill="fbe4d5"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Kratki opis mjere</w:t>
            </w:r>
          </w:p>
        </w:tc>
        <w:tc>
          <w:tcPr>
            <w:tcW w:w="7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0" w:line="240"/>
              <w:ind w:right="0" w:left="0" w:firstLine="0"/>
              <w:jc w:val="both"/>
              <w:rPr>
                <w:rFonts w:ascii="Calibri" w:hAnsi="Calibri" w:cs="Calibri" w:eastAsia="Calibri"/>
                <w:color w:val="auto"/>
                <w:spacing w:val="0"/>
                <w:position w:val="0"/>
                <w:sz w:val="18"/>
                <w:shd w:fill="FFFFFF" w:val="clear"/>
              </w:rPr>
            </w:pPr>
            <w:r>
              <w:rPr>
                <w:rFonts w:ascii="Calibri" w:hAnsi="Calibri" w:cs="Calibri" w:eastAsia="Calibri"/>
                <w:color w:val="auto"/>
                <w:spacing w:val="0"/>
                <w:position w:val="0"/>
                <w:sz w:val="18"/>
                <w:shd w:fill="auto" w:val="clear"/>
              </w:rPr>
              <w:t xml:space="preserve">Ekstremno visoke temperature, suša i nestašica vode su prepoznate kao opasnosti za podru</w:t>
            </w:r>
            <w:r>
              <w:rPr>
                <w:rFonts w:ascii="Calibri" w:hAnsi="Calibri" w:cs="Calibri" w:eastAsia="Calibri"/>
                <w:color w:val="auto"/>
                <w:spacing w:val="0"/>
                <w:position w:val="0"/>
                <w:sz w:val="18"/>
                <w:shd w:fill="auto" w:val="clear"/>
              </w:rPr>
              <w:t xml:space="preserve">čje Doboj Istoka. Njihov intenzitet i  učestalost su ocijenjeni kao umjereni, i sada i u budućnosti. Voda je resurs koji je izuzetno osjetljiv na efekte klimatskih promjena, i što se tiče dostupnosti i kvaliteta. Dostupnost vode postaje sve veći problem, pa su mjere na očuvanju vode kao resursa neophodne. Cilj mjere je poboljšanje kapaciteta i kvaliteta vodosnabdijevanja, povećanje sigurnosti snabdijevanja odnosno </w:t>
            </w:r>
            <w:r>
              <w:rPr>
                <w:rFonts w:ascii="Calibri" w:hAnsi="Calibri" w:cs="Calibri" w:eastAsia="Calibri"/>
                <w:color w:val="auto"/>
                <w:spacing w:val="0"/>
                <w:position w:val="0"/>
                <w:sz w:val="18"/>
                <w:shd w:fill="FFFFFF" w:val="clear"/>
              </w:rPr>
              <w:t xml:space="preserve">osiguranje dovoljne količine zdravstveno ispravne vode za ljudsku potrošnju, te povećanje stope priključenosti stanovništva na javne sisteme vodosnabdijevanja. </w:t>
            </w:r>
            <w:r>
              <w:rPr>
                <w:rFonts w:ascii="Calibri" w:hAnsi="Calibri" w:cs="Calibri" w:eastAsia="Calibri"/>
                <w:color w:val="auto"/>
                <w:spacing w:val="0"/>
                <w:position w:val="0"/>
                <w:sz w:val="18"/>
                <w:shd w:fill="auto" w:val="clear"/>
              </w:rPr>
              <w:t xml:space="preserve">Realizacija ove mjere predstavlja i doprinos usklađivanju sa </w:t>
            </w:r>
            <w:r>
              <w:rPr>
                <w:rFonts w:ascii="Calibri" w:hAnsi="Calibri" w:cs="Calibri" w:eastAsia="Calibri"/>
                <w:color w:val="auto"/>
                <w:spacing w:val="0"/>
                <w:position w:val="0"/>
                <w:sz w:val="18"/>
                <w:shd w:fill="FFFFFF" w:val="clear"/>
              </w:rPr>
              <w:t xml:space="preserve">Okvirnom direktivom o vodama (2000/60/EC) i Direktivom o kvaliteti vode namijenjene za ljudsku potrošnju (98/83/EC).</w:t>
            </w:r>
          </w:p>
          <w:p>
            <w:pPr>
              <w:spacing w:before="40" w:after="0" w:line="240"/>
              <w:ind w:right="0" w:left="0" w:firstLine="0"/>
              <w:jc w:val="both"/>
              <w:rPr>
                <w:rFonts w:ascii="Calibri" w:hAnsi="Calibri" w:cs="Calibri" w:eastAsia="Calibri"/>
                <w:color w:val="auto"/>
                <w:spacing w:val="0"/>
                <w:position w:val="0"/>
                <w:sz w:val="18"/>
                <w:shd w:fill="FFFFFF" w:val="clear"/>
              </w:rPr>
            </w:pPr>
            <w:r>
              <w:rPr>
                <w:rFonts w:ascii="Calibri" w:hAnsi="Calibri" w:cs="Calibri" w:eastAsia="Calibri"/>
                <w:color w:val="auto"/>
                <w:spacing w:val="0"/>
                <w:position w:val="0"/>
                <w:sz w:val="18"/>
                <w:shd w:fill="FFFFFF" w:val="clear"/>
              </w:rPr>
              <w:t xml:space="preserve">Jedno od osnovnih obilježja op</w:t>
            </w:r>
            <w:r>
              <w:rPr>
                <w:rFonts w:ascii="Calibri" w:hAnsi="Calibri" w:cs="Calibri" w:eastAsia="Calibri"/>
                <w:color w:val="auto"/>
                <w:spacing w:val="0"/>
                <w:position w:val="0"/>
                <w:sz w:val="18"/>
                <w:shd w:fill="FFFFFF" w:val="clear"/>
              </w:rPr>
              <w:t xml:space="preserve">ćine Doboj Istok je bogatstvo vodnim resursima i veliki broj prirodnih izvorišta kvalitetne vode, čija nekontrolirana potrošnja utiče na stvaranje velikog broja klizišta na području općine. Regulinjem ovih prirodnih izvora stvoriće se uslovi za odvodnju vode koja sada često uzrokuje pokretanje zemljišta. Imajući u vidu da se najčešće radi o visokokvalitetnim vodama, hemijski i biološki ispravnih, one se mogu uključiti u postojeće ispravne i funkcionalne vodovodne mreže. Na taj način će se stvoriti preduslovi za povećanje kapaciteta lokalnih vodosistema, te smanjenje potrošnje vode iz centralnih vodovoda i električne energije potrebne za njihovo funkcioniranje. Realizacijom ove mjere smanjiće se rizici od stvaranja novih i proširenje postojećih klizišta, i time doprinijeti rješavanju jednog od ključnih problema na području općine. Kao rezultat mjere, u funkciju će biti stavljena prirodna izvorišta  na 5 prioritetnih lokacija, sa prosječnim kapacitetom snabdijevanja od 12 l/s, a pokrivenost domaćinstava pristupom kontroliranoj vodi za piće biće povećana na 90%. Ova izvorišta se nalaze na većim nadmorskim visinama tako da postoji prirodan pad vode, čime će se izbjeći troškovi prepumpavanja vode.</w:t>
            </w:r>
          </w:p>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FFFFFF" w:val="clear"/>
              </w:rPr>
              <w:t xml:space="preserve">Mjera uklju</w:t>
            </w:r>
            <w:r>
              <w:rPr>
                <w:rFonts w:ascii="Calibri" w:hAnsi="Calibri" w:cs="Calibri" w:eastAsia="Calibri"/>
                <w:color w:val="auto"/>
                <w:spacing w:val="0"/>
                <w:position w:val="0"/>
                <w:sz w:val="18"/>
                <w:shd w:fill="FFFFFF" w:val="clear"/>
              </w:rPr>
              <w:t xml:space="preserve">čuje analizu postojećih izvorišta i utvrđivanje prioritetnih lokacija, izradu projektne dokumentacije, raspisivanje javnog poziva i izbor izvođača, izvođenje radova (izgradnju kaptaža, vodovodnih kanala i rezervoara, te šahtova na uključivanju 5 lokalnih izvorišta u zajednički sistem), te kontinuirano praćenje kapaciteta ovih izvorišta.</w:t>
            </w:r>
          </w:p>
        </w:tc>
      </w:tr>
    </w:tbl>
    <w:p>
      <w:pPr>
        <w:spacing w:before="120" w:after="120" w:line="240"/>
        <w:ind w:right="0" w:left="0" w:firstLine="0"/>
        <w:jc w:val="both"/>
        <w:rPr>
          <w:rFonts w:ascii="Calibri" w:hAnsi="Calibri" w:cs="Calibri" w:eastAsia="Calibri"/>
          <w:b/>
          <w:color w:val="auto"/>
          <w:spacing w:val="0"/>
          <w:position w:val="0"/>
          <w:sz w:val="22"/>
          <w:shd w:fill="auto" w:val="clear"/>
        </w:rPr>
      </w:pPr>
    </w:p>
    <w:tbl>
      <w:tblPr/>
      <w:tblGrid>
        <w:gridCol w:w="2122"/>
        <w:gridCol w:w="7484"/>
      </w:tblGrid>
      <w:tr>
        <w:trPr>
          <w:trHeight w:val="227" w:hRule="auto"/>
          <w:jc w:val="left"/>
        </w:trPr>
        <w:tc>
          <w:tcPr>
            <w:tcW w:w="2122" w:type="dxa"/>
            <w:tcBorders>
              <w:top w:val="single" w:color="000000" w:sz="4"/>
              <w:left w:val="single" w:color="000000" w:sz="4"/>
              <w:bottom w:val="single" w:color="000000" w:sz="4"/>
              <w:right w:val="single" w:color="000000" w:sz="4"/>
            </w:tcBorders>
            <w:shd w:color="auto" w:fill="d5dce4"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Redni broj mjere</w:t>
            </w:r>
          </w:p>
        </w:tc>
        <w:tc>
          <w:tcPr>
            <w:tcW w:w="7484" w:type="dxa"/>
            <w:tcBorders>
              <w:top w:val="single" w:color="000000" w:sz="4"/>
              <w:left w:val="single" w:color="000000" w:sz="4"/>
              <w:bottom w:val="single" w:color="000000" w:sz="4"/>
              <w:right w:val="single" w:color="000000" w:sz="4"/>
            </w:tcBorders>
            <w:shd w:color="auto" w:fill="d5dce4" w:val="clear"/>
            <w:tcMar>
              <w:left w:w="108" w:type="dxa"/>
              <w:right w:w="108" w:type="dxa"/>
            </w:tcMar>
            <w:vAlign w:val="top"/>
          </w:tcPr>
          <w:p>
            <w:pPr>
              <w:spacing w:before="40" w:after="40" w:line="240"/>
              <w:ind w:right="0" w:left="0" w:firstLine="0"/>
              <w:jc w:val="center"/>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8</w:t>
            </w:r>
          </w:p>
        </w:tc>
      </w:tr>
      <w:tr>
        <w:trPr>
          <w:trHeight w:val="523" w:hRule="auto"/>
          <w:jc w:val="left"/>
        </w:trPr>
        <w:tc>
          <w:tcPr>
            <w:tcW w:w="2122" w:type="dxa"/>
            <w:tcBorders>
              <w:top w:val="single" w:color="000000" w:sz="4"/>
              <w:left w:val="single" w:color="000000" w:sz="4"/>
              <w:bottom w:val="single" w:color="000000" w:sz="4"/>
              <w:right w:val="single" w:color="000000" w:sz="4"/>
            </w:tcBorders>
            <w:shd w:color="auto" w:fill="d5dce4"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Naziv mjere</w:t>
            </w:r>
          </w:p>
        </w:tc>
        <w:tc>
          <w:tcPr>
            <w:tcW w:w="7484" w:type="dxa"/>
            <w:tcBorders>
              <w:top w:val="single" w:color="000000" w:sz="4"/>
              <w:left w:val="single" w:color="000000" w:sz="4"/>
              <w:bottom w:val="single" w:color="000000" w:sz="4"/>
              <w:right w:val="single" w:color="000000" w:sz="4"/>
            </w:tcBorders>
            <w:shd w:color="auto" w:fill="d5dce4" w:val="clear"/>
            <w:tcMar>
              <w:left w:w="108" w:type="dxa"/>
              <w:right w:w="108" w:type="dxa"/>
            </w:tcMar>
            <w:vAlign w:val="top"/>
          </w:tcPr>
          <w:p>
            <w:pPr>
              <w:spacing w:before="40" w:after="40" w:line="240"/>
              <w:ind w:right="0" w:left="0" w:firstLine="0"/>
              <w:jc w:val="center"/>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Podizanje svijesti javnosti o uticaju klimatskih promjena na vode i o zna</w:t>
            </w:r>
            <w:r>
              <w:rPr>
                <w:rFonts w:ascii="Calibri" w:hAnsi="Calibri" w:cs="Calibri" w:eastAsia="Calibri"/>
                <w:b/>
                <w:color w:val="auto"/>
                <w:spacing w:val="0"/>
                <w:position w:val="0"/>
                <w:sz w:val="18"/>
                <w:shd w:fill="auto" w:val="clear"/>
              </w:rPr>
              <w:t xml:space="preserve">čaju racionalne potrošnje vode u domaćinstvima </w:t>
            </w:r>
          </w:p>
        </w:tc>
      </w:tr>
      <w:tr>
        <w:trPr>
          <w:trHeight w:val="276" w:hRule="auto"/>
          <w:jc w:val="left"/>
        </w:trPr>
        <w:tc>
          <w:tcPr>
            <w:tcW w:w="2122" w:type="dxa"/>
            <w:tcBorders>
              <w:top w:val="single" w:color="000000" w:sz="4"/>
              <w:left w:val="single" w:color="000000" w:sz="4"/>
              <w:bottom w:val="single" w:color="000000" w:sz="4"/>
              <w:right w:val="single" w:color="000000" w:sz="4"/>
            </w:tcBorders>
            <w:shd w:color="auto" w:fill="fbe4d5"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Nosilac realizacije mjere</w:t>
            </w:r>
          </w:p>
        </w:tc>
        <w:tc>
          <w:tcPr>
            <w:tcW w:w="7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125"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Op</w:t>
            </w:r>
            <w:r>
              <w:rPr>
                <w:rFonts w:ascii="Calibri" w:hAnsi="Calibri" w:cs="Calibri" w:eastAsia="Calibri"/>
                <w:color w:val="auto"/>
                <w:spacing w:val="0"/>
                <w:position w:val="0"/>
                <w:sz w:val="18"/>
                <w:shd w:fill="auto" w:val="clear"/>
              </w:rPr>
              <w:t xml:space="preserve">ćina Doboj Istok</w:t>
            </w:r>
          </w:p>
        </w:tc>
      </w:tr>
      <w:tr>
        <w:trPr>
          <w:trHeight w:val="811" w:hRule="auto"/>
          <w:jc w:val="left"/>
        </w:trPr>
        <w:tc>
          <w:tcPr>
            <w:tcW w:w="2122" w:type="dxa"/>
            <w:tcBorders>
              <w:top w:val="single" w:color="000000" w:sz="4"/>
              <w:left w:val="single" w:color="000000" w:sz="4"/>
              <w:bottom w:val="single" w:color="000000" w:sz="4"/>
              <w:right w:val="single" w:color="000000" w:sz="4"/>
            </w:tcBorders>
            <w:shd w:color="auto" w:fill="fbe4d5"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Partneri u realizaciji</w:t>
            </w:r>
          </w:p>
        </w:tc>
        <w:tc>
          <w:tcPr>
            <w:tcW w:w="7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3692"/>
              </w:numPr>
              <w:spacing w:before="40" w:after="0" w:line="240"/>
              <w:ind w:right="0" w:left="482" w:hanging="357"/>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JKP „</w:t>
            </w:r>
            <w:r>
              <w:rPr>
                <w:rFonts w:ascii="Calibri" w:hAnsi="Calibri" w:cs="Calibri" w:eastAsia="Calibri"/>
                <w:color w:val="auto"/>
                <w:spacing w:val="0"/>
                <w:position w:val="0"/>
                <w:sz w:val="18"/>
                <w:shd w:fill="auto" w:val="clear"/>
              </w:rPr>
              <w:t xml:space="preserve">ČISTO“ doo Doboj Istok</w:t>
            </w:r>
          </w:p>
          <w:p>
            <w:pPr>
              <w:numPr>
                <w:ilvl w:val="0"/>
                <w:numId w:val="3692"/>
              </w:numPr>
              <w:spacing w:before="0" w:after="0" w:line="240"/>
              <w:ind w:right="0" w:left="482" w:hanging="357"/>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Nevladine organizacije </w:t>
            </w:r>
          </w:p>
          <w:p>
            <w:pPr>
              <w:numPr>
                <w:ilvl w:val="0"/>
                <w:numId w:val="3692"/>
              </w:numPr>
              <w:spacing w:before="0" w:after="40" w:line="240"/>
              <w:ind w:right="0" w:left="482" w:hanging="357"/>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Osnovne i srednje škole</w:t>
            </w:r>
          </w:p>
        </w:tc>
      </w:tr>
      <w:tr>
        <w:trPr>
          <w:trHeight w:val="227" w:hRule="auto"/>
          <w:jc w:val="left"/>
        </w:trPr>
        <w:tc>
          <w:tcPr>
            <w:tcW w:w="2122" w:type="dxa"/>
            <w:tcBorders>
              <w:top w:val="single" w:color="000000" w:sz="4"/>
              <w:left w:val="single" w:color="000000" w:sz="4"/>
              <w:bottom w:val="single" w:color="000000" w:sz="4"/>
              <w:right w:val="single" w:color="000000" w:sz="4"/>
            </w:tcBorders>
            <w:shd w:color="auto" w:fill="fbe4d5"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Period realizacije</w:t>
            </w:r>
          </w:p>
        </w:tc>
        <w:tc>
          <w:tcPr>
            <w:tcW w:w="7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72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2020-2030.</w:t>
            </w:r>
          </w:p>
        </w:tc>
      </w:tr>
      <w:tr>
        <w:trPr>
          <w:trHeight w:val="227" w:hRule="auto"/>
          <w:jc w:val="left"/>
        </w:trPr>
        <w:tc>
          <w:tcPr>
            <w:tcW w:w="2122" w:type="dxa"/>
            <w:tcBorders>
              <w:top w:val="single" w:color="000000" w:sz="4"/>
              <w:left w:val="single" w:color="000000" w:sz="4"/>
              <w:bottom w:val="single" w:color="000000" w:sz="4"/>
              <w:right w:val="single" w:color="000000" w:sz="4"/>
            </w:tcBorders>
            <w:shd w:color="auto" w:fill="fbe4d5"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Ukupna investicija</w:t>
            </w:r>
          </w:p>
        </w:tc>
        <w:tc>
          <w:tcPr>
            <w:tcW w:w="7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72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5.000 KM</w:t>
            </w:r>
          </w:p>
        </w:tc>
      </w:tr>
      <w:tr>
        <w:trPr>
          <w:trHeight w:val="227" w:hRule="auto"/>
          <w:jc w:val="left"/>
        </w:trPr>
        <w:tc>
          <w:tcPr>
            <w:tcW w:w="2122" w:type="dxa"/>
            <w:tcBorders>
              <w:top w:val="single" w:color="000000" w:sz="4"/>
              <w:left w:val="single" w:color="000000" w:sz="4"/>
              <w:bottom w:val="single" w:color="000000" w:sz="4"/>
              <w:right w:val="single" w:color="000000" w:sz="4"/>
            </w:tcBorders>
            <w:shd w:color="auto" w:fill="fbe4d5" w:val="clear"/>
            <w:tcMar>
              <w:left w:w="108" w:type="dxa"/>
              <w:right w:w="108" w:type="dxa"/>
            </w:tcMar>
            <w:vAlign w:val="top"/>
          </w:tcPr>
          <w:p>
            <w:pPr>
              <w:spacing w:before="40" w:after="40" w:line="240"/>
              <w:ind w:right="0" w:left="0" w:firstLine="0"/>
              <w:jc w:val="left"/>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Izvori financijskih sredstava</w:t>
            </w:r>
          </w:p>
        </w:tc>
        <w:tc>
          <w:tcPr>
            <w:tcW w:w="7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3704"/>
              </w:numPr>
              <w:spacing w:before="40" w:after="0" w:line="240"/>
              <w:ind w:right="0" w:left="482" w:hanging="357"/>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Budžet Op</w:t>
            </w:r>
            <w:r>
              <w:rPr>
                <w:rFonts w:ascii="Calibri" w:hAnsi="Calibri" w:cs="Calibri" w:eastAsia="Calibri"/>
                <w:color w:val="auto"/>
                <w:spacing w:val="0"/>
                <w:position w:val="0"/>
                <w:sz w:val="18"/>
                <w:shd w:fill="auto" w:val="clear"/>
              </w:rPr>
              <w:t xml:space="preserve">ćine Doboj Istok</w:t>
            </w:r>
          </w:p>
          <w:p>
            <w:pPr>
              <w:numPr>
                <w:ilvl w:val="0"/>
                <w:numId w:val="3704"/>
              </w:numPr>
              <w:spacing w:before="0" w:after="40" w:line="240"/>
              <w:ind w:right="0" w:left="482" w:hanging="357"/>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Me</w:t>
            </w:r>
            <w:r>
              <w:rPr>
                <w:rFonts w:ascii="Calibri" w:hAnsi="Calibri" w:cs="Calibri" w:eastAsia="Calibri"/>
                <w:color w:val="auto"/>
                <w:spacing w:val="0"/>
                <w:position w:val="0"/>
                <w:sz w:val="18"/>
                <w:shd w:fill="auto" w:val="clear"/>
              </w:rPr>
              <w:t xml:space="preserve">đunarodni finansijeri i donatori (EU, UNDP, USAID i dr.)</w:t>
            </w:r>
          </w:p>
        </w:tc>
      </w:tr>
      <w:tr>
        <w:trPr>
          <w:trHeight w:val="1128" w:hRule="auto"/>
          <w:jc w:val="left"/>
        </w:trPr>
        <w:tc>
          <w:tcPr>
            <w:tcW w:w="2122" w:type="dxa"/>
            <w:tcBorders>
              <w:top w:val="single" w:color="000000" w:sz="4"/>
              <w:left w:val="single" w:color="000000" w:sz="4"/>
              <w:bottom w:val="single" w:color="000000" w:sz="4"/>
              <w:right w:val="single" w:color="000000" w:sz="4"/>
            </w:tcBorders>
            <w:shd w:color="auto" w:fill="fbe4d5"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Kratki opis mjere</w:t>
            </w:r>
          </w:p>
        </w:tc>
        <w:tc>
          <w:tcPr>
            <w:tcW w:w="7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Voda je resurs koji je izuzetno osjetljiv na efekte klimatskih promjena, i što se ti</w:t>
            </w:r>
            <w:r>
              <w:rPr>
                <w:rFonts w:ascii="Calibri" w:hAnsi="Calibri" w:cs="Calibri" w:eastAsia="Calibri"/>
                <w:color w:val="auto"/>
                <w:spacing w:val="0"/>
                <w:position w:val="0"/>
                <w:sz w:val="18"/>
                <w:shd w:fill="auto" w:val="clear"/>
              </w:rPr>
              <w:t xml:space="preserve">če dostupnosti i kvaliteta. Dostupnost vode postaje sve veći problem, pa su mjere na očuvanju vode kao resursa neophodne. Stoga je svaka aktivnost čiji cilj je podizanje svijesti o racionalnosti korištenja i načinu uticaja klimatskih promjena na vode izrazito poželjna i potrebna. Za realizaciju ove mjere koristiće se postojeći i novi komunikacijski kanali (web stranice, jumbo plakati, leci, računi za vodu, itd).   </w:t>
            </w:r>
          </w:p>
        </w:tc>
      </w:tr>
    </w:tbl>
    <w:p>
      <w:pPr>
        <w:spacing w:before="120" w:after="120" w:line="240"/>
        <w:ind w:right="0" w:left="0" w:firstLine="0"/>
        <w:jc w:val="both"/>
        <w:rPr>
          <w:rFonts w:ascii="Calibri" w:hAnsi="Calibri" w:cs="Calibri" w:eastAsia="Calibri"/>
          <w:color w:val="auto"/>
          <w:spacing w:val="0"/>
          <w:position w:val="0"/>
          <w:sz w:val="22"/>
          <w:shd w:fill="auto" w:val="clear"/>
        </w:rPr>
      </w:pPr>
    </w:p>
    <w:tbl>
      <w:tblPr/>
      <w:tblGrid>
        <w:gridCol w:w="2122"/>
        <w:gridCol w:w="7484"/>
      </w:tblGrid>
      <w:tr>
        <w:trPr>
          <w:trHeight w:val="227" w:hRule="auto"/>
          <w:jc w:val="left"/>
        </w:trPr>
        <w:tc>
          <w:tcPr>
            <w:tcW w:w="2122" w:type="dxa"/>
            <w:tcBorders>
              <w:top w:val="single" w:color="000000" w:sz="4"/>
              <w:left w:val="single" w:color="000000" w:sz="4"/>
              <w:bottom w:val="single" w:color="000000" w:sz="4"/>
              <w:right w:val="single" w:color="000000" w:sz="4"/>
            </w:tcBorders>
            <w:shd w:color="auto" w:fill="d5dce4"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Redni broj mjere</w:t>
            </w:r>
          </w:p>
        </w:tc>
        <w:tc>
          <w:tcPr>
            <w:tcW w:w="7484" w:type="dxa"/>
            <w:tcBorders>
              <w:top w:val="single" w:color="000000" w:sz="4"/>
              <w:left w:val="single" w:color="000000" w:sz="4"/>
              <w:bottom w:val="single" w:color="000000" w:sz="4"/>
              <w:right w:val="single" w:color="000000" w:sz="4"/>
            </w:tcBorders>
            <w:shd w:color="auto" w:fill="d5dce4" w:val="clear"/>
            <w:tcMar>
              <w:left w:w="108" w:type="dxa"/>
              <w:right w:w="108" w:type="dxa"/>
            </w:tcMar>
            <w:vAlign w:val="top"/>
          </w:tcPr>
          <w:p>
            <w:pPr>
              <w:spacing w:before="40" w:after="40" w:line="240"/>
              <w:ind w:right="0" w:left="0" w:firstLine="0"/>
              <w:jc w:val="center"/>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9</w:t>
            </w:r>
          </w:p>
        </w:tc>
      </w:tr>
      <w:tr>
        <w:trPr>
          <w:trHeight w:val="304" w:hRule="auto"/>
          <w:jc w:val="left"/>
        </w:trPr>
        <w:tc>
          <w:tcPr>
            <w:tcW w:w="2122" w:type="dxa"/>
            <w:tcBorders>
              <w:top w:val="single" w:color="000000" w:sz="4"/>
              <w:left w:val="single" w:color="000000" w:sz="4"/>
              <w:bottom w:val="single" w:color="000000" w:sz="4"/>
              <w:right w:val="single" w:color="000000" w:sz="4"/>
            </w:tcBorders>
            <w:shd w:color="auto" w:fill="d5dce4"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Naziv mjere</w:t>
            </w:r>
          </w:p>
        </w:tc>
        <w:tc>
          <w:tcPr>
            <w:tcW w:w="7484" w:type="dxa"/>
            <w:tcBorders>
              <w:top w:val="single" w:color="000000" w:sz="4"/>
              <w:left w:val="single" w:color="000000" w:sz="4"/>
              <w:bottom w:val="single" w:color="000000" w:sz="4"/>
              <w:right w:val="single" w:color="000000" w:sz="4"/>
            </w:tcBorders>
            <w:shd w:color="auto" w:fill="d5dce4" w:val="clear"/>
            <w:tcMar>
              <w:left w:w="108" w:type="dxa"/>
              <w:right w:w="108" w:type="dxa"/>
            </w:tcMar>
            <w:vAlign w:val="top"/>
          </w:tcPr>
          <w:p>
            <w:pPr>
              <w:spacing w:before="40" w:after="40" w:line="240"/>
              <w:ind w:right="0" w:left="0" w:firstLine="0"/>
              <w:jc w:val="center"/>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Racionalizacija potrošnje vode u zgradama u vlasništvu Op</w:t>
            </w:r>
            <w:r>
              <w:rPr>
                <w:rFonts w:ascii="Calibri" w:hAnsi="Calibri" w:cs="Calibri" w:eastAsia="Calibri"/>
                <w:b/>
                <w:color w:val="auto"/>
                <w:spacing w:val="0"/>
                <w:position w:val="0"/>
                <w:sz w:val="18"/>
                <w:shd w:fill="auto" w:val="clear"/>
              </w:rPr>
              <w:t xml:space="preserve">ćine Doboj Istok</w:t>
            </w:r>
          </w:p>
        </w:tc>
      </w:tr>
      <w:tr>
        <w:trPr>
          <w:trHeight w:val="227" w:hRule="auto"/>
          <w:jc w:val="left"/>
        </w:trPr>
        <w:tc>
          <w:tcPr>
            <w:tcW w:w="2122" w:type="dxa"/>
            <w:tcBorders>
              <w:top w:val="single" w:color="000000" w:sz="4"/>
              <w:left w:val="single" w:color="000000" w:sz="4"/>
              <w:bottom w:val="single" w:color="000000" w:sz="4"/>
              <w:right w:val="single" w:color="000000" w:sz="4"/>
            </w:tcBorders>
            <w:shd w:color="auto" w:fill="fbe4d5"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Nosilac realizacije mjere</w:t>
            </w:r>
          </w:p>
        </w:tc>
        <w:tc>
          <w:tcPr>
            <w:tcW w:w="7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125"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Op</w:t>
            </w:r>
            <w:r>
              <w:rPr>
                <w:rFonts w:ascii="Calibri" w:hAnsi="Calibri" w:cs="Calibri" w:eastAsia="Calibri"/>
                <w:color w:val="auto"/>
                <w:spacing w:val="0"/>
                <w:position w:val="0"/>
                <w:sz w:val="18"/>
                <w:shd w:fill="auto" w:val="clear"/>
              </w:rPr>
              <w:t xml:space="preserve">ćina Doboj Istok</w:t>
            </w:r>
          </w:p>
        </w:tc>
      </w:tr>
      <w:tr>
        <w:trPr>
          <w:trHeight w:val="227" w:hRule="auto"/>
          <w:jc w:val="left"/>
        </w:trPr>
        <w:tc>
          <w:tcPr>
            <w:tcW w:w="2122" w:type="dxa"/>
            <w:tcBorders>
              <w:top w:val="single" w:color="000000" w:sz="4"/>
              <w:left w:val="single" w:color="000000" w:sz="4"/>
              <w:bottom w:val="single" w:color="000000" w:sz="4"/>
              <w:right w:val="single" w:color="000000" w:sz="4"/>
            </w:tcBorders>
            <w:shd w:color="auto" w:fill="fbe4d5"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Partneri u realizaciji</w:t>
            </w:r>
          </w:p>
        </w:tc>
        <w:tc>
          <w:tcPr>
            <w:tcW w:w="7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3725"/>
              </w:numPr>
              <w:spacing w:before="40" w:after="40" w:line="240"/>
              <w:ind w:right="0" w:left="482" w:hanging="357"/>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JKP „</w:t>
            </w:r>
            <w:r>
              <w:rPr>
                <w:rFonts w:ascii="Calibri" w:hAnsi="Calibri" w:cs="Calibri" w:eastAsia="Calibri"/>
                <w:color w:val="auto"/>
                <w:spacing w:val="0"/>
                <w:position w:val="0"/>
                <w:sz w:val="18"/>
                <w:shd w:fill="auto" w:val="clear"/>
              </w:rPr>
              <w:t xml:space="preserve">ČISTO“ doo Doboj Istok</w:t>
            </w:r>
          </w:p>
        </w:tc>
      </w:tr>
      <w:tr>
        <w:trPr>
          <w:trHeight w:val="227" w:hRule="auto"/>
          <w:jc w:val="left"/>
        </w:trPr>
        <w:tc>
          <w:tcPr>
            <w:tcW w:w="2122" w:type="dxa"/>
            <w:tcBorders>
              <w:top w:val="single" w:color="000000" w:sz="4"/>
              <w:left w:val="single" w:color="000000" w:sz="4"/>
              <w:bottom w:val="single" w:color="000000" w:sz="4"/>
              <w:right w:val="single" w:color="000000" w:sz="4"/>
            </w:tcBorders>
            <w:shd w:color="auto" w:fill="fbe4d5"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Period realizacije</w:t>
            </w:r>
          </w:p>
        </w:tc>
        <w:tc>
          <w:tcPr>
            <w:tcW w:w="7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72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2024-2027.</w:t>
            </w:r>
          </w:p>
        </w:tc>
      </w:tr>
      <w:tr>
        <w:trPr>
          <w:trHeight w:val="227" w:hRule="auto"/>
          <w:jc w:val="left"/>
        </w:trPr>
        <w:tc>
          <w:tcPr>
            <w:tcW w:w="2122" w:type="dxa"/>
            <w:tcBorders>
              <w:top w:val="single" w:color="000000" w:sz="4"/>
              <w:left w:val="single" w:color="000000" w:sz="4"/>
              <w:bottom w:val="single" w:color="000000" w:sz="4"/>
              <w:right w:val="single" w:color="000000" w:sz="4"/>
            </w:tcBorders>
            <w:shd w:color="auto" w:fill="fbe4d5"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Ukupna investicija</w:t>
            </w:r>
          </w:p>
        </w:tc>
        <w:tc>
          <w:tcPr>
            <w:tcW w:w="7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72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10.000 KM</w:t>
            </w:r>
          </w:p>
        </w:tc>
      </w:tr>
      <w:tr>
        <w:trPr>
          <w:trHeight w:val="227" w:hRule="auto"/>
          <w:jc w:val="left"/>
        </w:trPr>
        <w:tc>
          <w:tcPr>
            <w:tcW w:w="2122" w:type="dxa"/>
            <w:tcBorders>
              <w:top w:val="single" w:color="000000" w:sz="4"/>
              <w:left w:val="single" w:color="000000" w:sz="4"/>
              <w:bottom w:val="single" w:color="000000" w:sz="4"/>
              <w:right w:val="single" w:color="000000" w:sz="4"/>
            </w:tcBorders>
            <w:shd w:color="auto" w:fill="fbe4d5"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Izvori financijskih sredstava</w:t>
            </w:r>
          </w:p>
        </w:tc>
        <w:tc>
          <w:tcPr>
            <w:tcW w:w="7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3734"/>
              </w:numPr>
              <w:spacing w:before="40" w:after="0" w:line="240"/>
              <w:ind w:right="0" w:left="482" w:hanging="357"/>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Budžet op</w:t>
            </w:r>
            <w:r>
              <w:rPr>
                <w:rFonts w:ascii="Calibri" w:hAnsi="Calibri" w:cs="Calibri" w:eastAsia="Calibri"/>
                <w:color w:val="auto"/>
                <w:spacing w:val="0"/>
                <w:position w:val="0"/>
                <w:sz w:val="18"/>
                <w:shd w:fill="auto" w:val="clear"/>
              </w:rPr>
              <w:t xml:space="preserve">ćine Doboj Istok</w:t>
            </w:r>
          </w:p>
          <w:p>
            <w:pPr>
              <w:numPr>
                <w:ilvl w:val="0"/>
                <w:numId w:val="3734"/>
              </w:numPr>
              <w:spacing w:before="0" w:after="40" w:line="240"/>
              <w:ind w:right="0" w:left="482" w:hanging="357"/>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Me</w:t>
            </w:r>
            <w:r>
              <w:rPr>
                <w:rFonts w:ascii="Calibri" w:hAnsi="Calibri" w:cs="Calibri" w:eastAsia="Calibri"/>
                <w:color w:val="auto"/>
                <w:spacing w:val="0"/>
                <w:position w:val="0"/>
                <w:sz w:val="18"/>
                <w:shd w:fill="auto" w:val="clear"/>
              </w:rPr>
              <w:t xml:space="preserve">đunarodni finansijeri i donatori (EU, UNDP, USAID i dr.)</w:t>
            </w:r>
          </w:p>
        </w:tc>
      </w:tr>
      <w:tr>
        <w:trPr>
          <w:trHeight w:val="548" w:hRule="auto"/>
          <w:jc w:val="left"/>
        </w:trPr>
        <w:tc>
          <w:tcPr>
            <w:tcW w:w="2122" w:type="dxa"/>
            <w:tcBorders>
              <w:top w:val="single" w:color="000000" w:sz="4"/>
              <w:left w:val="single" w:color="000000" w:sz="4"/>
              <w:bottom w:val="single" w:color="000000" w:sz="4"/>
              <w:right w:val="single" w:color="000000" w:sz="4"/>
            </w:tcBorders>
            <w:shd w:color="auto" w:fill="fbe4d5"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Kratki opis mjere</w:t>
            </w:r>
          </w:p>
        </w:tc>
        <w:tc>
          <w:tcPr>
            <w:tcW w:w="7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Voda je resurs koji je izuzetno osjetljiv na efekte klimatskih promjena, i što se ti</w:t>
            </w:r>
            <w:r>
              <w:rPr>
                <w:rFonts w:ascii="Calibri" w:hAnsi="Calibri" w:cs="Calibri" w:eastAsia="Calibri"/>
                <w:color w:val="auto"/>
                <w:spacing w:val="0"/>
                <w:position w:val="0"/>
                <w:sz w:val="18"/>
                <w:shd w:fill="auto" w:val="clear"/>
              </w:rPr>
              <w:t xml:space="preserve">če dostupnosti i kvaliteta. Dostupnost vode postaje sve veći problem, pa su mjere na očuvanju vode i njenog racionalnog korištenja neophodne. U okviru ove mjere Općina Doboj Istok će u zgradama čiji je vlasnik ili korisnik provesti aktivnosti usmjerene na racionalizaciju i smanjenje potrošnje vode. U prvoj fazi će se analizati potrošnje vode u zgradama, koja mora pokazati status postojeće infrastrukture, način njenog korištenja i mogućnosti za infrastrukturna poboljšanja te unapređenje ponašanja korisnika. Druga faza podrazumijeva provođenje konkretnih infrastrukturnih aktivnosti  uključujući ugradnju pametnih brojila sa mogućnošću daljinskih očitanja. </w:t>
            </w:r>
          </w:p>
        </w:tc>
      </w:tr>
    </w:tbl>
    <w:p>
      <w:pPr>
        <w:keepNext w:val="true"/>
        <w:keepLines w:val="true"/>
        <w:numPr>
          <w:ilvl w:val="0"/>
          <w:numId w:val="3740"/>
        </w:numPr>
        <w:spacing w:before="240" w:after="120" w:line="240"/>
        <w:ind w:right="0" w:left="720" w:hanging="72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Mjere za prilago</w:t>
      </w:r>
      <w:r>
        <w:rPr>
          <w:rFonts w:ascii="Calibri" w:hAnsi="Calibri" w:cs="Calibri" w:eastAsia="Calibri"/>
          <w:b/>
          <w:color w:val="auto"/>
          <w:spacing w:val="0"/>
          <w:position w:val="0"/>
          <w:sz w:val="24"/>
          <w:shd w:fill="auto" w:val="clear"/>
        </w:rPr>
        <w:t xml:space="preserve">đavanje na opasnosti od ekstremno visokih temperatura</w:t>
      </w:r>
    </w:p>
    <w:tbl>
      <w:tblPr/>
      <w:tblGrid>
        <w:gridCol w:w="2122"/>
        <w:gridCol w:w="7484"/>
      </w:tblGrid>
      <w:tr>
        <w:trPr>
          <w:trHeight w:val="227" w:hRule="auto"/>
          <w:jc w:val="left"/>
        </w:trPr>
        <w:tc>
          <w:tcPr>
            <w:tcW w:w="2122" w:type="dxa"/>
            <w:tcBorders>
              <w:top w:val="single" w:color="000000" w:sz="4"/>
              <w:left w:val="single" w:color="000000" w:sz="4"/>
              <w:bottom w:val="single" w:color="000000" w:sz="4"/>
              <w:right w:val="single" w:color="000000" w:sz="4"/>
            </w:tcBorders>
            <w:shd w:color="auto" w:fill="d5dce4"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Redni broj mjere</w:t>
            </w:r>
          </w:p>
        </w:tc>
        <w:tc>
          <w:tcPr>
            <w:tcW w:w="7484" w:type="dxa"/>
            <w:tcBorders>
              <w:top w:val="single" w:color="000000" w:sz="4"/>
              <w:left w:val="single" w:color="000000" w:sz="4"/>
              <w:bottom w:val="single" w:color="000000" w:sz="4"/>
              <w:right w:val="single" w:color="000000" w:sz="4"/>
            </w:tcBorders>
            <w:shd w:color="auto" w:fill="d5dce4" w:val="clear"/>
            <w:tcMar>
              <w:left w:w="108" w:type="dxa"/>
              <w:right w:w="108" w:type="dxa"/>
            </w:tcMar>
            <w:vAlign w:val="top"/>
          </w:tcPr>
          <w:p>
            <w:pPr>
              <w:spacing w:before="40" w:after="40" w:line="240"/>
              <w:ind w:right="0" w:left="0" w:firstLine="0"/>
              <w:jc w:val="center"/>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10</w:t>
            </w:r>
          </w:p>
        </w:tc>
      </w:tr>
      <w:tr>
        <w:trPr>
          <w:trHeight w:val="167" w:hRule="auto"/>
          <w:jc w:val="left"/>
        </w:trPr>
        <w:tc>
          <w:tcPr>
            <w:tcW w:w="2122" w:type="dxa"/>
            <w:tcBorders>
              <w:top w:val="single" w:color="000000" w:sz="4"/>
              <w:left w:val="single" w:color="000000" w:sz="4"/>
              <w:bottom w:val="single" w:color="000000" w:sz="4"/>
              <w:right w:val="single" w:color="000000" w:sz="4"/>
            </w:tcBorders>
            <w:shd w:color="auto" w:fill="d5dce4"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Naziv mjere</w:t>
            </w:r>
          </w:p>
        </w:tc>
        <w:tc>
          <w:tcPr>
            <w:tcW w:w="7484" w:type="dxa"/>
            <w:tcBorders>
              <w:top w:val="single" w:color="000000" w:sz="4"/>
              <w:left w:val="single" w:color="000000" w:sz="4"/>
              <w:bottom w:val="single" w:color="000000" w:sz="4"/>
              <w:right w:val="single" w:color="000000" w:sz="4"/>
            </w:tcBorders>
            <w:shd w:color="auto" w:fill="d5dce4" w:val="clear"/>
            <w:tcMar>
              <w:left w:w="108" w:type="dxa"/>
              <w:right w:w="108" w:type="dxa"/>
            </w:tcMar>
            <w:vAlign w:val="top"/>
          </w:tcPr>
          <w:p>
            <w:pPr>
              <w:spacing w:before="40" w:after="40" w:line="240"/>
              <w:ind w:right="0" w:left="0" w:firstLine="0"/>
              <w:jc w:val="center"/>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Izgradnja novih i adaptacija postoje</w:t>
            </w:r>
            <w:r>
              <w:rPr>
                <w:rFonts w:ascii="Calibri" w:hAnsi="Calibri" w:cs="Calibri" w:eastAsia="Calibri"/>
                <w:b/>
                <w:color w:val="auto"/>
                <w:spacing w:val="0"/>
                <w:position w:val="0"/>
                <w:sz w:val="18"/>
                <w:shd w:fill="auto" w:val="clear"/>
              </w:rPr>
              <w:t xml:space="preserve">ćih autobusnih stajališta sa postavljanjem nadstrešnica</w:t>
            </w:r>
          </w:p>
        </w:tc>
      </w:tr>
      <w:tr>
        <w:trPr>
          <w:trHeight w:val="229" w:hRule="auto"/>
          <w:jc w:val="left"/>
        </w:trPr>
        <w:tc>
          <w:tcPr>
            <w:tcW w:w="2122" w:type="dxa"/>
            <w:tcBorders>
              <w:top w:val="single" w:color="000000" w:sz="4"/>
              <w:left w:val="single" w:color="000000" w:sz="4"/>
              <w:bottom w:val="single" w:color="000000" w:sz="4"/>
              <w:right w:val="single" w:color="000000" w:sz="4"/>
            </w:tcBorders>
            <w:shd w:color="auto" w:fill="fbe4d5"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Nosilac realizacije mjere</w:t>
            </w:r>
          </w:p>
        </w:tc>
        <w:tc>
          <w:tcPr>
            <w:tcW w:w="7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125"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Op</w:t>
            </w:r>
            <w:r>
              <w:rPr>
                <w:rFonts w:ascii="Calibri" w:hAnsi="Calibri" w:cs="Calibri" w:eastAsia="Calibri"/>
                <w:color w:val="auto"/>
                <w:spacing w:val="0"/>
                <w:position w:val="0"/>
                <w:sz w:val="18"/>
                <w:shd w:fill="auto" w:val="clear"/>
              </w:rPr>
              <w:t xml:space="preserve">ćina Doboj Istok</w:t>
            </w:r>
          </w:p>
        </w:tc>
      </w:tr>
      <w:tr>
        <w:trPr>
          <w:trHeight w:val="395" w:hRule="auto"/>
          <w:jc w:val="left"/>
        </w:trPr>
        <w:tc>
          <w:tcPr>
            <w:tcW w:w="2122" w:type="dxa"/>
            <w:tcBorders>
              <w:top w:val="single" w:color="000000" w:sz="4"/>
              <w:left w:val="single" w:color="000000" w:sz="4"/>
              <w:bottom w:val="single" w:color="000000" w:sz="4"/>
              <w:right w:val="single" w:color="000000" w:sz="4"/>
            </w:tcBorders>
            <w:shd w:color="auto" w:fill="fbe4d5"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Partneri u realizaciji</w:t>
            </w:r>
          </w:p>
        </w:tc>
        <w:tc>
          <w:tcPr>
            <w:tcW w:w="7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3755"/>
              </w:numPr>
              <w:spacing w:before="40" w:after="0" w:line="240"/>
              <w:ind w:right="0" w:left="482"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Mjesne zajednice i gra</w:t>
            </w:r>
            <w:r>
              <w:rPr>
                <w:rFonts w:ascii="Calibri" w:hAnsi="Calibri" w:cs="Calibri" w:eastAsia="Calibri"/>
                <w:color w:val="auto"/>
                <w:spacing w:val="0"/>
                <w:position w:val="0"/>
                <w:sz w:val="18"/>
                <w:shd w:fill="auto" w:val="clear"/>
              </w:rPr>
              <w:t xml:space="preserve">đani </w:t>
            </w:r>
          </w:p>
          <w:p>
            <w:pPr>
              <w:numPr>
                <w:ilvl w:val="0"/>
                <w:numId w:val="3755"/>
              </w:numPr>
              <w:spacing w:before="0" w:after="40" w:line="240"/>
              <w:ind w:right="0" w:left="482" w:hanging="357"/>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Javni prevoznici</w:t>
            </w:r>
          </w:p>
        </w:tc>
      </w:tr>
      <w:tr>
        <w:trPr>
          <w:trHeight w:val="227" w:hRule="auto"/>
          <w:jc w:val="left"/>
        </w:trPr>
        <w:tc>
          <w:tcPr>
            <w:tcW w:w="2122" w:type="dxa"/>
            <w:tcBorders>
              <w:top w:val="single" w:color="000000" w:sz="4"/>
              <w:left w:val="single" w:color="000000" w:sz="4"/>
              <w:bottom w:val="single" w:color="000000" w:sz="4"/>
              <w:right w:val="single" w:color="000000" w:sz="4"/>
            </w:tcBorders>
            <w:shd w:color="auto" w:fill="fbe4d5"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Period realizacije</w:t>
            </w:r>
          </w:p>
        </w:tc>
        <w:tc>
          <w:tcPr>
            <w:tcW w:w="7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72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2024-2029.</w:t>
            </w:r>
          </w:p>
        </w:tc>
      </w:tr>
      <w:tr>
        <w:trPr>
          <w:trHeight w:val="227" w:hRule="auto"/>
          <w:jc w:val="left"/>
        </w:trPr>
        <w:tc>
          <w:tcPr>
            <w:tcW w:w="2122" w:type="dxa"/>
            <w:tcBorders>
              <w:top w:val="single" w:color="000000" w:sz="4"/>
              <w:left w:val="single" w:color="000000" w:sz="4"/>
              <w:bottom w:val="single" w:color="000000" w:sz="4"/>
              <w:right w:val="single" w:color="000000" w:sz="4"/>
            </w:tcBorders>
            <w:shd w:color="auto" w:fill="fbe4d5"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Ukupna investicija</w:t>
            </w:r>
          </w:p>
        </w:tc>
        <w:tc>
          <w:tcPr>
            <w:tcW w:w="7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72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10.000 KM</w:t>
            </w:r>
          </w:p>
        </w:tc>
      </w:tr>
      <w:tr>
        <w:trPr>
          <w:trHeight w:val="227" w:hRule="auto"/>
          <w:jc w:val="left"/>
        </w:trPr>
        <w:tc>
          <w:tcPr>
            <w:tcW w:w="2122" w:type="dxa"/>
            <w:tcBorders>
              <w:top w:val="single" w:color="000000" w:sz="4"/>
              <w:left w:val="single" w:color="000000" w:sz="4"/>
              <w:bottom w:val="single" w:color="000000" w:sz="4"/>
              <w:right w:val="single" w:color="000000" w:sz="4"/>
            </w:tcBorders>
            <w:shd w:color="auto" w:fill="fbe4d5" w:val="clear"/>
            <w:tcMar>
              <w:left w:w="108" w:type="dxa"/>
              <w:right w:w="108" w:type="dxa"/>
            </w:tcMar>
            <w:vAlign w:val="top"/>
          </w:tcPr>
          <w:p>
            <w:pPr>
              <w:spacing w:before="40" w:after="40" w:line="240"/>
              <w:ind w:right="0" w:left="0" w:firstLine="0"/>
              <w:jc w:val="left"/>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Izvori financijskih sredstava</w:t>
            </w:r>
          </w:p>
        </w:tc>
        <w:tc>
          <w:tcPr>
            <w:tcW w:w="7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3766"/>
              </w:numPr>
              <w:spacing w:before="40" w:after="0" w:line="240"/>
              <w:ind w:right="0" w:left="482" w:hanging="357"/>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Budžet Op</w:t>
            </w:r>
            <w:r>
              <w:rPr>
                <w:rFonts w:ascii="Calibri" w:hAnsi="Calibri" w:cs="Calibri" w:eastAsia="Calibri"/>
                <w:color w:val="auto"/>
                <w:spacing w:val="0"/>
                <w:position w:val="0"/>
                <w:sz w:val="18"/>
                <w:shd w:fill="auto" w:val="clear"/>
              </w:rPr>
              <w:t xml:space="preserve">ćine Doboj Istok</w:t>
            </w:r>
          </w:p>
          <w:p>
            <w:pPr>
              <w:numPr>
                <w:ilvl w:val="0"/>
                <w:numId w:val="3766"/>
              </w:numPr>
              <w:spacing w:before="0" w:after="40" w:line="240"/>
              <w:ind w:right="0" w:left="482" w:hanging="357"/>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Me</w:t>
            </w:r>
            <w:r>
              <w:rPr>
                <w:rFonts w:ascii="Calibri" w:hAnsi="Calibri" w:cs="Calibri" w:eastAsia="Calibri"/>
                <w:color w:val="auto"/>
                <w:spacing w:val="0"/>
                <w:position w:val="0"/>
                <w:sz w:val="18"/>
                <w:shd w:fill="auto" w:val="clear"/>
              </w:rPr>
              <w:t xml:space="preserve">đunarodni finansijeri i donatori (EU, UNDP, USAID i dr.)</w:t>
            </w:r>
          </w:p>
        </w:tc>
      </w:tr>
      <w:tr>
        <w:trPr>
          <w:trHeight w:val="1833" w:hRule="auto"/>
          <w:jc w:val="left"/>
        </w:trPr>
        <w:tc>
          <w:tcPr>
            <w:tcW w:w="2122" w:type="dxa"/>
            <w:tcBorders>
              <w:top w:val="single" w:color="000000" w:sz="4"/>
              <w:left w:val="single" w:color="000000" w:sz="4"/>
              <w:bottom w:val="single" w:color="000000" w:sz="4"/>
              <w:right w:val="single" w:color="000000" w:sz="4"/>
            </w:tcBorders>
            <w:shd w:color="auto" w:fill="fbe4d5"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Kratki opis mjere</w:t>
            </w:r>
          </w:p>
        </w:tc>
        <w:tc>
          <w:tcPr>
            <w:tcW w:w="7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Toplotni valovi su posljedica klimatskih promjena koja ima brojne zna</w:t>
            </w:r>
            <w:r>
              <w:rPr>
                <w:rFonts w:ascii="Calibri" w:hAnsi="Calibri" w:cs="Calibri" w:eastAsia="Calibri"/>
                <w:color w:val="auto"/>
                <w:spacing w:val="0"/>
                <w:position w:val="0"/>
                <w:sz w:val="18"/>
                <w:shd w:fill="auto" w:val="clear"/>
              </w:rPr>
              <w:t xml:space="preserve">čajne efekte na svakodnevni život, možda najizraženije na putnike u javnom prijevozu (najviše djecu i mlade), koji predstavljaju ozbiljnu prijetnju po zdravlje. Zbog toga je cilj ove mjere osigurati zaštitu putnika od direktnog izlaganja suncu postavljanjem nadstrešnica na autobusnim stajalištima. U prvoj fazi realizacije mjere je potrebno mapirati postojeće stanje na stajalištima, i planirati postupno zamjenu postojećih i izgradnju novih nadstrešnica koje pružaju odgovarajuću zaštitu od direktnog osunčavanja. Pri odabiru tipa nadstrešnica i materijala za njihovu uzradu, prednost treba dati korištenju zelenih materijala i tehnologija gdje god je to moguće.</w:t>
            </w:r>
          </w:p>
        </w:tc>
      </w:tr>
    </w:tbl>
    <w:p>
      <w:pPr>
        <w:spacing w:before="120" w:after="120" w:line="240"/>
        <w:ind w:right="0" w:left="0" w:firstLine="0"/>
        <w:jc w:val="both"/>
        <w:rPr>
          <w:rFonts w:ascii="Calibri" w:hAnsi="Calibri" w:cs="Calibri" w:eastAsia="Calibri"/>
          <w:color w:val="auto"/>
          <w:spacing w:val="0"/>
          <w:position w:val="0"/>
          <w:sz w:val="22"/>
          <w:shd w:fill="auto" w:val="clear"/>
        </w:rPr>
      </w:pPr>
    </w:p>
    <w:tbl>
      <w:tblPr/>
      <w:tblGrid>
        <w:gridCol w:w="2122"/>
        <w:gridCol w:w="7484"/>
      </w:tblGrid>
      <w:tr>
        <w:trPr>
          <w:trHeight w:val="227" w:hRule="auto"/>
          <w:jc w:val="left"/>
        </w:trPr>
        <w:tc>
          <w:tcPr>
            <w:tcW w:w="2122" w:type="dxa"/>
            <w:tcBorders>
              <w:top w:val="single" w:color="000000" w:sz="4"/>
              <w:left w:val="single" w:color="000000" w:sz="4"/>
              <w:bottom w:val="single" w:color="000000" w:sz="4"/>
              <w:right w:val="single" w:color="000000" w:sz="4"/>
            </w:tcBorders>
            <w:shd w:color="auto" w:fill="d5dce4"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Redni broj mjere</w:t>
            </w:r>
          </w:p>
        </w:tc>
        <w:tc>
          <w:tcPr>
            <w:tcW w:w="7484" w:type="dxa"/>
            <w:tcBorders>
              <w:top w:val="single" w:color="000000" w:sz="4"/>
              <w:left w:val="single" w:color="000000" w:sz="4"/>
              <w:bottom w:val="single" w:color="000000" w:sz="4"/>
              <w:right w:val="single" w:color="000000" w:sz="4"/>
            </w:tcBorders>
            <w:shd w:color="auto" w:fill="d5dce4" w:val="clear"/>
            <w:tcMar>
              <w:left w:w="108" w:type="dxa"/>
              <w:right w:w="108" w:type="dxa"/>
            </w:tcMar>
            <w:vAlign w:val="top"/>
          </w:tcPr>
          <w:p>
            <w:pPr>
              <w:spacing w:before="40" w:after="40" w:line="240"/>
              <w:ind w:right="0" w:left="0" w:firstLine="0"/>
              <w:jc w:val="center"/>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11</w:t>
            </w:r>
          </w:p>
        </w:tc>
      </w:tr>
      <w:tr>
        <w:trPr>
          <w:trHeight w:val="283" w:hRule="auto"/>
          <w:jc w:val="left"/>
        </w:trPr>
        <w:tc>
          <w:tcPr>
            <w:tcW w:w="2122" w:type="dxa"/>
            <w:tcBorders>
              <w:top w:val="single" w:color="000000" w:sz="4"/>
              <w:left w:val="single" w:color="000000" w:sz="4"/>
              <w:bottom w:val="single" w:color="000000" w:sz="4"/>
              <w:right w:val="single" w:color="000000" w:sz="4"/>
            </w:tcBorders>
            <w:shd w:color="auto" w:fill="d5dce4"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Naziv mjere</w:t>
            </w:r>
          </w:p>
        </w:tc>
        <w:tc>
          <w:tcPr>
            <w:tcW w:w="7484" w:type="dxa"/>
            <w:tcBorders>
              <w:top w:val="single" w:color="000000" w:sz="4"/>
              <w:left w:val="single" w:color="000000" w:sz="4"/>
              <w:bottom w:val="single" w:color="000000" w:sz="4"/>
              <w:right w:val="single" w:color="000000" w:sz="4"/>
            </w:tcBorders>
            <w:shd w:color="auto" w:fill="d5dce4" w:val="clear"/>
            <w:tcMar>
              <w:left w:w="108" w:type="dxa"/>
              <w:right w:w="108" w:type="dxa"/>
            </w:tcMar>
            <w:vAlign w:val="top"/>
          </w:tcPr>
          <w:p>
            <w:pPr>
              <w:spacing w:before="40" w:after="40" w:line="240"/>
              <w:ind w:right="0" w:left="0" w:firstLine="0"/>
              <w:jc w:val="center"/>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Klimatizirana vozila javnog prevoza kao standard</w:t>
            </w:r>
          </w:p>
        </w:tc>
      </w:tr>
      <w:tr>
        <w:trPr>
          <w:trHeight w:val="227" w:hRule="auto"/>
          <w:jc w:val="left"/>
        </w:trPr>
        <w:tc>
          <w:tcPr>
            <w:tcW w:w="2122" w:type="dxa"/>
            <w:tcBorders>
              <w:top w:val="single" w:color="000000" w:sz="4"/>
              <w:left w:val="single" w:color="000000" w:sz="4"/>
              <w:bottom w:val="single" w:color="000000" w:sz="4"/>
              <w:right w:val="single" w:color="000000" w:sz="4"/>
            </w:tcBorders>
            <w:shd w:color="auto" w:fill="fbe4d5"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Nosilac realizacije mjere</w:t>
            </w:r>
          </w:p>
        </w:tc>
        <w:tc>
          <w:tcPr>
            <w:tcW w:w="7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Op</w:t>
            </w:r>
            <w:r>
              <w:rPr>
                <w:rFonts w:ascii="Calibri" w:hAnsi="Calibri" w:cs="Calibri" w:eastAsia="Calibri"/>
                <w:color w:val="auto"/>
                <w:spacing w:val="0"/>
                <w:position w:val="0"/>
                <w:sz w:val="18"/>
                <w:shd w:fill="auto" w:val="clear"/>
              </w:rPr>
              <w:t xml:space="preserve">ćina Doboj Istok</w:t>
            </w:r>
          </w:p>
        </w:tc>
      </w:tr>
      <w:tr>
        <w:trPr>
          <w:trHeight w:val="227" w:hRule="auto"/>
          <w:jc w:val="left"/>
        </w:trPr>
        <w:tc>
          <w:tcPr>
            <w:tcW w:w="2122" w:type="dxa"/>
            <w:tcBorders>
              <w:top w:val="single" w:color="000000" w:sz="4"/>
              <w:left w:val="single" w:color="000000" w:sz="4"/>
              <w:bottom w:val="single" w:color="000000" w:sz="4"/>
              <w:right w:val="single" w:color="000000" w:sz="4"/>
            </w:tcBorders>
            <w:shd w:color="auto" w:fill="fbe4d5"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Partneri u realizaciji</w:t>
            </w:r>
          </w:p>
        </w:tc>
        <w:tc>
          <w:tcPr>
            <w:tcW w:w="7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3785"/>
              </w:numPr>
              <w:spacing w:before="40" w:after="40" w:line="240"/>
              <w:ind w:right="0" w:left="496" w:hanging="360"/>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Javni prijevoznici</w:t>
            </w:r>
          </w:p>
        </w:tc>
      </w:tr>
      <w:tr>
        <w:trPr>
          <w:trHeight w:val="227" w:hRule="auto"/>
          <w:jc w:val="left"/>
        </w:trPr>
        <w:tc>
          <w:tcPr>
            <w:tcW w:w="2122" w:type="dxa"/>
            <w:tcBorders>
              <w:top w:val="single" w:color="000000" w:sz="4"/>
              <w:left w:val="single" w:color="000000" w:sz="4"/>
              <w:bottom w:val="single" w:color="000000" w:sz="4"/>
              <w:right w:val="single" w:color="000000" w:sz="4"/>
            </w:tcBorders>
            <w:shd w:color="auto" w:fill="fbe4d5"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Period realizacije</w:t>
            </w:r>
          </w:p>
        </w:tc>
        <w:tc>
          <w:tcPr>
            <w:tcW w:w="7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72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2021-2030.</w:t>
            </w:r>
          </w:p>
        </w:tc>
      </w:tr>
      <w:tr>
        <w:trPr>
          <w:trHeight w:val="227" w:hRule="auto"/>
          <w:jc w:val="left"/>
        </w:trPr>
        <w:tc>
          <w:tcPr>
            <w:tcW w:w="2122" w:type="dxa"/>
            <w:tcBorders>
              <w:top w:val="single" w:color="000000" w:sz="4"/>
              <w:left w:val="single" w:color="000000" w:sz="4"/>
              <w:bottom w:val="single" w:color="000000" w:sz="4"/>
              <w:right w:val="single" w:color="000000" w:sz="4"/>
            </w:tcBorders>
            <w:shd w:color="auto" w:fill="fbe4d5"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Ukupna investicija</w:t>
            </w:r>
          </w:p>
        </w:tc>
        <w:tc>
          <w:tcPr>
            <w:tcW w:w="7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Mjera se ostvaruje kroz druge aktivnosti, prvenstveno kroz obnovu i modernizaciju voznog parka</w:t>
            </w:r>
          </w:p>
        </w:tc>
      </w:tr>
      <w:tr>
        <w:trPr>
          <w:trHeight w:val="227" w:hRule="auto"/>
          <w:jc w:val="left"/>
        </w:trPr>
        <w:tc>
          <w:tcPr>
            <w:tcW w:w="2122" w:type="dxa"/>
            <w:tcBorders>
              <w:top w:val="single" w:color="000000" w:sz="4"/>
              <w:left w:val="single" w:color="000000" w:sz="4"/>
              <w:bottom w:val="single" w:color="000000" w:sz="4"/>
              <w:right w:val="single" w:color="000000" w:sz="4"/>
            </w:tcBorders>
            <w:shd w:color="auto" w:fill="fbe4d5" w:val="clear"/>
            <w:tcMar>
              <w:left w:w="108" w:type="dxa"/>
              <w:right w:w="108" w:type="dxa"/>
            </w:tcMar>
            <w:vAlign w:val="top"/>
          </w:tcPr>
          <w:p>
            <w:pPr>
              <w:spacing w:before="40" w:after="40" w:line="240"/>
              <w:ind w:right="0" w:left="0" w:firstLine="0"/>
              <w:jc w:val="left"/>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Izvori financijskih sredstava</w:t>
            </w:r>
          </w:p>
        </w:tc>
        <w:tc>
          <w:tcPr>
            <w:tcW w:w="7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3793"/>
              </w:numPr>
              <w:spacing w:before="40" w:after="0" w:line="240"/>
              <w:ind w:right="0" w:left="482" w:hanging="357"/>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Vlastita sredstva javnih prevoznika</w:t>
            </w:r>
          </w:p>
          <w:p>
            <w:pPr>
              <w:numPr>
                <w:ilvl w:val="0"/>
                <w:numId w:val="3793"/>
              </w:numPr>
              <w:spacing w:before="0" w:after="40" w:line="240"/>
              <w:ind w:right="0" w:left="482" w:hanging="357"/>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Me</w:t>
            </w:r>
            <w:r>
              <w:rPr>
                <w:rFonts w:ascii="Calibri" w:hAnsi="Calibri" w:cs="Calibri" w:eastAsia="Calibri"/>
                <w:color w:val="auto"/>
                <w:spacing w:val="0"/>
                <w:position w:val="0"/>
                <w:sz w:val="18"/>
                <w:shd w:fill="auto" w:val="clear"/>
              </w:rPr>
              <w:t xml:space="preserve">đunarodni finansijeri i donatori (EU, UNDP, USAID i dr.)</w:t>
            </w:r>
          </w:p>
        </w:tc>
      </w:tr>
      <w:tr>
        <w:trPr>
          <w:trHeight w:val="638" w:hRule="auto"/>
          <w:jc w:val="left"/>
        </w:trPr>
        <w:tc>
          <w:tcPr>
            <w:tcW w:w="2122" w:type="dxa"/>
            <w:tcBorders>
              <w:top w:val="single" w:color="000000" w:sz="4"/>
              <w:left w:val="single" w:color="000000" w:sz="4"/>
              <w:bottom w:val="single" w:color="000000" w:sz="4"/>
              <w:right w:val="single" w:color="000000" w:sz="4"/>
            </w:tcBorders>
            <w:shd w:color="auto" w:fill="fbe4d5"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Kratki opis mjere</w:t>
            </w:r>
          </w:p>
        </w:tc>
        <w:tc>
          <w:tcPr>
            <w:tcW w:w="7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Toplotni valovi su jedna od manifestacija klimatskih promjena koja ima zna</w:t>
            </w:r>
            <w:r>
              <w:rPr>
                <w:rFonts w:ascii="Calibri" w:hAnsi="Calibri" w:cs="Calibri" w:eastAsia="Calibri"/>
                <w:color w:val="auto"/>
                <w:spacing w:val="0"/>
                <w:position w:val="0"/>
                <w:sz w:val="18"/>
                <w:shd w:fill="auto" w:val="clear"/>
              </w:rPr>
              <w:t xml:space="preserve">čajan efekat na brojne aspekte svakodnevnog života, možda najizraženije na putnike u javnom prijevozu, te mogu predstavljati ozbiljnu prijetnju po ljudsko zdravlje. Najveći broj putnika u javnom prijvozu su  učenici, djeca i mladi kao veoma ugrožene kategorije. Istraživanja pokazuju da temperature u vozilima, na vrhuncu toplotnih valova mogu biti mnogo više u odnosu na temperaturu zraka van vozila. Zbog toga je cilj ove mjere osigurati dostupnost klimatizacije u svim vozilima javnog prijevoza. Upotreba klimatizacijskih uređaja mora biti racionalna, jer njihova upotreba uzrokuje veću potrošnju energije a time i veće emisije CO</w:t>
            </w:r>
            <w:r>
              <w:rPr>
                <w:rFonts w:ascii="Calibri" w:hAnsi="Calibri" w:cs="Calibri" w:eastAsia="Calibri"/>
                <w:color w:val="auto"/>
                <w:spacing w:val="0"/>
                <w:position w:val="0"/>
                <w:sz w:val="18"/>
                <w:shd w:fill="auto" w:val="clear"/>
                <w:vertAlign w:val="subscript"/>
              </w:rPr>
              <w:t xml:space="preserve">2</w:t>
            </w:r>
            <w:r>
              <w:rPr>
                <w:rFonts w:ascii="Calibri" w:hAnsi="Calibri" w:cs="Calibri" w:eastAsia="Calibri"/>
                <w:color w:val="auto"/>
                <w:spacing w:val="0"/>
                <w:position w:val="0"/>
                <w:sz w:val="18"/>
                <w:shd w:fill="auto" w:val="clear"/>
              </w:rPr>
              <w:t xml:space="preserve">. U svakom slučaju, klimatizacijski uređaji predstavljaju prihvatljiv kompromis kada je u pitanju zaštita zdravlja ljudi.</w:t>
            </w:r>
          </w:p>
        </w:tc>
      </w:tr>
    </w:tbl>
    <w:p>
      <w:pPr>
        <w:spacing w:before="120" w:after="120" w:line="240"/>
        <w:ind w:right="0" w:left="0" w:firstLine="0"/>
        <w:jc w:val="both"/>
        <w:rPr>
          <w:rFonts w:ascii="Calibri" w:hAnsi="Calibri" w:cs="Calibri" w:eastAsia="Calibri"/>
          <w:color w:val="auto"/>
          <w:spacing w:val="0"/>
          <w:position w:val="0"/>
          <w:sz w:val="22"/>
          <w:shd w:fill="auto" w:val="clear"/>
        </w:rPr>
      </w:pPr>
    </w:p>
    <w:tbl>
      <w:tblPr/>
      <w:tblGrid>
        <w:gridCol w:w="2122"/>
        <w:gridCol w:w="7484"/>
      </w:tblGrid>
      <w:tr>
        <w:trPr>
          <w:trHeight w:val="184" w:hRule="auto"/>
          <w:jc w:val="left"/>
        </w:trPr>
        <w:tc>
          <w:tcPr>
            <w:tcW w:w="2122" w:type="dxa"/>
            <w:tcBorders>
              <w:top w:val="single" w:color="000000" w:sz="4"/>
              <w:left w:val="single" w:color="000000" w:sz="4"/>
              <w:bottom w:val="single" w:color="000000" w:sz="4"/>
              <w:right w:val="single" w:color="000000" w:sz="4"/>
            </w:tcBorders>
            <w:shd w:color="auto" w:fill="d5dce4"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Redni broj mjere</w:t>
            </w:r>
          </w:p>
        </w:tc>
        <w:tc>
          <w:tcPr>
            <w:tcW w:w="7484" w:type="dxa"/>
            <w:tcBorders>
              <w:top w:val="single" w:color="000000" w:sz="4"/>
              <w:left w:val="single" w:color="000000" w:sz="4"/>
              <w:bottom w:val="single" w:color="000000" w:sz="4"/>
              <w:right w:val="single" w:color="000000" w:sz="4"/>
            </w:tcBorders>
            <w:shd w:color="auto" w:fill="d5dce4" w:val="clear"/>
            <w:tcMar>
              <w:left w:w="108" w:type="dxa"/>
              <w:right w:w="108" w:type="dxa"/>
            </w:tcMar>
            <w:vAlign w:val="top"/>
          </w:tcPr>
          <w:p>
            <w:pPr>
              <w:spacing w:before="40" w:after="40" w:line="240"/>
              <w:ind w:right="0" w:left="0" w:firstLine="0"/>
              <w:jc w:val="center"/>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12</w:t>
            </w:r>
          </w:p>
        </w:tc>
      </w:tr>
      <w:tr>
        <w:trPr>
          <w:trHeight w:val="276" w:hRule="auto"/>
          <w:jc w:val="left"/>
        </w:trPr>
        <w:tc>
          <w:tcPr>
            <w:tcW w:w="2122" w:type="dxa"/>
            <w:tcBorders>
              <w:top w:val="single" w:color="000000" w:sz="4"/>
              <w:left w:val="single" w:color="000000" w:sz="4"/>
              <w:bottom w:val="single" w:color="000000" w:sz="4"/>
              <w:right w:val="single" w:color="000000" w:sz="4"/>
            </w:tcBorders>
            <w:shd w:color="auto" w:fill="d5dce4"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Naziv mjere</w:t>
            </w:r>
          </w:p>
        </w:tc>
        <w:tc>
          <w:tcPr>
            <w:tcW w:w="7484" w:type="dxa"/>
            <w:tcBorders>
              <w:top w:val="single" w:color="000000" w:sz="4"/>
              <w:left w:val="single" w:color="000000" w:sz="4"/>
              <w:bottom w:val="single" w:color="000000" w:sz="4"/>
              <w:right w:val="single" w:color="000000" w:sz="4"/>
            </w:tcBorders>
            <w:shd w:color="auto" w:fill="d5dce4" w:val="clear"/>
            <w:tcMar>
              <w:left w:w="108" w:type="dxa"/>
              <w:right w:w="108" w:type="dxa"/>
            </w:tcMar>
            <w:vAlign w:val="top"/>
          </w:tcPr>
          <w:p>
            <w:pPr>
              <w:spacing w:before="40" w:after="40" w:line="240"/>
              <w:ind w:right="0" w:left="0" w:firstLine="0"/>
              <w:jc w:val="center"/>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Integracija koncepta zelene infrastrukture u procese prostornog planiranja</w:t>
            </w:r>
          </w:p>
        </w:tc>
      </w:tr>
      <w:tr>
        <w:trPr>
          <w:trHeight w:val="110" w:hRule="auto"/>
          <w:jc w:val="left"/>
        </w:trPr>
        <w:tc>
          <w:tcPr>
            <w:tcW w:w="2122" w:type="dxa"/>
            <w:tcBorders>
              <w:top w:val="single" w:color="000000" w:sz="4"/>
              <w:left w:val="single" w:color="000000" w:sz="4"/>
              <w:bottom w:val="single" w:color="000000" w:sz="4"/>
              <w:right w:val="single" w:color="000000" w:sz="4"/>
            </w:tcBorders>
            <w:shd w:color="auto" w:fill="fbe4d5"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Nosilac realizacije mjere</w:t>
            </w:r>
          </w:p>
        </w:tc>
        <w:tc>
          <w:tcPr>
            <w:tcW w:w="7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125"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Op</w:t>
            </w:r>
            <w:r>
              <w:rPr>
                <w:rFonts w:ascii="Calibri" w:hAnsi="Calibri" w:cs="Calibri" w:eastAsia="Calibri"/>
                <w:color w:val="auto"/>
                <w:spacing w:val="0"/>
                <w:position w:val="0"/>
                <w:sz w:val="18"/>
                <w:shd w:fill="auto" w:val="clear"/>
              </w:rPr>
              <w:t xml:space="preserve">ćina Doboj Istok</w:t>
            </w:r>
          </w:p>
        </w:tc>
      </w:tr>
      <w:tr>
        <w:trPr>
          <w:trHeight w:val="227" w:hRule="auto"/>
          <w:jc w:val="left"/>
        </w:trPr>
        <w:tc>
          <w:tcPr>
            <w:tcW w:w="2122" w:type="dxa"/>
            <w:tcBorders>
              <w:top w:val="single" w:color="000000" w:sz="4"/>
              <w:left w:val="single" w:color="000000" w:sz="4"/>
              <w:bottom w:val="single" w:color="000000" w:sz="4"/>
              <w:right w:val="single" w:color="000000" w:sz="4"/>
            </w:tcBorders>
            <w:shd w:color="auto" w:fill="fbe4d5"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Partneri u realizaciji</w:t>
            </w:r>
          </w:p>
        </w:tc>
        <w:tc>
          <w:tcPr>
            <w:tcW w:w="7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3814"/>
              </w:numPr>
              <w:spacing w:before="40" w:after="40" w:line="240"/>
              <w:ind w:right="0" w:left="482" w:hanging="357"/>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Vlada Tuzlanskog kantona</w:t>
            </w:r>
          </w:p>
        </w:tc>
      </w:tr>
      <w:tr>
        <w:trPr>
          <w:trHeight w:val="227" w:hRule="auto"/>
          <w:jc w:val="left"/>
        </w:trPr>
        <w:tc>
          <w:tcPr>
            <w:tcW w:w="2122" w:type="dxa"/>
            <w:tcBorders>
              <w:top w:val="single" w:color="000000" w:sz="4"/>
              <w:left w:val="single" w:color="000000" w:sz="4"/>
              <w:bottom w:val="single" w:color="000000" w:sz="4"/>
              <w:right w:val="single" w:color="000000" w:sz="4"/>
            </w:tcBorders>
            <w:shd w:color="auto" w:fill="fbe4d5"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Period realizacije</w:t>
            </w:r>
          </w:p>
        </w:tc>
        <w:tc>
          <w:tcPr>
            <w:tcW w:w="7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72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2022-2030.</w:t>
            </w:r>
          </w:p>
        </w:tc>
      </w:tr>
      <w:tr>
        <w:trPr>
          <w:trHeight w:val="227" w:hRule="auto"/>
          <w:jc w:val="left"/>
        </w:trPr>
        <w:tc>
          <w:tcPr>
            <w:tcW w:w="2122" w:type="dxa"/>
            <w:tcBorders>
              <w:top w:val="single" w:color="000000" w:sz="4"/>
              <w:left w:val="single" w:color="000000" w:sz="4"/>
              <w:bottom w:val="single" w:color="000000" w:sz="4"/>
              <w:right w:val="single" w:color="000000" w:sz="4"/>
            </w:tcBorders>
            <w:shd w:color="auto" w:fill="fbe4d5"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Ukupna investicija</w:t>
            </w:r>
          </w:p>
        </w:tc>
        <w:tc>
          <w:tcPr>
            <w:tcW w:w="7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72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10.000 KM</w:t>
            </w:r>
          </w:p>
        </w:tc>
      </w:tr>
      <w:tr>
        <w:trPr>
          <w:trHeight w:val="227" w:hRule="auto"/>
          <w:jc w:val="left"/>
        </w:trPr>
        <w:tc>
          <w:tcPr>
            <w:tcW w:w="2122" w:type="dxa"/>
            <w:tcBorders>
              <w:top w:val="single" w:color="000000" w:sz="4"/>
              <w:left w:val="single" w:color="000000" w:sz="4"/>
              <w:bottom w:val="single" w:color="000000" w:sz="4"/>
              <w:right w:val="single" w:color="000000" w:sz="4"/>
            </w:tcBorders>
            <w:shd w:color="auto" w:fill="fbe4d5" w:val="clear"/>
            <w:tcMar>
              <w:left w:w="108" w:type="dxa"/>
              <w:right w:w="108" w:type="dxa"/>
            </w:tcMar>
            <w:vAlign w:val="top"/>
          </w:tcPr>
          <w:p>
            <w:pPr>
              <w:spacing w:before="40" w:after="40" w:line="240"/>
              <w:ind w:right="0" w:left="0" w:firstLine="0"/>
              <w:jc w:val="left"/>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Izvor sredstava</w:t>
            </w:r>
          </w:p>
        </w:tc>
        <w:tc>
          <w:tcPr>
            <w:tcW w:w="7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3823"/>
              </w:numPr>
              <w:spacing w:before="40" w:after="40" w:line="240"/>
              <w:ind w:right="0" w:left="482" w:hanging="357"/>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Budžet Op</w:t>
            </w:r>
            <w:r>
              <w:rPr>
                <w:rFonts w:ascii="Calibri" w:hAnsi="Calibri" w:cs="Calibri" w:eastAsia="Calibri"/>
                <w:color w:val="auto"/>
                <w:spacing w:val="0"/>
                <w:position w:val="0"/>
                <w:sz w:val="18"/>
                <w:shd w:fill="auto" w:val="clear"/>
              </w:rPr>
              <w:t xml:space="preserve">ćine Doboj Istok</w:t>
            </w:r>
          </w:p>
        </w:tc>
      </w:tr>
      <w:tr>
        <w:trPr>
          <w:trHeight w:val="416" w:hRule="auto"/>
          <w:jc w:val="left"/>
        </w:trPr>
        <w:tc>
          <w:tcPr>
            <w:tcW w:w="2122" w:type="dxa"/>
            <w:tcBorders>
              <w:top w:val="single" w:color="000000" w:sz="4"/>
              <w:left w:val="single" w:color="000000" w:sz="4"/>
              <w:bottom w:val="single" w:color="000000" w:sz="4"/>
              <w:right w:val="single" w:color="000000" w:sz="4"/>
            </w:tcBorders>
            <w:shd w:color="auto" w:fill="fbe4d5"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Kratki opis mjere</w:t>
            </w:r>
          </w:p>
        </w:tc>
        <w:tc>
          <w:tcPr>
            <w:tcW w:w="7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Koncept zelene infrastrukture je neophodno integrirati u procese i politike prostornog planiranja i druge strateške dokumente. Preporu</w:t>
            </w:r>
            <w:r>
              <w:rPr>
                <w:rFonts w:ascii="Calibri" w:hAnsi="Calibri" w:cs="Calibri" w:eastAsia="Calibri"/>
                <w:color w:val="auto"/>
                <w:spacing w:val="0"/>
                <w:position w:val="0"/>
                <w:sz w:val="18"/>
                <w:shd w:fill="auto" w:val="clear"/>
              </w:rPr>
              <w:t xml:space="preserve">čuje se da se prilikom izmjena i dopuna planskih dokumenata, kao što su prostorni i regulacioni planovi, posebna pažnja posveti zelenoj infrastrukturi kao značajnom elementu u organizaciji prostora. Cilj ove mjere je strateški planirati i sistemski razvijati zelenu infrastrukturu na području općine Doboj Istok, naročito na kritičnim tačkama gdje je ista slabo razvijena, u prvom redu da bi se umanjio efekt postojećih te spriječio nastanak novih toplinskih otoka na području općine Doboj Istok, te kako bi planiranje razvoja i prilagođavanje infrastrukture bilo usklađeno sa predviđenim efektima klimatskih promjena. Elemente zelene infrastrukture je potrebno integrirati i njihovim propisivanjem u posebnim uslovima gradnje u sklopu izdavanja dozvola</w:t>
            </w:r>
          </w:p>
        </w:tc>
      </w:tr>
    </w:tbl>
    <w:p>
      <w:pPr>
        <w:spacing w:before="120" w:after="120" w:line="240"/>
        <w:ind w:right="0" w:left="0" w:firstLine="0"/>
        <w:jc w:val="both"/>
        <w:rPr>
          <w:rFonts w:ascii="Calibri" w:hAnsi="Calibri" w:cs="Calibri" w:eastAsia="Calibri"/>
          <w:color w:val="auto"/>
          <w:spacing w:val="0"/>
          <w:position w:val="0"/>
          <w:sz w:val="22"/>
          <w:shd w:fill="auto" w:val="clear"/>
        </w:rPr>
      </w:pPr>
    </w:p>
    <w:tbl>
      <w:tblPr/>
      <w:tblGrid>
        <w:gridCol w:w="2122"/>
        <w:gridCol w:w="7484"/>
      </w:tblGrid>
      <w:tr>
        <w:trPr>
          <w:trHeight w:val="227" w:hRule="auto"/>
          <w:jc w:val="left"/>
        </w:trPr>
        <w:tc>
          <w:tcPr>
            <w:tcW w:w="2122" w:type="dxa"/>
            <w:tcBorders>
              <w:top w:val="single" w:color="000000" w:sz="4"/>
              <w:left w:val="single" w:color="000000" w:sz="4"/>
              <w:bottom w:val="single" w:color="000000" w:sz="4"/>
              <w:right w:val="single" w:color="000000" w:sz="4"/>
            </w:tcBorders>
            <w:shd w:color="auto" w:fill="d5dce4"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Redni broj mjere</w:t>
            </w:r>
          </w:p>
        </w:tc>
        <w:tc>
          <w:tcPr>
            <w:tcW w:w="7484" w:type="dxa"/>
            <w:tcBorders>
              <w:top w:val="single" w:color="000000" w:sz="4"/>
              <w:left w:val="single" w:color="000000" w:sz="4"/>
              <w:bottom w:val="single" w:color="000000" w:sz="4"/>
              <w:right w:val="single" w:color="000000" w:sz="4"/>
            </w:tcBorders>
            <w:shd w:color="auto" w:fill="d5dce4" w:val="clear"/>
            <w:tcMar>
              <w:left w:w="108" w:type="dxa"/>
              <w:right w:w="108" w:type="dxa"/>
            </w:tcMar>
            <w:vAlign w:val="top"/>
          </w:tcPr>
          <w:p>
            <w:pPr>
              <w:spacing w:before="40" w:after="40" w:line="240"/>
              <w:ind w:right="0" w:left="0" w:firstLine="0"/>
              <w:jc w:val="center"/>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13</w:t>
            </w:r>
          </w:p>
        </w:tc>
      </w:tr>
      <w:tr>
        <w:trPr>
          <w:trHeight w:val="260" w:hRule="auto"/>
          <w:jc w:val="left"/>
        </w:trPr>
        <w:tc>
          <w:tcPr>
            <w:tcW w:w="2122" w:type="dxa"/>
            <w:tcBorders>
              <w:top w:val="single" w:color="000000" w:sz="4"/>
              <w:left w:val="single" w:color="000000" w:sz="4"/>
              <w:bottom w:val="single" w:color="000000" w:sz="4"/>
              <w:right w:val="single" w:color="000000" w:sz="4"/>
            </w:tcBorders>
            <w:shd w:color="auto" w:fill="d5dce4"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Naziv mjere</w:t>
            </w:r>
          </w:p>
        </w:tc>
        <w:tc>
          <w:tcPr>
            <w:tcW w:w="7484" w:type="dxa"/>
            <w:tcBorders>
              <w:top w:val="single" w:color="000000" w:sz="4"/>
              <w:left w:val="single" w:color="000000" w:sz="4"/>
              <w:bottom w:val="single" w:color="000000" w:sz="4"/>
              <w:right w:val="single" w:color="000000" w:sz="4"/>
            </w:tcBorders>
            <w:shd w:color="auto" w:fill="d5dce4" w:val="clear"/>
            <w:tcMar>
              <w:left w:w="108" w:type="dxa"/>
              <w:right w:w="108" w:type="dxa"/>
            </w:tcMar>
            <w:vAlign w:val="top"/>
          </w:tcPr>
          <w:p>
            <w:pPr>
              <w:spacing w:before="40" w:after="40" w:line="240"/>
              <w:ind w:right="0" w:left="0" w:firstLine="0"/>
              <w:jc w:val="center"/>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Ure</w:t>
            </w:r>
            <w:r>
              <w:rPr>
                <w:rFonts w:ascii="Calibri" w:hAnsi="Calibri" w:cs="Calibri" w:eastAsia="Calibri"/>
                <w:b/>
                <w:color w:val="auto"/>
                <w:spacing w:val="0"/>
                <w:position w:val="0"/>
                <w:sz w:val="18"/>
                <w:shd w:fill="auto" w:val="clear"/>
              </w:rPr>
              <w:t xml:space="preserve">đenje parka sa vodoskokom u Brijesnici Velikoj</w:t>
            </w:r>
          </w:p>
        </w:tc>
      </w:tr>
      <w:tr>
        <w:trPr>
          <w:trHeight w:val="227" w:hRule="auto"/>
          <w:jc w:val="left"/>
        </w:trPr>
        <w:tc>
          <w:tcPr>
            <w:tcW w:w="2122" w:type="dxa"/>
            <w:tcBorders>
              <w:top w:val="single" w:color="000000" w:sz="4"/>
              <w:left w:val="single" w:color="000000" w:sz="4"/>
              <w:bottom w:val="single" w:color="000000" w:sz="4"/>
              <w:right w:val="single" w:color="000000" w:sz="4"/>
            </w:tcBorders>
            <w:shd w:color="auto" w:fill="fbe4d5"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Nosilac realizacije mjere</w:t>
            </w:r>
          </w:p>
        </w:tc>
        <w:tc>
          <w:tcPr>
            <w:tcW w:w="7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125"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Op</w:t>
            </w:r>
            <w:r>
              <w:rPr>
                <w:rFonts w:ascii="Calibri" w:hAnsi="Calibri" w:cs="Calibri" w:eastAsia="Calibri"/>
                <w:color w:val="auto"/>
                <w:spacing w:val="0"/>
                <w:position w:val="0"/>
                <w:sz w:val="18"/>
                <w:shd w:fill="auto" w:val="clear"/>
              </w:rPr>
              <w:t xml:space="preserve">ćina Doboj Istok</w:t>
            </w:r>
          </w:p>
        </w:tc>
      </w:tr>
      <w:tr>
        <w:trPr>
          <w:trHeight w:val="227" w:hRule="auto"/>
          <w:jc w:val="left"/>
        </w:trPr>
        <w:tc>
          <w:tcPr>
            <w:tcW w:w="2122" w:type="dxa"/>
            <w:tcBorders>
              <w:top w:val="single" w:color="000000" w:sz="4"/>
              <w:left w:val="single" w:color="000000" w:sz="4"/>
              <w:bottom w:val="single" w:color="000000" w:sz="4"/>
              <w:right w:val="single" w:color="000000" w:sz="4"/>
            </w:tcBorders>
            <w:shd w:color="auto" w:fill="fbe4d5"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Partneri u realizaciji</w:t>
            </w:r>
          </w:p>
        </w:tc>
        <w:tc>
          <w:tcPr>
            <w:tcW w:w="7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3842"/>
              </w:numPr>
              <w:spacing w:before="40" w:after="40" w:line="240"/>
              <w:ind w:right="0" w:left="482" w:hanging="357"/>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JKP „</w:t>
            </w:r>
            <w:r>
              <w:rPr>
                <w:rFonts w:ascii="Calibri" w:hAnsi="Calibri" w:cs="Calibri" w:eastAsia="Calibri"/>
                <w:color w:val="auto"/>
                <w:spacing w:val="0"/>
                <w:position w:val="0"/>
                <w:sz w:val="18"/>
                <w:shd w:fill="auto" w:val="clear"/>
              </w:rPr>
              <w:t xml:space="preserve">ČISTO“ d.o.o</w:t>
            </w:r>
          </w:p>
        </w:tc>
      </w:tr>
      <w:tr>
        <w:trPr>
          <w:trHeight w:val="227" w:hRule="auto"/>
          <w:jc w:val="left"/>
        </w:trPr>
        <w:tc>
          <w:tcPr>
            <w:tcW w:w="2122" w:type="dxa"/>
            <w:tcBorders>
              <w:top w:val="single" w:color="000000" w:sz="4"/>
              <w:left w:val="single" w:color="000000" w:sz="4"/>
              <w:bottom w:val="single" w:color="000000" w:sz="4"/>
              <w:right w:val="single" w:color="000000" w:sz="4"/>
            </w:tcBorders>
            <w:shd w:color="auto" w:fill="fbe4d5"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Period realizacije</w:t>
            </w:r>
          </w:p>
        </w:tc>
        <w:tc>
          <w:tcPr>
            <w:tcW w:w="7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72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2020-2025.</w:t>
            </w:r>
          </w:p>
        </w:tc>
      </w:tr>
      <w:tr>
        <w:trPr>
          <w:trHeight w:val="227" w:hRule="auto"/>
          <w:jc w:val="left"/>
        </w:trPr>
        <w:tc>
          <w:tcPr>
            <w:tcW w:w="2122" w:type="dxa"/>
            <w:tcBorders>
              <w:top w:val="single" w:color="000000" w:sz="4"/>
              <w:left w:val="single" w:color="000000" w:sz="4"/>
              <w:bottom w:val="single" w:color="000000" w:sz="4"/>
              <w:right w:val="single" w:color="000000" w:sz="4"/>
            </w:tcBorders>
            <w:shd w:color="auto" w:fill="fbe4d5"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Ukupna investicija</w:t>
            </w:r>
          </w:p>
        </w:tc>
        <w:tc>
          <w:tcPr>
            <w:tcW w:w="7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72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48.000 KM</w:t>
            </w:r>
          </w:p>
        </w:tc>
      </w:tr>
      <w:tr>
        <w:trPr>
          <w:trHeight w:val="227" w:hRule="auto"/>
          <w:jc w:val="left"/>
        </w:trPr>
        <w:tc>
          <w:tcPr>
            <w:tcW w:w="2122" w:type="dxa"/>
            <w:tcBorders>
              <w:top w:val="single" w:color="000000" w:sz="4"/>
              <w:left w:val="single" w:color="000000" w:sz="4"/>
              <w:bottom w:val="single" w:color="000000" w:sz="4"/>
              <w:right w:val="single" w:color="000000" w:sz="4"/>
            </w:tcBorders>
            <w:shd w:color="auto" w:fill="fbe4d5" w:val="clear"/>
            <w:tcMar>
              <w:left w:w="108" w:type="dxa"/>
              <w:right w:w="108" w:type="dxa"/>
            </w:tcMar>
            <w:vAlign w:val="top"/>
          </w:tcPr>
          <w:p>
            <w:pPr>
              <w:spacing w:before="40" w:after="40" w:line="240"/>
              <w:ind w:right="0" w:left="0" w:firstLine="0"/>
              <w:jc w:val="left"/>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Izvori financijskih sredstava</w:t>
            </w:r>
          </w:p>
        </w:tc>
        <w:tc>
          <w:tcPr>
            <w:tcW w:w="7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3851"/>
              </w:numPr>
              <w:spacing w:before="40" w:after="0" w:line="240"/>
              <w:ind w:right="0" w:left="482" w:hanging="357"/>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Budžet Tuzlanskog kantona</w:t>
            </w:r>
          </w:p>
          <w:p>
            <w:pPr>
              <w:numPr>
                <w:ilvl w:val="0"/>
                <w:numId w:val="3851"/>
              </w:numPr>
              <w:spacing w:before="0" w:after="0" w:line="240"/>
              <w:ind w:right="0" w:left="482" w:hanging="357"/>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Budžet Op</w:t>
            </w:r>
            <w:r>
              <w:rPr>
                <w:rFonts w:ascii="Calibri" w:hAnsi="Calibri" w:cs="Calibri" w:eastAsia="Calibri"/>
                <w:color w:val="auto"/>
                <w:spacing w:val="0"/>
                <w:position w:val="0"/>
                <w:sz w:val="18"/>
                <w:shd w:fill="auto" w:val="clear"/>
              </w:rPr>
              <w:t xml:space="preserve">ćine Doboj Istok</w:t>
            </w:r>
          </w:p>
          <w:p>
            <w:pPr>
              <w:numPr>
                <w:ilvl w:val="0"/>
                <w:numId w:val="3851"/>
              </w:numPr>
              <w:spacing w:before="0" w:after="40" w:line="240"/>
              <w:ind w:right="0" w:left="482" w:hanging="357"/>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Me</w:t>
            </w:r>
            <w:r>
              <w:rPr>
                <w:rFonts w:ascii="Calibri" w:hAnsi="Calibri" w:cs="Calibri" w:eastAsia="Calibri"/>
                <w:color w:val="auto"/>
                <w:spacing w:val="0"/>
                <w:position w:val="0"/>
                <w:sz w:val="18"/>
                <w:shd w:fill="auto" w:val="clear"/>
              </w:rPr>
              <w:t xml:space="preserve">đunarodni finansijeri i donatori (EU, UNDP, USAID i dr.)</w:t>
            </w:r>
          </w:p>
        </w:tc>
      </w:tr>
      <w:tr>
        <w:trPr>
          <w:trHeight w:val="1828" w:hRule="auto"/>
          <w:jc w:val="left"/>
        </w:trPr>
        <w:tc>
          <w:tcPr>
            <w:tcW w:w="2122" w:type="dxa"/>
            <w:tcBorders>
              <w:top w:val="single" w:color="000000" w:sz="4"/>
              <w:left w:val="single" w:color="000000" w:sz="4"/>
              <w:bottom w:val="single" w:color="000000" w:sz="4"/>
              <w:right w:val="single" w:color="000000" w:sz="4"/>
            </w:tcBorders>
            <w:shd w:color="auto" w:fill="fbe4d5"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Kratki opis mjere</w:t>
            </w:r>
          </w:p>
        </w:tc>
        <w:tc>
          <w:tcPr>
            <w:tcW w:w="7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0" w:line="240"/>
              <w:ind w:right="0" w:left="0" w:firstLine="0"/>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Urbano toplotno ostrvo je fenomen koji karakteriše bitno viša temperatura zraka u urbanom podru</w:t>
            </w:r>
            <w:r>
              <w:rPr>
                <w:rFonts w:ascii="Calibri" w:hAnsi="Calibri" w:cs="Calibri" w:eastAsia="Calibri"/>
                <w:color w:val="auto"/>
                <w:spacing w:val="0"/>
                <w:position w:val="0"/>
                <w:sz w:val="18"/>
                <w:shd w:fill="auto" w:val="clear"/>
              </w:rPr>
              <w:t xml:space="preserve">čju u odnosu na okolno ruralno područje. Efekti vezani uz razvoj toplotnih ostrva predstavljaju jedan od najznačajnijih okolišnih problema jer su povezani s višestrukim negativnim posljedicama kao što je prekomjerno zagrijavanje podloge, nepovoljni klimatski uslovi kojima su izloženi građani, povećan zdravstveni rizik zbog visokih temperatura, povećane potrebe za vodom, povećana potrošnja energije itd. Općina Doboj Istok ima veoma malo uređenih javnih površina u svom vlasništvu. Predloženi lokalitet za izgradnju parka sa vodoskokom se nalazi u centru naselja Brijesnica Velika na parceli k.č. broj 1859/3 ukupne površine 505 m</w:t>
            </w:r>
            <w:r>
              <w:rPr>
                <w:rFonts w:ascii="Calibri" w:hAnsi="Calibri" w:cs="Calibri" w:eastAsia="Calibri"/>
                <w:color w:val="auto"/>
                <w:spacing w:val="0"/>
                <w:position w:val="0"/>
                <w:sz w:val="18"/>
                <w:shd w:fill="auto" w:val="clear"/>
                <w:vertAlign w:val="superscript"/>
              </w:rPr>
              <w:t xml:space="preserve">2</w:t>
            </w:r>
            <w:r>
              <w:rPr>
                <w:rFonts w:ascii="Calibri" w:hAnsi="Calibri" w:cs="Calibri" w:eastAsia="Calibri"/>
                <w:color w:val="auto"/>
                <w:spacing w:val="0"/>
                <w:position w:val="0"/>
                <w:sz w:val="18"/>
                <w:shd w:fill="auto" w:val="clear"/>
              </w:rPr>
              <w:t xml:space="preserve">. U neposrednoj blizini parka se nalaze osnovna i srednja škola, zanatski centar, područna ambulanta, dom kulture, pošta, policijska stanica i ostale institucije. Sa sjeverne strane park je povezan sa magistralnim putem Doboj-Tuzla. Predmetna parcela je namijenjena uređenju parka koji treba da okuplja djecu i omladinu. Centralna građevina u projektnom rješenju je kružna fontana sa vodoskokom i klupama za sjedenje, sa prilaznim popločanim pješačkim stazama širine 1,5 m. Na preostalom prostoru oko fontane predviđeno je nasipanje humusa i zasađivanje rastinja. Za stanovnike općine Doboj Istok ovaj park će prvenstveno predstavljati mjesto za osvježenje od visokih temperatura. </w:t>
            </w:r>
          </w:p>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Kao rezultat ove mjere, 505 m</w:t>
            </w:r>
            <w:r>
              <w:rPr>
                <w:rFonts w:ascii="Calibri" w:hAnsi="Calibri" w:cs="Calibri" w:eastAsia="Calibri"/>
                <w:color w:val="auto"/>
                <w:spacing w:val="0"/>
                <w:position w:val="0"/>
                <w:sz w:val="18"/>
                <w:shd w:fill="auto" w:val="clear"/>
                <w:vertAlign w:val="superscript"/>
              </w:rPr>
              <w:t xml:space="preserve">2</w:t>
            </w:r>
            <w:r>
              <w:rPr>
                <w:rFonts w:ascii="Calibri" w:hAnsi="Calibri" w:cs="Calibri" w:eastAsia="Calibri"/>
                <w:color w:val="auto"/>
                <w:spacing w:val="0"/>
                <w:position w:val="0"/>
                <w:sz w:val="18"/>
                <w:shd w:fill="auto" w:val="clear"/>
              </w:rPr>
              <w:t xml:space="preserve"> neure</w:t>
            </w:r>
            <w:r>
              <w:rPr>
                <w:rFonts w:ascii="Calibri" w:hAnsi="Calibri" w:cs="Calibri" w:eastAsia="Calibri"/>
                <w:color w:val="auto"/>
                <w:spacing w:val="0"/>
                <w:position w:val="0"/>
                <w:sz w:val="18"/>
                <w:shd w:fill="auto" w:val="clear"/>
              </w:rPr>
              <w:t xml:space="preserve">đene javne površine na području općine biće pretvoreno u zelenu površinu. Realizacija mjere uključuje izradu projektne dokumentacije, provođenje procedure javne nabavke i izbor izvođača, izvođenje radova (izgradnju kružne fontane sa klupama površine 7,5 m</w:t>
            </w:r>
            <w:r>
              <w:rPr>
                <w:rFonts w:ascii="Calibri" w:hAnsi="Calibri" w:cs="Calibri" w:eastAsia="Calibri"/>
                <w:color w:val="auto"/>
                <w:spacing w:val="0"/>
                <w:position w:val="0"/>
                <w:sz w:val="18"/>
                <w:shd w:fill="auto" w:val="clear"/>
                <w:vertAlign w:val="superscript"/>
              </w:rPr>
              <w:t xml:space="preserve">2</w:t>
            </w:r>
            <w:r>
              <w:rPr>
                <w:rFonts w:ascii="Calibri" w:hAnsi="Calibri" w:cs="Calibri" w:eastAsia="Calibri"/>
                <w:color w:val="auto"/>
                <w:spacing w:val="0"/>
                <w:position w:val="0"/>
                <w:sz w:val="18"/>
                <w:shd w:fill="auto" w:val="clear"/>
              </w:rPr>
              <w:t xml:space="preserve">, popločanih pješačkih staza sa trotoarima, i sadnju rastinja i cvijeća), tehnički prijem objekta, i kontinuiran monitoring čistoće i higijene parka. </w:t>
            </w:r>
          </w:p>
        </w:tc>
      </w:tr>
    </w:tbl>
    <w:p>
      <w:pPr>
        <w:spacing w:before="120" w:after="120" w:line="240"/>
        <w:ind w:right="0" w:left="0" w:firstLine="0"/>
        <w:jc w:val="both"/>
        <w:rPr>
          <w:rFonts w:ascii="Calibri" w:hAnsi="Calibri" w:cs="Calibri" w:eastAsia="Calibri"/>
          <w:color w:val="auto"/>
          <w:spacing w:val="0"/>
          <w:position w:val="0"/>
          <w:sz w:val="22"/>
          <w:shd w:fill="auto" w:val="clear"/>
        </w:rPr>
      </w:pPr>
    </w:p>
    <w:tbl>
      <w:tblPr/>
      <w:tblGrid>
        <w:gridCol w:w="2122"/>
        <w:gridCol w:w="7484"/>
      </w:tblGrid>
      <w:tr>
        <w:trPr>
          <w:trHeight w:val="227" w:hRule="auto"/>
          <w:jc w:val="left"/>
        </w:trPr>
        <w:tc>
          <w:tcPr>
            <w:tcW w:w="2122" w:type="dxa"/>
            <w:tcBorders>
              <w:top w:val="single" w:color="000000" w:sz="4"/>
              <w:left w:val="single" w:color="000000" w:sz="4"/>
              <w:bottom w:val="single" w:color="000000" w:sz="4"/>
              <w:right w:val="single" w:color="000000" w:sz="4"/>
            </w:tcBorders>
            <w:shd w:color="auto" w:fill="d5dce4"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Redni broj mjere</w:t>
            </w:r>
          </w:p>
        </w:tc>
        <w:tc>
          <w:tcPr>
            <w:tcW w:w="7484" w:type="dxa"/>
            <w:tcBorders>
              <w:top w:val="single" w:color="000000" w:sz="4"/>
              <w:left w:val="single" w:color="000000" w:sz="4"/>
              <w:bottom w:val="single" w:color="000000" w:sz="4"/>
              <w:right w:val="single" w:color="000000" w:sz="4"/>
            </w:tcBorders>
            <w:shd w:color="auto" w:fill="d5dce4" w:val="clear"/>
            <w:tcMar>
              <w:left w:w="108" w:type="dxa"/>
              <w:right w:w="108" w:type="dxa"/>
            </w:tcMar>
            <w:vAlign w:val="top"/>
          </w:tcPr>
          <w:p>
            <w:pPr>
              <w:spacing w:before="40" w:after="40" w:line="240"/>
              <w:ind w:right="0" w:left="0" w:firstLine="0"/>
              <w:jc w:val="center"/>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14</w:t>
            </w:r>
          </w:p>
        </w:tc>
      </w:tr>
      <w:tr>
        <w:trPr>
          <w:trHeight w:val="260" w:hRule="auto"/>
          <w:jc w:val="left"/>
        </w:trPr>
        <w:tc>
          <w:tcPr>
            <w:tcW w:w="2122" w:type="dxa"/>
            <w:tcBorders>
              <w:top w:val="single" w:color="000000" w:sz="4"/>
              <w:left w:val="single" w:color="000000" w:sz="4"/>
              <w:bottom w:val="single" w:color="000000" w:sz="4"/>
              <w:right w:val="single" w:color="000000" w:sz="4"/>
            </w:tcBorders>
            <w:shd w:color="auto" w:fill="d5dce4" w:val="clear"/>
            <w:tcMar>
              <w:left w:w="108" w:type="dxa"/>
              <w:right w:w="108" w:type="dxa"/>
            </w:tcMar>
            <w:vAlign w:val="top"/>
          </w:tcPr>
          <w:p>
            <w:pPr>
              <w:spacing w:before="40" w:after="40" w:line="240"/>
              <w:ind w:right="0" w:left="0" w:firstLine="0"/>
              <w:jc w:val="left"/>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Naziv mjere</w:t>
            </w:r>
          </w:p>
        </w:tc>
        <w:tc>
          <w:tcPr>
            <w:tcW w:w="7484" w:type="dxa"/>
            <w:tcBorders>
              <w:top w:val="single" w:color="000000" w:sz="4"/>
              <w:left w:val="single" w:color="000000" w:sz="4"/>
              <w:bottom w:val="single" w:color="000000" w:sz="4"/>
              <w:right w:val="single" w:color="000000" w:sz="4"/>
            </w:tcBorders>
            <w:shd w:color="auto" w:fill="d5dce4" w:val="clear"/>
            <w:tcMar>
              <w:left w:w="108" w:type="dxa"/>
              <w:right w:w="108" w:type="dxa"/>
            </w:tcMar>
            <w:vAlign w:val="top"/>
          </w:tcPr>
          <w:p>
            <w:pPr>
              <w:spacing w:before="40" w:after="40" w:line="240"/>
              <w:ind w:right="0" w:left="0" w:firstLine="0"/>
              <w:jc w:val="center"/>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Pošumljavanje privatnih i državnih šumskih površina na podru</w:t>
            </w:r>
            <w:r>
              <w:rPr>
                <w:rFonts w:ascii="Calibri" w:hAnsi="Calibri" w:cs="Calibri" w:eastAsia="Calibri"/>
                <w:b/>
                <w:color w:val="auto"/>
                <w:spacing w:val="0"/>
                <w:position w:val="0"/>
                <w:sz w:val="18"/>
                <w:shd w:fill="auto" w:val="clear"/>
              </w:rPr>
              <w:t xml:space="preserve">čju općine Doboj Istok</w:t>
            </w:r>
          </w:p>
        </w:tc>
      </w:tr>
      <w:tr>
        <w:trPr>
          <w:trHeight w:val="227" w:hRule="auto"/>
          <w:jc w:val="left"/>
        </w:trPr>
        <w:tc>
          <w:tcPr>
            <w:tcW w:w="2122" w:type="dxa"/>
            <w:tcBorders>
              <w:top w:val="single" w:color="000000" w:sz="4"/>
              <w:left w:val="single" w:color="000000" w:sz="4"/>
              <w:bottom w:val="single" w:color="000000" w:sz="4"/>
              <w:right w:val="single" w:color="000000" w:sz="4"/>
            </w:tcBorders>
            <w:shd w:color="auto" w:fill="fbe4d5" w:val="clear"/>
            <w:tcMar>
              <w:left w:w="108" w:type="dxa"/>
              <w:right w:w="108" w:type="dxa"/>
            </w:tcMar>
            <w:vAlign w:val="top"/>
          </w:tcPr>
          <w:p>
            <w:pPr>
              <w:spacing w:before="40" w:after="40" w:line="240"/>
              <w:ind w:right="0" w:left="0" w:firstLine="0"/>
              <w:jc w:val="left"/>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Nosilac realizacije mjere</w:t>
            </w:r>
          </w:p>
        </w:tc>
        <w:tc>
          <w:tcPr>
            <w:tcW w:w="7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125"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Op</w:t>
            </w:r>
            <w:r>
              <w:rPr>
                <w:rFonts w:ascii="Calibri" w:hAnsi="Calibri" w:cs="Calibri" w:eastAsia="Calibri"/>
                <w:color w:val="auto"/>
                <w:spacing w:val="0"/>
                <w:position w:val="0"/>
                <w:sz w:val="18"/>
                <w:shd w:fill="auto" w:val="clear"/>
              </w:rPr>
              <w:t xml:space="preserve">ćina Doboj Istok</w:t>
            </w:r>
          </w:p>
        </w:tc>
      </w:tr>
      <w:tr>
        <w:trPr>
          <w:trHeight w:val="227" w:hRule="auto"/>
          <w:jc w:val="left"/>
        </w:trPr>
        <w:tc>
          <w:tcPr>
            <w:tcW w:w="2122" w:type="dxa"/>
            <w:tcBorders>
              <w:top w:val="single" w:color="000000" w:sz="4"/>
              <w:left w:val="single" w:color="000000" w:sz="4"/>
              <w:bottom w:val="single" w:color="000000" w:sz="4"/>
              <w:right w:val="single" w:color="000000" w:sz="4"/>
            </w:tcBorders>
            <w:shd w:color="auto" w:fill="fbe4d5" w:val="clear"/>
            <w:tcMar>
              <w:left w:w="108" w:type="dxa"/>
              <w:right w:w="108" w:type="dxa"/>
            </w:tcMar>
            <w:vAlign w:val="top"/>
          </w:tcPr>
          <w:p>
            <w:pPr>
              <w:spacing w:before="40" w:after="40" w:line="240"/>
              <w:ind w:right="0" w:left="0" w:firstLine="0"/>
              <w:jc w:val="left"/>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Partneri u realizaciji</w:t>
            </w:r>
          </w:p>
        </w:tc>
        <w:tc>
          <w:tcPr>
            <w:tcW w:w="7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3874"/>
              </w:numPr>
              <w:spacing w:before="40" w:after="0" w:line="240"/>
              <w:ind w:right="0" w:left="482"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Nevladine organizacije</w:t>
            </w:r>
          </w:p>
          <w:p>
            <w:pPr>
              <w:numPr>
                <w:ilvl w:val="0"/>
                <w:numId w:val="3874"/>
              </w:numPr>
              <w:spacing w:before="0" w:after="0" w:line="240"/>
              <w:ind w:right="0" w:left="482" w:hanging="357"/>
              <w:jc w:val="both"/>
              <w:rPr>
                <w:rFonts w:ascii="Calibri" w:hAnsi="Calibri" w:cs="Calibri" w:eastAsia="Calibri"/>
                <w:i/>
                <w:color w:val="auto"/>
                <w:spacing w:val="0"/>
                <w:position w:val="0"/>
                <w:sz w:val="18"/>
                <w:shd w:fill="auto" w:val="clear"/>
              </w:rPr>
            </w:pPr>
            <w:r>
              <w:rPr>
                <w:rFonts w:ascii="Calibri" w:hAnsi="Calibri" w:cs="Calibri" w:eastAsia="Calibri"/>
                <w:color w:val="auto"/>
                <w:spacing w:val="0"/>
                <w:position w:val="0"/>
                <w:sz w:val="18"/>
                <w:shd w:fill="auto" w:val="clear"/>
              </w:rPr>
              <w:t xml:space="preserve">Osnovne i srednje škole na podru</w:t>
            </w:r>
            <w:r>
              <w:rPr>
                <w:rFonts w:ascii="Calibri" w:hAnsi="Calibri" w:cs="Calibri" w:eastAsia="Calibri"/>
                <w:color w:val="auto"/>
                <w:spacing w:val="0"/>
                <w:position w:val="0"/>
                <w:sz w:val="18"/>
                <w:shd w:fill="auto" w:val="clear"/>
              </w:rPr>
              <w:t xml:space="preserve">čju općine Doboj Istok</w:t>
            </w:r>
          </w:p>
          <w:p>
            <w:pPr>
              <w:numPr>
                <w:ilvl w:val="0"/>
                <w:numId w:val="3874"/>
              </w:numPr>
              <w:spacing w:before="0" w:after="0" w:line="240"/>
              <w:ind w:right="0" w:left="482"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JKP „</w:t>
            </w:r>
            <w:r>
              <w:rPr>
                <w:rFonts w:ascii="Calibri" w:hAnsi="Calibri" w:cs="Calibri" w:eastAsia="Calibri"/>
                <w:color w:val="auto"/>
                <w:spacing w:val="0"/>
                <w:position w:val="0"/>
                <w:sz w:val="18"/>
                <w:shd w:fill="auto" w:val="clear"/>
              </w:rPr>
              <w:t xml:space="preserve">ČISTO“ doo Doboj Istok</w:t>
            </w:r>
          </w:p>
          <w:p>
            <w:pPr>
              <w:numPr>
                <w:ilvl w:val="0"/>
                <w:numId w:val="3874"/>
              </w:numPr>
              <w:spacing w:before="0" w:after="40" w:line="240"/>
              <w:ind w:right="0" w:left="482" w:hanging="357"/>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Kantonalna uprava za šumarstvo</w:t>
            </w:r>
          </w:p>
        </w:tc>
      </w:tr>
      <w:tr>
        <w:trPr>
          <w:trHeight w:val="227" w:hRule="auto"/>
          <w:jc w:val="left"/>
        </w:trPr>
        <w:tc>
          <w:tcPr>
            <w:tcW w:w="2122" w:type="dxa"/>
            <w:tcBorders>
              <w:top w:val="single" w:color="000000" w:sz="4"/>
              <w:left w:val="single" w:color="000000" w:sz="4"/>
              <w:bottom w:val="single" w:color="000000" w:sz="4"/>
              <w:right w:val="single" w:color="000000" w:sz="4"/>
            </w:tcBorders>
            <w:shd w:color="auto" w:fill="fbe4d5" w:val="clear"/>
            <w:tcMar>
              <w:left w:w="108" w:type="dxa"/>
              <w:right w:w="108" w:type="dxa"/>
            </w:tcMar>
            <w:vAlign w:val="top"/>
          </w:tcPr>
          <w:p>
            <w:pPr>
              <w:spacing w:before="40" w:after="40" w:line="240"/>
              <w:ind w:right="0" w:left="0" w:firstLine="0"/>
              <w:jc w:val="left"/>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Period realizacije</w:t>
            </w:r>
          </w:p>
        </w:tc>
        <w:tc>
          <w:tcPr>
            <w:tcW w:w="7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72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2020-2025.</w:t>
            </w:r>
          </w:p>
        </w:tc>
      </w:tr>
      <w:tr>
        <w:trPr>
          <w:trHeight w:val="227" w:hRule="auto"/>
          <w:jc w:val="left"/>
        </w:trPr>
        <w:tc>
          <w:tcPr>
            <w:tcW w:w="2122" w:type="dxa"/>
            <w:tcBorders>
              <w:top w:val="single" w:color="000000" w:sz="4"/>
              <w:left w:val="single" w:color="000000" w:sz="4"/>
              <w:bottom w:val="single" w:color="000000" w:sz="4"/>
              <w:right w:val="single" w:color="000000" w:sz="4"/>
            </w:tcBorders>
            <w:shd w:color="auto" w:fill="fbe4d5" w:val="clear"/>
            <w:tcMar>
              <w:left w:w="108" w:type="dxa"/>
              <w:right w:w="108" w:type="dxa"/>
            </w:tcMar>
            <w:vAlign w:val="top"/>
          </w:tcPr>
          <w:p>
            <w:pPr>
              <w:spacing w:before="40" w:after="40" w:line="240"/>
              <w:ind w:right="0" w:left="0" w:firstLine="0"/>
              <w:jc w:val="left"/>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Ukupna investicija</w:t>
            </w:r>
          </w:p>
        </w:tc>
        <w:tc>
          <w:tcPr>
            <w:tcW w:w="7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72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15.000 KM</w:t>
            </w:r>
          </w:p>
        </w:tc>
      </w:tr>
      <w:tr>
        <w:trPr>
          <w:trHeight w:val="227" w:hRule="auto"/>
          <w:jc w:val="left"/>
        </w:trPr>
        <w:tc>
          <w:tcPr>
            <w:tcW w:w="2122" w:type="dxa"/>
            <w:tcBorders>
              <w:top w:val="single" w:color="000000" w:sz="4"/>
              <w:left w:val="single" w:color="000000" w:sz="4"/>
              <w:bottom w:val="single" w:color="000000" w:sz="4"/>
              <w:right w:val="single" w:color="000000" w:sz="4"/>
            </w:tcBorders>
            <w:shd w:color="auto" w:fill="fbe4d5" w:val="clear"/>
            <w:tcMar>
              <w:left w:w="108" w:type="dxa"/>
              <w:right w:w="108" w:type="dxa"/>
            </w:tcMar>
            <w:vAlign w:val="top"/>
          </w:tcPr>
          <w:p>
            <w:pPr>
              <w:spacing w:before="40" w:after="40" w:line="240"/>
              <w:ind w:right="0" w:left="0" w:firstLine="0"/>
              <w:jc w:val="left"/>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Izvori financijskih sredstava</w:t>
            </w:r>
          </w:p>
        </w:tc>
        <w:tc>
          <w:tcPr>
            <w:tcW w:w="7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3885"/>
              </w:numPr>
              <w:spacing w:before="40" w:after="0" w:line="240"/>
              <w:ind w:right="0" w:left="482" w:hanging="357"/>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Budžet Tuzlanskog kantona</w:t>
            </w:r>
          </w:p>
          <w:p>
            <w:pPr>
              <w:numPr>
                <w:ilvl w:val="0"/>
                <w:numId w:val="3885"/>
              </w:numPr>
              <w:spacing w:before="0" w:after="0" w:line="240"/>
              <w:ind w:right="0" w:left="482" w:hanging="357"/>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Budžet Op</w:t>
            </w:r>
            <w:r>
              <w:rPr>
                <w:rFonts w:ascii="Calibri" w:hAnsi="Calibri" w:cs="Calibri" w:eastAsia="Calibri"/>
                <w:color w:val="auto"/>
                <w:spacing w:val="0"/>
                <w:position w:val="0"/>
                <w:sz w:val="18"/>
                <w:shd w:fill="auto" w:val="clear"/>
              </w:rPr>
              <w:t xml:space="preserve">ćine Doboj Istok</w:t>
            </w:r>
          </w:p>
          <w:p>
            <w:pPr>
              <w:numPr>
                <w:ilvl w:val="0"/>
                <w:numId w:val="3885"/>
              </w:numPr>
              <w:spacing w:before="0" w:after="40" w:line="240"/>
              <w:ind w:right="0" w:left="482" w:hanging="357"/>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Me</w:t>
            </w:r>
            <w:r>
              <w:rPr>
                <w:rFonts w:ascii="Calibri" w:hAnsi="Calibri" w:cs="Calibri" w:eastAsia="Calibri"/>
                <w:color w:val="auto"/>
                <w:spacing w:val="0"/>
                <w:position w:val="0"/>
                <w:sz w:val="18"/>
                <w:shd w:fill="auto" w:val="clear"/>
              </w:rPr>
              <w:t xml:space="preserve">đunarodni finansijeri i donatori (EU, UNDP, USAID i dr.)</w:t>
            </w:r>
          </w:p>
        </w:tc>
      </w:tr>
      <w:tr>
        <w:trPr>
          <w:trHeight w:val="1124" w:hRule="auto"/>
          <w:jc w:val="left"/>
        </w:trPr>
        <w:tc>
          <w:tcPr>
            <w:tcW w:w="2122" w:type="dxa"/>
            <w:tcBorders>
              <w:top w:val="single" w:color="000000" w:sz="4"/>
              <w:left w:val="single" w:color="000000" w:sz="4"/>
              <w:bottom w:val="single" w:color="000000" w:sz="4"/>
              <w:right w:val="single" w:color="000000" w:sz="4"/>
            </w:tcBorders>
            <w:shd w:color="auto" w:fill="fbe4d5" w:val="clear"/>
            <w:tcMar>
              <w:left w:w="108" w:type="dxa"/>
              <w:right w:w="108" w:type="dxa"/>
            </w:tcMar>
            <w:vAlign w:val="top"/>
          </w:tcPr>
          <w:p>
            <w:pPr>
              <w:spacing w:before="40" w:after="40" w:line="240"/>
              <w:ind w:right="0" w:left="0" w:firstLine="0"/>
              <w:jc w:val="left"/>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Kratki opis mjere</w:t>
            </w:r>
          </w:p>
        </w:tc>
        <w:tc>
          <w:tcPr>
            <w:tcW w:w="7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0" w:line="240"/>
              <w:ind w:right="0" w:left="0" w:firstLine="0"/>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Na podru</w:t>
            </w:r>
            <w:r>
              <w:rPr>
                <w:rFonts w:ascii="Calibri" w:hAnsi="Calibri" w:cs="Calibri" w:eastAsia="Calibri"/>
                <w:color w:val="auto"/>
                <w:spacing w:val="0"/>
                <w:position w:val="0"/>
                <w:sz w:val="18"/>
                <w:shd w:fill="auto" w:val="clear"/>
              </w:rPr>
              <w:t xml:space="preserve">čju općine Doboj Istok je usljed požara uništen veći dio postojećih šuma uključujući područje «Rudine» u Stanić Rijeci, te djelimično područje «Gaj» u Klokotnici. Pomenuta područja i ostale privatne posjede koji su nepodesni za poljoprivrednu proizvodnju, a vimaju status poljoprivrednog zemljišta mogu se pošumiti i tako spriječiti eroziju i degradaciju tla, te dugoročno poboljšati kvalitet zraka na području općine. Preliminarni razgovori sa vlasnicima privatnih posjeda su pokazali njihovu spremnost za promjenu namjene ovih zemljišta. Uz podršku Kantonalne uprave za šumarstvo, proces pošumljavanja se može realizirati. Očekivani rezultati obe mjere su: pretvaranje 50% neupotrebljivog državnog i privatnog poljoprivrednog zemljišta na području općine Doboj Istok u šumsko tlo; te povećanje pošumljenih površina za 10% na godišnjem nivou. </w:t>
            </w:r>
          </w:p>
          <w:p>
            <w:pPr>
              <w:spacing w:before="40" w:after="12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Realizacija mjere uklju</w:t>
            </w:r>
            <w:r>
              <w:rPr>
                <w:rFonts w:ascii="Calibri" w:hAnsi="Calibri" w:cs="Calibri" w:eastAsia="Calibri"/>
                <w:color w:val="auto"/>
                <w:spacing w:val="0"/>
                <w:position w:val="0"/>
                <w:sz w:val="18"/>
                <w:shd w:fill="auto" w:val="clear"/>
              </w:rPr>
              <w:t xml:space="preserve">čuje pretvorbu privatnih posjeda nepodesnih za poljoprivrednu proizvodnju u pošumljeno tlo, uz prethodno određivanje površina namijenjenih pošumljavanju i reguliranje  potrebne dokumentacije sa vlasnicima privatnih posjeda. Nakon toga je neophodno podnijeti zahtjev Kantonalnoj upravi za šumarstvo sa pratećom dokumentacijom, preuzeti, transportovati i skladištiti sadni materijal, te izvršiti sadnju predviđenih 45.000 sadnica. Na realizaciji ove mjere će biti angažirani aktivisti nevladinih organizacija i učenici osnovnih i srednjih škola, sa kojima će se sklopiti odgovarajući ugovori. Potrebne sadnice bi se obezbijedile bez financijske naknade iz vlastitog rasadnika Kantonalne uprave za šumarstvo. </w:t>
            </w:r>
          </w:p>
        </w:tc>
      </w:tr>
    </w:tbl>
    <w:p>
      <w:pPr>
        <w:keepNext w:val="true"/>
        <w:keepLines w:val="true"/>
        <w:numPr>
          <w:ilvl w:val="0"/>
          <w:numId w:val="3894"/>
        </w:numPr>
        <w:spacing w:before="240" w:after="120" w:line="240"/>
        <w:ind w:right="0" w:left="720" w:hanging="72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4"/>
          <w:shd w:fill="auto" w:val="clear"/>
        </w:rPr>
        <w:t xml:space="preserve">Ostale mjere za prilago</w:t>
      </w:r>
      <w:r>
        <w:rPr>
          <w:rFonts w:ascii="Calibri" w:hAnsi="Calibri" w:cs="Calibri" w:eastAsia="Calibri"/>
          <w:b/>
          <w:color w:val="auto"/>
          <w:spacing w:val="0"/>
          <w:position w:val="0"/>
          <w:sz w:val="24"/>
          <w:shd w:fill="auto" w:val="clear"/>
        </w:rPr>
        <w:t xml:space="preserve">đavanje na opasnosti od klimatskih promjena</w:t>
      </w:r>
    </w:p>
    <w:tbl>
      <w:tblPr/>
      <w:tblGrid>
        <w:gridCol w:w="2122"/>
        <w:gridCol w:w="7484"/>
      </w:tblGrid>
      <w:tr>
        <w:trPr>
          <w:trHeight w:val="350" w:hRule="auto"/>
          <w:jc w:val="left"/>
        </w:trPr>
        <w:tc>
          <w:tcPr>
            <w:tcW w:w="2122" w:type="dxa"/>
            <w:tcBorders>
              <w:top w:val="single" w:color="000000" w:sz="4"/>
              <w:left w:val="single" w:color="000000" w:sz="4"/>
              <w:bottom w:val="single" w:color="000000" w:sz="4"/>
              <w:right w:val="single" w:color="000000" w:sz="4"/>
            </w:tcBorders>
            <w:shd w:color="auto" w:fill="d5dce4"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Redni broj mjere</w:t>
            </w:r>
          </w:p>
        </w:tc>
        <w:tc>
          <w:tcPr>
            <w:tcW w:w="7484" w:type="dxa"/>
            <w:tcBorders>
              <w:top w:val="single" w:color="000000" w:sz="4"/>
              <w:left w:val="single" w:color="000000" w:sz="4"/>
              <w:bottom w:val="single" w:color="000000" w:sz="4"/>
              <w:right w:val="single" w:color="000000" w:sz="4"/>
            </w:tcBorders>
            <w:shd w:color="auto" w:fill="d5dce4" w:val="clear"/>
            <w:tcMar>
              <w:left w:w="108" w:type="dxa"/>
              <w:right w:w="108" w:type="dxa"/>
            </w:tcMar>
            <w:vAlign w:val="top"/>
          </w:tcPr>
          <w:p>
            <w:pPr>
              <w:spacing w:before="40" w:after="40" w:line="240"/>
              <w:ind w:right="0" w:left="0" w:firstLine="0"/>
              <w:jc w:val="center"/>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15</w:t>
            </w:r>
          </w:p>
        </w:tc>
      </w:tr>
      <w:tr>
        <w:trPr>
          <w:trHeight w:val="280" w:hRule="auto"/>
          <w:jc w:val="left"/>
        </w:trPr>
        <w:tc>
          <w:tcPr>
            <w:tcW w:w="2122" w:type="dxa"/>
            <w:tcBorders>
              <w:top w:val="single" w:color="000000" w:sz="4"/>
              <w:left w:val="single" w:color="000000" w:sz="4"/>
              <w:bottom w:val="single" w:color="000000" w:sz="4"/>
              <w:right w:val="single" w:color="000000" w:sz="4"/>
            </w:tcBorders>
            <w:shd w:color="auto" w:fill="d5dce4" w:val="clear"/>
            <w:tcMar>
              <w:left w:w="108" w:type="dxa"/>
              <w:right w:w="108" w:type="dxa"/>
            </w:tcMar>
            <w:vAlign w:val="top"/>
          </w:tcPr>
          <w:p>
            <w:pPr>
              <w:spacing w:before="40" w:after="40" w:line="240"/>
              <w:ind w:right="0" w:left="0" w:firstLine="0"/>
              <w:jc w:val="left"/>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Naziv mjere</w:t>
            </w:r>
          </w:p>
        </w:tc>
        <w:tc>
          <w:tcPr>
            <w:tcW w:w="7484" w:type="dxa"/>
            <w:tcBorders>
              <w:top w:val="single" w:color="000000" w:sz="4"/>
              <w:left w:val="single" w:color="000000" w:sz="4"/>
              <w:bottom w:val="single" w:color="000000" w:sz="4"/>
              <w:right w:val="single" w:color="000000" w:sz="4"/>
            </w:tcBorders>
            <w:shd w:color="auto" w:fill="d5dce4" w:val="clear"/>
            <w:tcMar>
              <w:left w:w="108" w:type="dxa"/>
              <w:right w:w="108" w:type="dxa"/>
            </w:tcMar>
            <w:vAlign w:val="top"/>
          </w:tcPr>
          <w:p>
            <w:pPr>
              <w:spacing w:before="40" w:after="40" w:line="240"/>
              <w:ind w:right="0" w:left="0" w:firstLine="0"/>
              <w:jc w:val="center"/>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Opremanje civilne zaštite u segmentu vatrogastva</w:t>
            </w:r>
          </w:p>
        </w:tc>
      </w:tr>
      <w:tr>
        <w:trPr>
          <w:trHeight w:val="227" w:hRule="auto"/>
          <w:jc w:val="left"/>
        </w:trPr>
        <w:tc>
          <w:tcPr>
            <w:tcW w:w="2122" w:type="dxa"/>
            <w:tcBorders>
              <w:top w:val="single" w:color="000000" w:sz="4"/>
              <w:left w:val="single" w:color="000000" w:sz="4"/>
              <w:bottom w:val="single" w:color="000000" w:sz="4"/>
              <w:right w:val="single" w:color="000000" w:sz="4"/>
            </w:tcBorders>
            <w:shd w:color="auto" w:fill="fbe4d5" w:val="clear"/>
            <w:tcMar>
              <w:left w:w="108" w:type="dxa"/>
              <w:right w:w="108" w:type="dxa"/>
            </w:tcMar>
            <w:vAlign w:val="top"/>
          </w:tcPr>
          <w:p>
            <w:pPr>
              <w:spacing w:before="40" w:after="40" w:line="240"/>
              <w:ind w:right="0" w:left="0" w:firstLine="0"/>
              <w:jc w:val="left"/>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Nosilac realizacije mjere</w:t>
            </w:r>
          </w:p>
        </w:tc>
        <w:tc>
          <w:tcPr>
            <w:tcW w:w="7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125"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Op</w:t>
            </w:r>
            <w:r>
              <w:rPr>
                <w:rFonts w:ascii="Calibri" w:hAnsi="Calibri" w:cs="Calibri" w:eastAsia="Calibri"/>
                <w:color w:val="auto"/>
                <w:spacing w:val="0"/>
                <w:position w:val="0"/>
                <w:sz w:val="18"/>
                <w:shd w:fill="auto" w:val="clear"/>
              </w:rPr>
              <w:t xml:space="preserve">ćina Doboj Istok</w:t>
            </w:r>
          </w:p>
        </w:tc>
      </w:tr>
      <w:tr>
        <w:trPr>
          <w:trHeight w:val="227" w:hRule="auto"/>
          <w:jc w:val="left"/>
        </w:trPr>
        <w:tc>
          <w:tcPr>
            <w:tcW w:w="2122" w:type="dxa"/>
            <w:tcBorders>
              <w:top w:val="single" w:color="000000" w:sz="4"/>
              <w:left w:val="single" w:color="000000" w:sz="4"/>
              <w:bottom w:val="single" w:color="000000" w:sz="4"/>
              <w:right w:val="single" w:color="000000" w:sz="4"/>
            </w:tcBorders>
            <w:shd w:color="auto" w:fill="fbe4d5" w:val="clear"/>
            <w:tcMar>
              <w:left w:w="108" w:type="dxa"/>
              <w:right w:w="108" w:type="dxa"/>
            </w:tcMar>
            <w:vAlign w:val="top"/>
          </w:tcPr>
          <w:p>
            <w:pPr>
              <w:spacing w:before="40" w:after="40" w:line="240"/>
              <w:ind w:right="0" w:left="0" w:firstLine="0"/>
              <w:jc w:val="left"/>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Partneri u realizaciji</w:t>
            </w:r>
          </w:p>
        </w:tc>
        <w:tc>
          <w:tcPr>
            <w:tcW w:w="7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3908"/>
              </w:numPr>
              <w:spacing w:before="40" w:after="0" w:line="240"/>
              <w:ind w:right="0" w:left="482" w:hanging="357"/>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Vlada Tuzlanskog kantona</w:t>
            </w:r>
          </w:p>
          <w:p>
            <w:pPr>
              <w:numPr>
                <w:ilvl w:val="0"/>
                <w:numId w:val="3908"/>
              </w:numPr>
              <w:spacing w:before="0" w:after="0" w:line="240"/>
              <w:ind w:right="0" w:left="482" w:hanging="357"/>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Vlada Federacije BiH</w:t>
            </w:r>
          </w:p>
          <w:p>
            <w:pPr>
              <w:numPr>
                <w:ilvl w:val="0"/>
                <w:numId w:val="3908"/>
              </w:numPr>
              <w:spacing w:before="0" w:after="0" w:line="240"/>
              <w:ind w:right="0" w:left="482" w:hanging="357"/>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Kantonalna uprava civilne zaštite</w:t>
            </w:r>
          </w:p>
          <w:p>
            <w:pPr>
              <w:numPr>
                <w:ilvl w:val="0"/>
                <w:numId w:val="3908"/>
              </w:numPr>
              <w:spacing w:before="0" w:after="40" w:line="240"/>
              <w:ind w:right="0" w:left="482" w:hanging="357"/>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Federalna uprava civilne zaštite </w:t>
            </w:r>
          </w:p>
        </w:tc>
      </w:tr>
      <w:tr>
        <w:trPr>
          <w:trHeight w:val="227" w:hRule="auto"/>
          <w:jc w:val="left"/>
        </w:trPr>
        <w:tc>
          <w:tcPr>
            <w:tcW w:w="2122" w:type="dxa"/>
            <w:tcBorders>
              <w:top w:val="single" w:color="000000" w:sz="4"/>
              <w:left w:val="single" w:color="000000" w:sz="4"/>
              <w:bottom w:val="single" w:color="000000" w:sz="4"/>
              <w:right w:val="single" w:color="000000" w:sz="4"/>
            </w:tcBorders>
            <w:shd w:color="auto" w:fill="fbe4d5" w:val="clear"/>
            <w:tcMar>
              <w:left w:w="108" w:type="dxa"/>
              <w:right w:w="108" w:type="dxa"/>
            </w:tcMar>
            <w:vAlign w:val="top"/>
          </w:tcPr>
          <w:p>
            <w:pPr>
              <w:spacing w:before="40" w:after="40" w:line="240"/>
              <w:ind w:right="0" w:left="0" w:firstLine="0"/>
              <w:jc w:val="left"/>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Period realizacije</w:t>
            </w:r>
          </w:p>
        </w:tc>
        <w:tc>
          <w:tcPr>
            <w:tcW w:w="7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72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2020-2023.</w:t>
            </w:r>
          </w:p>
        </w:tc>
      </w:tr>
      <w:tr>
        <w:trPr>
          <w:trHeight w:val="227" w:hRule="auto"/>
          <w:jc w:val="left"/>
        </w:trPr>
        <w:tc>
          <w:tcPr>
            <w:tcW w:w="2122" w:type="dxa"/>
            <w:tcBorders>
              <w:top w:val="single" w:color="000000" w:sz="4"/>
              <w:left w:val="single" w:color="000000" w:sz="4"/>
              <w:bottom w:val="single" w:color="000000" w:sz="4"/>
              <w:right w:val="single" w:color="000000" w:sz="4"/>
            </w:tcBorders>
            <w:shd w:color="auto" w:fill="fbe4d5" w:val="clear"/>
            <w:tcMar>
              <w:left w:w="108" w:type="dxa"/>
              <w:right w:w="108" w:type="dxa"/>
            </w:tcMar>
            <w:vAlign w:val="top"/>
          </w:tcPr>
          <w:p>
            <w:pPr>
              <w:spacing w:before="40" w:after="40" w:line="240"/>
              <w:ind w:right="0" w:left="0" w:firstLine="0"/>
              <w:jc w:val="left"/>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Ukupna investicija</w:t>
            </w:r>
          </w:p>
        </w:tc>
        <w:tc>
          <w:tcPr>
            <w:tcW w:w="7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72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75.000 KM</w:t>
            </w:r>
          </w:p>
        </w:tc>
      </w:tr>
      <w:tr>
        <w:trPr>
          <w:trHeight w:val="227" w:hRule="auto"/>
          <w:jc w:val="left"/>
        </w:trPr>
        <w:tc>
          <w:tcPr>
            <w:tcW w:w="2122" w:type="dxa"/>
            <w:tcBorders>
              <w:top w:val="single" w:color="000000" w:sz="4"/>
              <w:left w:val="single" w:color="000000" w:sz="4"/>
              <w:bottom w:val="single" w:color="000000" w:sz="4"/>
              <w:right w:val="single" w:color="000000" w:sz="4"/>
            </w:tcBorders>
            <w:shd w:color="auto" w:fill="fbe4d5" w:val="clear"/>
            <w:tcMar>
              <w:left w:w="108" w:type="dxa"/>
              <w:right w:w="108" w:type="dxa"/>
            </w:tcMar>
            <w:vAlign w:val="top"/>
          </w:tcPr>
          <w:p>
            <w:pPr>
              <w:spacing w:before="40" w:after="40" w:line="240"/>
              <w:ind w:right="0" w:left="0" w:firstLine="0"/>
              <w:jc w:val="left"/>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Izvori financijskih sredstava</w:t>
            </w:r>
          </w:p>
        </w:tc>
        <w:tc>
          <w:tcPr>
            <w:tcW w:w="7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3919"/>
              </w:numPr>
              <w:spacing w:before="40" w:after="0" w:line="240"/>
              <w:ind w:right="0" w:left="482" w:hanging="357"/>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Budžet Op</w:t>
            </w:r>
            <w:r>
              <w:rPr>
                <w:rFonts w:ascii="Calibri" w:hAnsi="Calibri" w:cs="Calibri" w:eastAsia="Calibri"/>
                <w:color w:val="auto"/>
                <w:spacing w:val="0"/>
                <w:position w:val="0"/>
                <w:sz w:val="18"/>
                <w:shd w:fill="auto" w:val="clear"/>
              </w:rPr>
              <w:t xml:space="preserve">ćine Doboj Istok</w:t>
            </w:r>
          </w:p>
          <w:p>
            <w:pPr>
              <w:numPr>
                <w:ilvl w:val="0"/>
                <w:numId w:val="3919"/>
              </w:numPr>
              <w:spacing w:before="0" w:after="0" w:line="240"/>
              <w:ind w:right="0" w:left="482" w:hanging="357"/>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Namjenska sredstva viših nivoa vlasti</w:t>
            </w:r>
          </w:p>
          <w:p>
            <w:pPr>
              <w:numPr>
                <w:ilvl w:val="0"/>
                <w:numId w:val="3919"/>
              </w:numPr>
              <w:spacing w:before="0" w:after="40" w:line="240"/>
              <w:ind w:right="0" w:left="482" w:hanging="357"/>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Me</w:t>
            </w:r>
            <w:r>
              <w:rPr>
                <w:rFonts w:ascii="Calibri" w:hAnsi="Calibri" w:cs="Calibri" w:eastAsia="Calibri"/>
                <w:color w:val="auto"/>
                <w:spacing w:val="0"/>
                <w:position w:val="0"/>
                <w:sz w:val="18"/>
                <w:shd w:fill="auto" w:val="clear"/>
              </w:rPr>
              <w:t xml:space="preserve">đunarodni financijeri i donatori (EU, UNDP, USAID i dr.)</w:t>
            </w:r>
          </w:p>
        </w:tc>
      </w:tr>
      <w:tr>
        <w:trPr>
          <w:trHeight w:val="710" w:hRule="auto"/>
          <w:jc w:val="left"/>
        </w:trPr>
        <w:tc>
          <w:tcPr>
            <w:tcW w:w="2122" w:type="dxa"/>
            <w:tcBorders>
              <w:top w:val="single" w:color="000000" w:sz="4"/>
              <w:left w:val="single" w:color="000000" w:sz="4"/>
              <w:bottom w:val="single" w:color="000000" w:sz="4"/>
              <w:right w:val="single" w:color="000000" w:sz="4"/>
            </w:tcBorders>
            <w:shd w:color="auto" w:fill="fbe4d5" w:val="clear"/>
            <w:tcMar>
              <w:left w:w="108" w:type="dxa"/>
              <w:right w:w="108" w:type="dxa"/>
            </w:tcMar>
            <w:vAlign w:val="top"/>
          </w:tcPr>
          <w:p>
            <w:pPr>
              <w:spacing w:before="40" w:after="40" w:line="240"/>
              <w:ind w:right="0" w:left="0" w:firstLine="0"/>
              <w:jc w:val="left"/>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Kratki opis mjere</w:t>
            </w:r>
          </w:p>
        </w:tc>
        <w:tc>
          <w:tcPr>
            <w:tcW w:w="7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106" w:leader="none"/>
              </w:tabs>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Zakonom o zaštiti i spašavanju ljudi i materijalnih dobara u Federaciji BiH, Zakonom o zaštiti od požara i vatrogastvu precizno su odre</w:t>
            </w:r>
            <w:r>
              <w:rPr>
                <w:rFonts w:ascii="Calibri" w:hAnsi="Calibri" w:cs="Calibri" w:eastAsia="Calibri"/>
                <w:color w:val="auto"/>
                <w:spacing w:val="0"/>
                <w:position w:val="0"/>
                <w:sz w:val="18"/>
                <w:shd w:fill="auto" w:val="clear"/>
              </w:rPr>
              <w:t xml:space="preserve">đena prava i obaveze lokalnih zajednica u ovoj oblasti, te  utvrđene sve materijalno-tehničke pretpostavke neophodne za obavljanje postavljenih zadataka. Općina Doboj Istok je uredila pravnu legislativu neophodnu za formiranje općinske vatrogasne jedinice i izvršila nabavku osnovne vatrogasne opreme i vatrogasnog vozila. Očekivani rezultat ove mjere je funkcionalna vatrogasna jedinica te smanjeno vrijeme odziva Civilne zaštite u sektoru vatrogastva na pojavu opasnosti od požara za 30% na godišnjem nivou. Realizacija ove mjere će doprinijeti i postizanju šire postavljenih ciljeva smanjenja vrijednosti materijalnih šteta od elementarnih i drugih većih nepogoda za 30%, smanjenja broja nesreća koje ugrožavaju život i zdravlje ljudi te dovode do velikih materijalnih šteta usljed elementarnih i drugih većih nepogoda za 50%, te smanjenja zagađenost zemljišta uzrokovanog poplavama i drugim uzrocima zagađenja za 10%, u odnosu na zabilježeno stanje u 2015. godini.</w:t>
            </w:r>
          </w:p>
        </w:tc>
      </w:tr>
    </w:tbl>
    <w:p>
      <w:pPr>
        <w:spacing w:before="120" w:after="120" w:line="240"/>
        <w:ind w:right="0" w:left="0" w:firstLine="0"/>
        <w:jc w:val="both"/>
        <w:rPr>
          <w:rFonts w:ascii="Calibri" w:hAnsi="Calibri" w:cs="Calibri" w:eastAsia="Calibri"/>
          <w:color w:val="auto"/>
          <w:spacing w:val="0"/>
          <w:position w:val="0"/>
          <w:sz w:val="22"/>
          <w:shd w:fill="auto" w:val="clear"/>
        </w:rPr>
      </w:pPr>
    </w:p>
    <w:tbl>
      <w:tblPr/>
      <w:tblGrid>
        <w:gridCol w:w="2122"/>
        <w:gridCol w:w="7484"/>
      </w:tblGrid>
      <w:tr>
        <w:trPr>
          <w:trHeight w:val="350" w:hRule="auto"/>
          <w:jc w:val="left"/>
        </w:trPr>
        <w:tc>
          <w:tcPr>
            <w:tcW w:w="2122" w:type="dxa"/>
            <w:tcBorders>
              <w:top w:val="single" w:color="000000" w:sz="4"/>
              <w:left w:val="single" w:color="000000" w:sz="4"/>
              <w:bottom w:val="single" w:color="000000" w:sz="4"/>
              <w:right w:val="single" w:color="000000" w:sz="4"/>
            </w:tcBorders>
            <w:shd w:color="auto" w:fill="d5dce4"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Redni broj mjere</w:t>
            </w:r>
          </w:p>
        </w:tc>
        <w:tc>
          <w:tcPr>
            <w:tcW w:w="7484" w:type="dxa"/>
            <w:tcBorders>
              <w:top w:val="single" w:color="000000" w:sz="4"/>
              <w:left w:val="single" w:color="000000" w:sz="4"/>
              <w:bottom w:val="single" w:color="000000" w:sz="4"/>
              <w:right w:val="single" w:color="000000" w:sz="4"/>
            </w:tcBorders>
            <w:shd w:color="auto" w:fill="d5dce4" w:val="clear"/>
            <w:tcMar>
              <w:left w:w="108" w:type="dxa"/>
              <w:right w:w="108" w:type="dxa"/>
            </w:tcMar>
            <w:vAlign w:val="top"/>
          </w:tcPr>
          <w:p>
            <w:pPr>
              <w:spacing w:before="40" w:after="40" w:line="240"/>
              <w:ind w:right="0" w:left="0" w:firstLine="0"/>
              <w:jc w:val="center"/>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16</w:t>
            </w:r>
          </w:p>
        </w:tc>
      </w:tr>
      <w:tr>
        <w:trPr>
          <w:trHeight w:val="280" w:hRule="auto"/>
          <w:jc w:val="left"/>
        </w:trPr>
        <w:tc>
          <w:tcPr>
            <w:tcW w:w="2122" w:type="dxa"/>
            <w:tcBorders>
              <w:top w:val="single" w:color="000000" w:sz="4"/>
              <w:left w:val="single" w:color="000000" w:sz="4"/>
              <w:bottom w:val="single" w:color="000000" w:sz="4"/>
              <w:right w:val="single" w:color="000000" w:sz="4"/>
            </w:tcBorders>
            <w:shd w:color="auto" w:fill="d5dce4" w:val="clear"/>
            <w:tcMar>
              <w:left w:w="108" w:type="dxa"/>
              <w:right w:w="108" w:type="dxa"/>
            </w:tcMar>
            <w:vAlign w:val="top"/>
          </w:tcPr>
          <w:p>
            <w:pPr>
              <w:spacing w:before="40" w:after="40" w:line="240"/>
              <w:ind w:right="0" w:left="0" w:firstLine="0"/>
              <w:jc w:val="left"/>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Naziv mjere</w:t>
            </w:r>
          </w:p>
        </w:tc>
        <w:tc>
          <w:tcPr>
            <w:tcW w:w="7484" w:type="dxa"/>
            <w:tcBorders>
              <w:top w:val="single" w:color="000000" w:sz="4"/>
              <w:left w:val="single" w:color="000000" w:sz="4"/>
              <w:bottom w:val="single" w:color="000000" w:sz="4"/>
              <w:right w:val="single" w:color="000000" w:sz="4"/>
            </w:tcBorders>
            <w:shd w:color="auto" w:fill="d5dce4" w:val="clear"/>
            <w:tcMar>
              <w:left w:w="108" w:type="dxa"/>
              <w:right w:w="108" w:type="dxa"/>
            </w:tcMar>
            <w:vAlign w:val="top"/>
          </w:tcPr>
          <w:p>
            <w:pPr>
              <w:spacing w:before="40" w:after="40" w:line="240"/>
              <w:ind w:right="0" w:left="0" w:firstLine="0"/>
              <w:jc w:val="center"/>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Ja</w:t>
            </w:r>
            <w:r>
              <w:rPr>
                <w:rFonts w:ascii="Calibri" w:hAnsi="Calibri" w:cs="Calibri" w:eastAsia="Calibri"/>
                <w:b/>
                <w:color w:val="auto"/>
                <w:spacing w:val="0"/>
                <w:position w:val="0"/>
                <w:sz w:val="18"/>
                <w:shd w:fill="auto" w:val="clear"/>
              </w:rPr>
              <w:t xml:space="preserve">čanje kapaciteta civilne zaštite u segmentu zaštite i spašavanja na vodi i pod vodom</w:t>
            </w:r>
          </w:p>
        </w:tc>
      </w:tr>
      <w:tr>
        <w:trPr>
          <w:trHeight w:val="227" w:hRule="auto"/>
          <w:jc w:val="left"/>
        </w:trPr>
        <w:tc>
          <w:tcPr>
            <w:tcW w:w="2122" w:type="dxa"/>
            <w:tcBorders>
              <w:top w:val="single" w:color="000000" w:sz="4"/>
              <w:left w:val="single" w:color="000000" w:sz="4"/>
              <w:bottom w:val="single" w:color="000000" w:sz="4"/>
              <w:right w:val="single" w:color="000000" w:sz="4"/>
            </w:tcBorders>
            <w:shd w:color="auto" w:fill="fbe4d5" w:val="clear"/>
            <w:tcMar>
              <w:left w:w="108" w:type="dxa"/>
              <w:right w:w="108" w:type="dxa"/>
            </w:tcMar>
            <w:vAlign w:val="top"/>
          </w:tcPr>
          <w:p>
            <w:pPr>
              <w:spacing w:before="40" w:after="40" w:line="240"/>
              <w:ind w:right="0" w:left="0" w:firstLine="0"/>
              <w:jc w:val="left"/>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Nosilac realizacije mjere</w:t>
            </w:r>
          </w:p>
        </w:tc>
        <w:tc>
          <w:tcPr>
            <w:tcW w:w="7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125"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Op</w:t>
            </w:r>
            <w:r>
              <w:rPr>
                <w:rFonts w:ascii="Calibri" w:hAnsi="Calibri" w:cs="Calibri" w:eastAsia="Calibri"/>
                <w:color w:val="auto"/>
                <w:spacing w:val="0"/>
                <w:position w:val="0"/>
                <w:sz w:val="18"/>
                <w:shd w:fill="auto" w:val="clear"/>
              </w:rPr>
              <w:t xml:space="preserve">ćina Doboj Istok</w:t>
            </w:r>
          </w:p>
        </w:tc>
      </w:tr>
      <w:tr>
        <w:trPr>
          <w:trHeight w:val="227" w:hRule="auto"/>
          <w:jc w:val="left"/>
        </w:trPr>
        <w:tc>
          <w:tcPr>
            <w:tcW w:w="2122" w:type="dxa"/>
            <w:tcBorders>
              <w:top w:val="single" w:color="000000" w:sz="4"/>
              <w:left w:val="single" w:color="000000" w:sz="4"/>
              <w:bottom w:val="single" w:color="000000" w:sz="4"/>
              <w:right w:val="single" w:color="000000" w:sz="4"/>
            </w:tcBorders>
            <w:shd w:color="auto" w:fill="fbe4d5" w:val="clear"/>
            <w:tcMar>
              <w:left w:w="108" w:type="dxa"/>
              <w:right w:w="108" w:type="dxa"/>
            </w:tcMar>
            <w:vAlign w:val="top"/>
          </w:tcPr>
          <w:p>
            <w:pPr>
              <w:spacing w:before="40" w:after="40" w:line="240"/>
              <w:ind w:right="0" w:left="0" w:firstLine="0"/>
              <w:jc w:val="left"/>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Partneri u realizaciji</w:t>
            </w:r>
          </w:p>
        </w:tc>
        <w:tc>
          <w:tcPr>
            <w:tcW w:w="7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3941"/>
              </w:numPr>
              <w:spacing w:before="40" w:after="0" w:line="240"/>
              <w:ind w:right="0" w:left="482" w:hanging="357"/>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Vlada Tuzlanskog kantona</w:t>
            </w:r>
          </w:p>
          <w:p>
            <w:pPr>
              <w:numPr>
                <w:ilvl w:val="0"/>
                <w:numId w:val="3941"/>
              </w:numPr>
              <w:spacing w:before="0" w:after="0" w:line="240"/>
              <w:ind w:right="0" w:left="482" w:hanging="357"/>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Vlada Federacije BiH</w:t>
            </w:r>
          </w:p>
          <w:p>
            <w:pPr>
              <w:numPr>
                <w:ilvl w:val="0"/>
                <w:numId w:val="3941"/>
              </w:numPr>
              <w:spacing w:before="0" w:after="0" w:line="240"/>
              <w:ind w:right="0" w:left="482" w:hanging="357"/>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Kantonalna uprava civilne zaštite</w:t>
            </w:r>
          </w:p>
          <w:p>
            <w:pPr>
              <w:numPr>
                <w:ilvl w:val="0"/>
                <w:numId w:val="3941"/>
              </w:numPr>
              <w:spacing w:before="0" w:after="40" w:line="240"/>
              <w:ind w:right="0" w:left="482" w:hanging="357"/>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Federalna uprava civilne zaštite </w:t>
            </w:r>
          </w:p>
        </w:tc>
      </w:tr>
      <w:tr>
        <w:trPr>
          <w:trHeight w:val="227" w:hRule="auto"/>
          <w:jc w:val="left"/>
        </w:trPr>
        <w:tc>
          <w:tcPr>
            <w:tcW w:w="2122" w:type="dxa"/>
            <w:tcBorders>
              <w:top w:val="single" w:color="000000" w:sz="4"/>
              <w:left w:val="single" w:color="000000" w:sz="4"/>
              <w:bottom w:val="single" w:color="000000" w:sz="4"/>
              <w:right w:val="single" w:color="000000" w:sz="4"/>
            </w:tcBorders>
            <w:shd w:color="auto" w:fill="fbe4d5" w:val="clear"/>
            <w:tcMar>
              <w:left w:w="108" w:type="dxa"/>
              <w:right w:w="108" w:type="dxa"/>
            </w:tcMar>
            <w:vAlign w:val="top"/>
          </w:tcPr>
          <w:p>
            <w:pPr>
              <w:spacing w:before="40" w:after="40" w:line="240"/>
              <w:ind w:right="0" w:left="0" w:firstLine="0"/>
              <w:jc w:val="left"/>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Period realizacije</w:t>
            </w:r>
          </w:p>
        </w:tc>
        <w:tc>
          <w:tcPr>
            <w:tcW w:w="7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72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2020-2023.</w:t>
            </w:r>
          </w:p>
        </w:tc>
      </w:tr>
      <w:tr>
        <w:trPr>
          <w:trHeight w:val="227" w:hRule="auto"/>
          <w:jc w:val="left"/>
        </w:trPr>
        <w:tc>
          <w:tcPr>
            <w:tcW w:w="2122" w:type="dxa"/>
            <w:tcBorders>
              <w:top w:val="single" w:color="000000" w:sz="4"/>
              <w:left w:val="single" w:color="000000" w:sz="4"/>
              <w:bottom w:val="single" w:color="000000" w:sz="4"/>
              <w:right w:val="single" w:color="000000" w:sz="4"/>
            </w:tcBorders>
            <w:shd w:color="auto" w:fill="fbe4d5" w:val="clear"/>
            <w:tcMar>
              <w:left w:w="108" w:type="dxa"/>
              <w:right w:w="108" w:type="dxa"/>
            </w:tcMar>
            <w:vAlign w:val="top"/>
          </w:tcPr>
          <w:p>
            <w:pPr>
              <w:spacing w:before="40" w:after="40" w:line="240"/>
              <w:ind w:right="0" w:left="0" w:firstLine="0"/>
              <w:jc w:val="left"/>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Ukupna investicija</w:t>
            </w:r>
          </w:p>
        </w:tc>
        <w:tc>
          <w:tcPr>
            <w:tcW w:w="7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72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100.000 KM</w:t>
            </w:r>
          </w:p>
        </w:tc>
      </w:tr>
      <w:tr>
        <w:trPr>
          <w:trHeight w:val="227" w:hRule="auto"/>
          <w:jc w:val="left"/>
        </w:trPr>
        <w:tc>
          <w:tcPr>
            <w:tcW w:w="2122" w:type="dxa"/>
            <w:tcBorders>
              <w:top w:val="single" w:color="000000" w:sz="4"/>
              <w:left w:val="single" w:color="000000" w:sz="4"/>
              <w:bottom w:val="single" w:color="000000" w:sz="4"/>
              <w:right w:val="single" w:color="000000" w:sz="4"/>
            </w:tcBorders>
            <w:shd w:color="auto" w:fill="fbe4d5" w:val="clear"/>
            <w:tcMar>
              <w:left w:w="108" w:type="dxa"/>
              <w:right w:w="108" w:type="dxa"/>
            </w:tcMar>
            <w:vAlign w:val="top"/>
          </w:tcPr>
          <w:p>
            <w:pPr>
              <w:spacing w:before="40" w:after="40" w:line="240"/>
              <w:ind w:right="0" w:left="0" w:firstLine="0"/>
              <w:jc w:val="left"/>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Izvori financijskih sredstava</w:t>
            </w:r>
          </w:p>
        </w:tc>
        <w:tc>
          <w:tcPr>
            <w:tcW w:w="7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3952"/>
              </w:numPr>
              <w:spacing w:before="40" w:after="0" w:line="240"/>
              <w:ind w:right="0" w:left="482" w:hanging="357"/>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Budžet Op</w:t>
            </w:r>
            <w:r>
              <w:rPr>
                <w:rFonts w:ascii="Calibri" w:hAnsi="Calibri" w:cs="Calibri" w:eastAsia="Calibri"/>
                <w:color w:val="auto"/>
                <w:spacing w:val="0"/>
                <w:position w:val="0"/>
                <w:sz w:val="18"/>
                <w:shd w:fill="auto" w:val="clear"/>
              </w:rPr>
              <w:t xml:space="preserve">ćine Doboj Istok</w:t>
            </w:r>
          </w:p>
          <w:p>
            <w:pPr>
              <w:numPr>
                <w:ilvl w:val="0"/>
                <w:numId w:val="3952"/>
              </w:numPr>
              <w:spacing w:before="0" w:after="0" w:line="240"/>
              <w:ind w:right="0" w:left="482" w:hanging="357"/>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Budžet Tuzlanskog kantona </w:t>
            </w:r>
          </w:p>
          <w:p>
            <w:pPr>
              <w:numPr>
                <w:ilvl w:val="0"/>
                <w:numId w:val="3952"/>
              </w:numPr>
              <w:spacing w:before="0" w:after="0" w:line="240"/>
              <w:ind w:right="0" w:left="482" w:hanging="357"/>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Budžet Federacije Bosne i Hercegovine </w:t>
            </w:r>
          </w:p>
          <w:p>
            <w:pPr>
              <w:numPr>
                <w:ilvl w:val="0"/>
                <w:numId w:val="3952"/>
              </w:numPr>
              <w:spacing w:before="0" w:after="0" w:line="240"/>
              <w:ind w:right="0" w:left="482" w:hanging="357"/>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Namjenska sredstva viših nivoa vlasti</w:t>
            </w:r>
          </w:p>
          <w:p>
            <w:pPr>
              <w:numPr>
                <w:ilvl w:val="0"/>
                <w:numId w:val="3952"/>
              </w:numPr>
              <w:spacing w:before="0" w:after="40" w:line="240"/>
              <w:ind w:right="0" w:left="482" w:hanging="357"/>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Me</w:t>
            </w:r>
            <w:r>
              <w:rPr>
                <w:rFonts w:ascii="Calibri" w:hAnsi="Calibri" w:cs="Calibri" w:eastAsia="Calibri"/>
                <w:color w:val="auto"/>
                <w:spacing w:val="0"/>
                <w:position w:val="0"/>
                <w:sz w:val="18"/>
                <w:shd w:fill="auto" w:val="clear"/>
              </w:rPr>
              <w:t xml:space="preserve">đunarodni finansijeri i donatori (EU, UNDP, USAID i dr.)</w:t>
            </w:r>
          </w:p>
        </w:tc>
      </w:tr>
      <w:tr>
        <w:trPr>
          <w:trHeight w:val="710" w:hRule="auto"/>
          <w:jc w:val="left"/>
        </w:trPr>
        <w:tc>
          <w:tcPr>
            <w:tcW w:w="2122" w:type="dxa"/>
            <w:tcBorders>
              <w:top w:val="single" w:color="000000" w:sz="4"/>
              <w:left w:val="single" w:color="000000" w:sz="4"/>
              <w:bottom w:val="single" w:color="000000" w:sz="4"/>
              <w:right w:val="single" w:color="000000" w:sz="4"/>
            </w:tcBorders>
            <w:shd w:color="auto" w:fill="fbe4d5" w:val="clear"/>
            <w:tcMar>
              <w:left w:w="108" w:type="dxa"/>
              <w:right w:w="108" w:type="dxa"/>
            </w:tcMar>
            <w:vAlign w:val="top"/>
          </w:tcPr>
          <w:p>
            <w:pPr>
              <w:spacing w:before="40" w:after="40" w:line="240"/>
              <w:ind w:right="0" w:left="0" w:firstLine="0"/>
              <w:jc w:val="left"/>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Kratki opis mjere</w:t>
            </w:r>
          </w:p>
        </w:tc>
        <w:tc>
          <w:tcPr>
            <w:tcW w:w="7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0" w:line="240"/>
              <w:ind w:right="0" w:left="0" w:firstLine="0"/>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Poplave iz 2014. godine su pokazale da se efekti šteta od elementarnih nepogoda mogu znatno umanjiti uz odgovaraju</w:t>
            </w:r>
            <w:r>
              <w:rPr>
                <w:rFonts w:ascii="Calibri" w:hAnsi="Calibri" w:cs="Calibri" w:eastAsia="Calibri"/>
                <w:color w:val="auto"/>
                <w:spacing w:val="0"/>
                <w:position w:val="0"/>
                <w:sz w:val="18"/>
                <w:shd w:fill="auto" w:val="clear"/>
              </w:rPr>
              <w:t xml:space="preserve">će ljudske i materijalne resurse. Npr. gumeni čamci i  njihove posade, koji su tada svakodnevno korišteni na prostorima općina Doboj Istok, bili su od neprocjenljive koristi. Međutim, uz bolje čamce i obučenije ljude efekti bi bili još i bolji. Pored čamaca veće kvalitete,  neophodno bi bilo i posjedovanje odgovarajućih motora za pogon čamaca, te ronilačka i druga oprema. Tokom ovih zbivanja na sreću nije bilo stradanja ljudi ni životinja, zahvaljujući između ostalog pravovremenoj reakciji sa već pomenutim čamcima. U proteklom periodu je više osoba sa područja općine završilo obuku za skipere i za djelovanje u ekstremnim uslovima na vodi, što je svakako osnovni preduslov za odgovarajuću reakciju u slučaju elementarnih nepogoda. </w:t>
            </w:r>
          </w:p>
          <w:p>
            <w:pPr>
              <w:spacing w:before="40" w:after="0" w:line="240"/>
              <w:ind w:right="0" w:left="0" w:firstLine="0"/>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Osim navedene opreme, op</w:t>
            </w:r>
            <w:r>
              <w:rPr>
                <w:rFonts w:ascii="Calibri" w:hAnsi="Calibri" w:cs="Calibri" w:eastAsia="Calibri"/>
                <w:color w:val="auto"/>
                <w:spacing w:val="0"/>
                <w:position w:val="0"/>
                <w:sz w:val="18"/>
                <w:shd w:fill="auto" w:val="clear"/>
              </w:rPr>
              <w:t xml:space="preserve">ćinskoj službi civilne zaštite nedostaje i trensko vozilo za transport opreme i ljudstva kako u navedenim tako i u drugim otežanim uslovima prouzrokovanim prirodnim i drugim nepogodama.</w:t>
            </w:r>
          </w:p>
          <w:p>
            <w:pPr>
              <w:spacing w:before="40" w:after="0" w:line="240"/>
              <w:ind w:right="0" w:left="0" w:firstLine="0"/>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O</w:t>
            </w:r>
            <w:r>
              <w:rPr>
                <w:rFonts w:ascii="Calibri" w:hAnsi="Calibri" w:cs="Calibri" w:eastAsia="Calibri"/>
                <w:color w:val="auto"/>
                <w:spacing w:val="0"/>
                <w:position w:val="0"/>
                <w:sz w:val="18"/>
                <w:shd w:fill="auto" w:val="clear"/>
              </w:rPr>
              <w:t xml:space="preserve">čekivani rezultat realizacije ove mjere će biti funkcionalna jedinica za zaštitu i spašavanje na vodi i pod vodom, te smanjenje vremena interventnog odziva ove jedinice za 30% na godišnjem nivou. Realizacija ove mjere će doprinijeti i postizanju šire postavljenih ciljeva smanjenja vrijednosti materijalnih šteta od elementarnih i drugih većih nepogoda za 30%, smanjenja broja nesreća koje ugrožavaju život i zdravlje ljudi te dovode do velikih materijalnih šteta usljed elementarnih i drugih većih nepogoda za 50%, te smanjenja zagađenost zemljišta uzrokovanog poplavama i drugim uzrocima zagađenja za 10%, u odnosu na zabilježeno stanje u 2015. godini.</w:t>
            </w:r>
          </w:p>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Prethodna iskustva ste</w:t>
            </w:r>
            <w:r>
              <w:rPr>
                <w:rFonts w:ascii="Calibri" w:hAnsi="Calibri" w:cs="Calibri" w:eastAsia="Calibri"/>
                <w:color w:val="auto"/>
                <w:spacing w:val="0"/>
                <w:position w:val="0"/>
                <w:sz w:val="18"/>
                <w:shd w:fill="auto" w:val="clear"/>
              </w:rPr>
              <w:t xml:space="preserve">čena u poplavama iz 2014. godine prisilila su jedinice lokalne samouprave da preventivno djeluju na ovakve pojave, te a se kadrovski ojačaju i tehnički opreme kako bi nastale štete bile što manje. Ova kadrovska i tehnička opremljenost važna je i svakodnevnim okolnostima, npr. kod spašavanja ljudi i stoke od utopljavanja u vodotokovima. Aktivnosti u okviru ove mjere uključuju analizu neophodne opreme, provođenje procedure javne nabavke i izbor dobavljača opreme (gumeni čamac na motorni pogon, ronilačka oprema, transportno sredstvo, i mobilni sistem veze), formiranje jedinice zaštite i spašavnja na vodi, obučavanje lica za spašavanje ljudi, životinja i materijalnih dobara na vodi i pod vodom, te promociju Jedinice i  materijalno tehničke opremljenosti Općinske službe civilne zaštite. </w:t>
            </w:r>
          </w:p>
        </w:tc>
      </w:tr>
    </w:tbl>
    <w:p>
      <w:pPr>
        <w:spacing w:before="120" w:after="120" w:line="240"/>
        <w:ind w:right="0" w:left="0" w:firstLine="0"/>
        <w:jc w:val="both"/>
        <w:rPr>
          <w:rFonts w:ascii="Calibri" w:hAnsi="Calibri" w:cs="Calibri" w:eastAsia="Calibri"/>
          <w:color w:val="auto"/>
          <w:spacing w:val="0"/>
          <w:position w:val="0"/>
          <w:sz w:val="22"/>
          <w:shd w:fill="auto" w:val="clear"/>
        </w:rPr>
      </w:pPr>
    </w:p>
    <w:tbl>
      <w:tblPr/>
      <w:tblGrid>
        <w:gridCol w:w="2122"/>
        <w:gridCol w:w="7484"/>
      </w:tblGrid>
      <w:tr>
        <w:trPr>
          <w:trHeight w:val="395" w:hRule="auto"/>
          <w:jc w:val="left"/>
        </w:trPr>
        <w:tc>
          <w:tcPr>
            <w:tcW w:w="2122" w:type="dxa"/>
            <w:tcBorders>
              <w:top w:val="single" w:color="000000" w:sz="4"/>
              <w:left w:val="single" w:color="000000" w:sz="4"/>
              <w:bottom w:val="single" w:color="000000" w:sz="4"/>
              <w:right w:val="single" w:color="000000" w:sz="4"/>
            </w:tcBorders>
            <w:shd w:color="auto" w:fill="d5dce4"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Redni broj mjere</w:t>
            </w:r>
          </w:p>
        </w:tc>
        <w:tc>
          <w:tcPr>
            <w:tcW w:w="7484" w:type="dxa"/>
            <w:tcBorders>
              <w:top w:val="single" w:color="000000" w:sz="4"/>
              <w:left w:val="single" w:color="000000" w:sz="4"/>
              <w:bottom w:val="single" w:color="000000" w:sz="4"/>
              <w:right w:val="single" w:color="000000" w:sz="4"/>
            </w:tcBorders>
            <w:shd w:color="auto" w:fill="d5dce4" w:val="clear"/>
            <w:tcMar>
              <w:left w:w="108" w:type="dxa"/>
              <w:right w:w="108" w:type="dxa"/>
            </w:tcMar>
            <w:vAlign w:val="top"/>
          </w:tcPr>
          <w:p>
            <w:pPr>
              <w:spacing w:before="40" w:after="40" w:line="240"/>
              <w:ind w:right="0" w:left="0" w:firstLine="0"/>
              <w:jc w:val="center"/>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17</w:t>
            </w:r>
          </w:p>
        </w:tc>
      </w:tr>
      <w:tr>
        <w:trPr>
          <w:trHeight w:val="283" w:hRule="auto"/>
          <w:jc w:val="left"/>
        </w:trPr>
        <w:tc>
          <w:tcPr>
            <w:tcW w:w="2122" w:type="dxa"/>
            <w:tcBorders>
              <w:top w:val="single" w:color="000000" w:sz="4"/>
              <w:left w:val="single" w:color="000000" w:sz="4"/>
              <w:bottom w:val="single" w:color="000000" w:sz="4"/>
              <w:right w:val="single" w:color="000000" w:sz="4"/>
            </w:tcBorders>
            <w:shd w:color="auto" w:fill="d5dce4" w:val="clear"/>
            <w:tcMar>
              <w:left w:w="108" w:type="dxa"/>
              <w:right w:w="108" w:type="dxa"/>
            </w:tcMar>
            <w:vAlign w:val="top"/>
          </w:tcPr>
          <w:p>
            <w:pPr>
              <w:spacing w:before="40" w:after="40" w:line="240"/>
              <w:ind w:right="0" w:left="0" w:firstLine="0"/>
              <w:jc w:val="left"/>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Naziv mjere</w:t>
            </w:r>
          </w:p>
        </w:tc>
        <w:tc>
          <w:tcPr>
            <w:tcW w:w="7484" w:type="dxa"/>
            <w:tcBorders>
              <w:top w:val="single" w:color="000000" w:sz="4"/>
              <w:left w:val="single" w:color="000000" w:sz="4"/>
              <w:bottom w:val="single" w:color="000000" w:sz="4"/>
              <w:right w:val="single" w:color="000000" w:sz="4"/>
            </w:tcBorders>
            <w:shd w:color="auto" w:fill="d5dce4" w:val="clear"/>
            <w:tcMar>
              <w:left w:w="108" w:type="dxa"/>
              <w:right w:w="108" w:type="dxa"/>
            </w:tcMar>
            <w:vAlign w:val="top"/>
          </w:tcPr>
          <w:p>
            <w:pPr>
              <w:spacing w:before="40" w:after="40" w:line="240"/>
              <w:ind w:right="0" w:left="0" w:firstLine="0"/>
              <w:jc w:val="center"/>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Edukacija i informiranje o klimatskim promjenama, energetskoj efikasnosti i održivosti</w:t>
            </w:r>
          </w:p>
        </w:tc>
      </w:tr>
      <w:tr>
        <w:trPr>
          <w:trHeight w:val="227" w:hRule="auto"/>
          <w:jc w:val="left"/>
        </w:trPr>
        <w:tc>
          <w:tcPr>
            <w:tcW w:w="2122" w:type="dxa"/>
            <w:tcBorders>
              <w:top w:val="single" w:color="000000" w:sz="4"/>
              <w:left w:val="single" w:color="000000" w:sz="4"/>
              <w:bottom w:val="single" w:color="000000" w:sz="4"/>
              <w:right w:val="single" w:color="000000" w:sz="4"/>
            </w:tcBorders>
            <w:shd w:color="auto" w:fill="fbe4d5" w:val="clear"/>
            <w:tcMar>
              <w:left w:w="108" w:type="dxa"/>
              <w:right w:w="108" w:type="dxa"/>
            </w:tcMar>
            <w:vAlign w:val="top"/>
          </w:tcPr>
          <w:p>
            <w:pPr>
              <w:spacing w:before="40" w:after="40" w:line="240"/>
              <w:ind w:right="0" w:left="0" w:firstLine="0"/>
              <w:jc w:val="left"/>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Nosilac realizacije mjere</w:t>
            </w:r>
          </w:p>
        </w:tc>
        <w:tc>
          <w:tcPr>
            <w:tcW w:w="7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125"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Op</w:t>
            </w:r>
            <w:r>
              <w:rPr>
                <w:rFonts w:ascii="Calibri" w:hAnsi="Calibri" w:cs="Calibri" w:eastAsia="Calibri"/>
                <w:color w:val="auto"/>
                <w:spacing w:val="0"/>
                <w:position w:val="0"/>
                <w:sz w:val="18"/>
                <w:shd w:fill="auto" w:val="clear"/>
              </w:rPr>
              <w:t xml:space="preserve">ćina Doboj Istok </w:t>
            </w:r>
          </w:p>
        </w:tc>
      </w:tr>
      <w:tr>
        <w:trPr>
          <w:trHeight w:val="294" w:hRule="auto"/>
          <w:jc w:val="left"/>
        </w:trPr>
        <w:tc>
          <w:tcPr>
            <w:tcW w:w="2122" w:type="dxa"/>
            <w:tcBorders>
              <w:top w:val="single" w:color="000000" w:sz="4"/>
              <w:left w:val="single" w:color="000000" w:sz="4"/>
              <w:bottom w:val="single" w:color="000000" w:sz="4"/>
              <w:right w:val="single" w:color="000000" w:sz="4"/>
            </w:tcBorders>
            <w:shd w:color="auto" w:fill="fbe4d5" w:val="clear"/>
            <w:tcMar>
              <w:left w:w="108" w:type="dxa"/>
              <w:right w:w="108" w:type="dxa"/>
            </w:tcMar>
            <w:vAlign w:val="top"/>
          </w:tcPr>
          <w:p>
            <w:pPr>
              <w:spacing w:before="40" w:after="40" w:line="240"/>
              <w:ind w:right="0" w:left="0" w:firstLine="0"/>
              <w:jc w:val="left"/>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Partneri u realizaciji</w:t>
            </w:r>
          </w:p>
        </w:tc>
        <w:tc>
          <w:tcPr>
            <w:tcW w:w="7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3976"/>
              </w:numPr>
              <w:spacing w:before="40" w:after="0" w:line="240"/>
              <w:ind w:right="0" w:left="482"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Nevladine organizacije</w:t>
            </w:r>
          </w:p>
          <w:p>
            <w:pPr>
              <w:numPr>
                <w:ilvl w:val="0"/>
                <w:numId w:val="3976"/>
              </w:numPr>
              <w:spacing w:before="0" w:after="40" w:line="240"/>
              <w:ind w:right="0" w:left="482" w:hanging="357"/>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Me</w:t>
            </w:r>
            <w:r>
              <w:rPr>
                <w:rFonts w:ascii="Calibri" w:hAnsi="Calibri" w:cs="Calibri" w:eastAsia="Calibri"/>
                <w:color w:val="auto"/>
                <w:spacing w:val="0"/>
                <w:position w:val="0"/>
                <w:sz w:val="18"/>
                <w:shd w:fill="auto" w:val="clear"/>
              </w:rPr>
              <w:t xml:space="preserve">đunarodne razvojne agencije (UNDP, USAID i dr.)</w:t>
            </w:r>
          </w:p>
        </w:tc>
      </w:tr>
      <w:tr>
        <w:trPr>
          <w:trHeight w:val="227" w:hRule="auto"/>
          <w:jc w:val="left"/>
        </w:trPr>
        <w:tc>
          <w:tcPr>
            <w:tcW w:w="2122" w:type="dxa"/>
            <w:tcBorders>
              <w:top w:val="single" w:color="000000" w:sz="4"/>
              <w:left w:val="single" w:color="000000" w:sz="4"/>
              <w:bottom w:val="single" w:color="000000" w:sz="4"/>
              <w:right w:val="single" w:color="000000" w:sz="4"/>
            </w:tcBorders>
            <w:shd w:color="auto" w:fill="fbe4d5" w:val="clear"/>
            <w:tcMar>
              <w:left w:w="108" w:type="dxa"/>
              <w:right w:w="108" w:type="dxa"/>
            </w:tcMar>
            <w:vAlign w:val="top"/>
          </w:tcPr>
          <w:p>
            <w:pPr>
              <w:spacing w:before="40" w:after="40" w:line="240"/>
              <w:ind w:right="0" w:left="0" w:firstLine="0"/>
              <w:jc w:val="left"/>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Period realizacije</w:t>
            </w:r>
          </w:p>
        </w:tc>
        <w:tc>
          <w:tcPr>
            <w:tcW w:w="7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72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2020-2030.</w:t>
            </w:r>
          </w:p>
        </w:tc>
      </w:tr>
      <w:tr>
        <w:trPr>
          <w:trHeight w:val="227" w:hRule="auto"/>
          <w:jc w:val="left"/>
        </w:trPr>
        <w:tc>
          <w:tcPr>
            <w:tcW w:w="2122" w:type="dxa"/>
            <w:tcBorders>
              <w:top w:val="single" w:color="000000" w:sz="4"/>
              <w:left w:val="single" w:color="000000" w:sz="4"/>
              <w:bottom w:val="single" w:color="000000" w:sz="4"/>
              <w:right w:val="single" w:color="000000" w:sz="4"/>
            </w:tcBorders>
            <w:shd w:color="auto" w:fill="fbe4d5" w:val="clear"/>
            <w:tcMar>
              <w:left w:w="108" w:type="dxa"/>
              <w:right w:w="108" w:type="dxa"/>
            </w:tcMar>
            <w:vAlign w:val="top"/>
          </w:tcPr>
          <w:p>
            <w:pPr>
              <w:spacing w:before="40" w:after="40" w:line="240"/>
              <w:ind w:right="0" w:left="0" w:firstLine="0"/>
              <w:jc w:val="left"/>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Ukupna investicija</w:t>
            </w:r>
          </w:p>
        </w:tc>
        <w:tc>
          <w:tcPr>
            <w:tcW w:w="7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72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10.000 KM</w:t>
            </w:r>
          </w:p>
        </w:tc>
      </w:tr>
      <w:tr>
        <w:trPr>
          <w:trHeight w:val="227" w:hRule="auto"/>
          <w:jc w:val="left"/>
        </w:trPr>
        <w:tc>
          <w:tcPr>
            <w:tcW w:w="2122" w:type="dxa"/>
            <w:tcBorders>
              <w:top w:val="single" w:color="000000" w:sz="4"/>
              <w:left w:val="single" w:color="000000" w:sz="4"/>
              <w:bottom w:val="single" w:color="000000" w:sz="4"/>
              <w:right w:val="single" w:color="000000" w:sz="4"/>
            </w:tcBorders>
            <w:shd w:color="auto" w:fill="fbe4d5" w:val="clear"/>
            <w:tcMar>
              <w:left w:w="108" w:type="dxa"/>
              <w:right w:w="108" w:type="dxa"/>
            </w:tcMar>
            <w:vAlign w:val="top"/>
          </w:tcPr>
          <w:p>
            <w:pPr>
              <w:spacing w:before="40" w:after="40" w:line="240"/>
              <w:ind w:right="0" w:left="0" w:firstLine="0"/>
              <w:jc w:val="left"/>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Izvori financijskih sredstava</w:t>
            </w:r>
          </w:p>
        </w:tc>
        <w:tc>
          <w:tcPr>
            <w:tcW w:w="7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3987"/>
              </w:numPr>
              <w:spacing w:before="40" w:after="0" w:line="240"/>
              <w:ind w:right="0" w:left="482" w:hanging="357"/>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Budžet Op</w:t>
            </w:r>
            <w:r>
              <w:rPr>
                <w:rFonts w:ascii="Calibri" w:hAnsi="Calibri" w:cs="Calibri" w:eastAsia="Calibri"/>
                <w:color w:val="auto"/>
                <w:spacing w:val="0"/>
                <w:position w:val="0"/>
                <w:sz w:val="18"/>
                <w:shd w:fill="auto" w:val="clear"/>
              </w:rPr>
              <w:t xml:space="preserve">ćine Doboj Istok</w:t>
            </w:r>
          </w:p>
          <w:p>
            <w:pPr>
              <w:numPr>
                <w:ilvl w:val="0"/>
                <w:numId w:val="3987"/>
              </w:numPr>
              <w:spacing w:before="0" w:after="40" w:line="240"/>
              <w:ind w:right="0" w:left="482" w:hanging="357"/>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Me</w:t>
            </w:r>
            <w:r>
              <w:rPr>
                <w:rFonts w:ascii="Calibri" w:hAnsi="Calibri" w:cs="Calibri" w:eastAsia="Calibri"/>
                <w:color w:val="auto"/>
                <w:spacing w:val="0"/>
                <w:position w:val="0"/>
                <w:sz w:val="18"/>
                <w:shd w:fill="auto" w:val="clear"/>
              </w:rPr>
              <w:t xml:space="preserve">đunarodni finansijeri i donatori (EU, UNDP, USAID i dr.)</w:t>
            </w:r>
          </w:p>
        </w:tc>
      </w:tr>
      <w:tr>
        <w:trPr>
          <w:trHeight w:val="425" w:hRule="auto"/>
          <w:jc w:val="left"/>
        </w:trPr>
        <w:tc>
          <w:tcPr>
            <w:tcW w:w="2122" w:type="dxa"/>
            <w:tcBorders>
              <w:top w:val="single" w:color="000000" w:sz="4"/>
              <w:left w:val="single" w:color="000000" w:sz="4"/>
              <w:bottom w:val="single" w:color="000000" w:sz="4"/>
              <w:right w:val="single" w:color="000000" w:sz="4"/>
            </w:tcBorders>
            <w:shd w:color="auto" w:fill="fbe4d5" w:val="clear"/>
            <w:tcMar>
              <w:left w:w="108" w:type="dxa"/>
              <w:right w:w="108" w:type="dxa"/>
            </w:tcMar>
            <w:vAlign w:val="top"/>
          </w:tcPr>
          <w:p>
            <w:pPr>
              <w:spacing w:before="40" w:after="40" w:line="240"/>
              <w:ind w:right="0" w:left="0" w:firstLine="0"/>
              <w:jc w:val="left"/>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Kratki opis mjere</w:t>
            </w:r>
          </w:p>
        </w:tc>
        <w:tc>
          <w:tcPr>
            <w:tcW w:w="7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40" w:after="4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FFFFFF" w:val="clear"/>
              </w:rPr>
              <w:t xml:space="preserve">Ova mjera obuhvata razvoj i širenje edukativnih i promotivnih materijala o klimatskim promjenama, energetskoj efikasnosti i održivosti, putem web stranice Op</w:t>
            </w:r>
            <w:r>
              <w:rPr>
                <w:rFonts w:ascii="Calibri" w:hAnsi="Calibri" w:cs="Calibri" w:eastAsia="Calibri"/>
                <w:color w:val="auto"/>
                <w:spacing w:val="0"/>
                <w:position w:val="0"/>
                <w:sz w:val="18"/>
                <w:shd w:fill="FFFFFF" w:val="clear"/>
              </w:rPr>
              <w:t xml:space="preserve">ćine Doboj Istok, televizije i drugih kanala. Biće razmatrane slijedeće teme: stanje klimatskih parametara; pojava ekstremnih klimatskih uslova; alarmiranje prilikom pojave ekstremnih klimatskih uslova; prognoze ekstremnih uslova unutar sedam dana; promjene kvaliteta zraka; promjene kvaliteta vode; pojave visokih koncentracija peludi i sl; savjeti i sugestije o racionalnom korištenju energije i vode; savjetovanje građana o pitanjima iz područja prilagođavanja klimatskim promjenama i dr. Cilj mjere je da najmanje 6.000 stanovnika bude informirano i educirano iz navedenih oblasti</w:t>
            </w:r>
          </w:p>
        </w:tc>
      </w:tr>
    </w:tbl>
    <w:p>
      <w:pPr>
        <w:spacing w:before="0" w:after="0" w:line="240"/>
        <w:ind w:right="0" w:left="0" w:firstLine="0"/>
        <w:jc w:val="left"/>
        <w:rPr>
          <w:rFonts w:ascii="Calibri" w:hAnsi="Calibri" w:cs="Calibri" w:eastAsia="Calibri"/>
          <w:color w:val="auto"/>
          <w:spacing w:val="0"/>
          <w:position w:val="0"/>
          <w:sz w:val="22"/>
          <w:shd w:fill="FFFF00" w:val="clear"/>
        </w:rPr>
      </w:pPr>
    </w:p>
    <w:p>
      <w:pPr>
        <w:keepNext w:val="true"/>
        <w:keepLines w:val="true"/>
        <w:numPr>
          <w:ilvl w:val="0"/>
          <w:numId w:val="3995"/>
        </w:numPr>
        <w:spacing w:before="120" w:after="0" w:line="240"/>
        <w:ind w:right="0" w:left="578" w:hanging="578"/>
        <w:jc w:val="both"/>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Financijski okvir i dinamika realizacije plana mjera za prilago</w:t>
      </w:r>
      <w:r>
        <w:rPr>
          <w:rFonts w:ascii="Calibri" w:hAnsi="Calibri" w:cs="Calibri" w:eastAsia="Calibri"/>
          <w:b/>
          <w:color w:val="auto"/>
          <w:spacing w:val="0"/>
          <w:position w:val="0"/>
          <w:sz w:val="28"/>
          <w:shd w:fill="auto" w:val="clear"/>
        </w:rPr>
        <w:t xml:space="preserve">đavanje klimatskim promjenama</w:t>
      </w:r>
    </w:p>
    <w:p>
      <w:pPr>
        <w:spacing w:before="60" w:after="0" w:line="240"/>
        <w:ind w:right="0" w:left="0" w:firstLine="0"/>
        <w:jc w:val="both"/>
        <w:rPr>
          <w:rFonts w:ascii="Calibri" w:hAnsi="Calibri" w:cs="Calibri" w:eastAsia="Calibri"/>
          <w:i/>
          <w:color w:val="auto"/>
          <w:spacing w:val="0"/>
          <w:position w:val="0"/>
          <w:sz w:val="20"/>
          <w:shd w:fill="auto" w:val="clear"/>
        </w:rPr>
      </w:pPr>
      <w:r>
        <w:rPr>
          <w:rFonts w:ascii="Calibri" w:hAnsi="Calibri" w:cs="Calibri" w:eastAsia="Calibri"/>
          <w:color w:val="auto"/>
          <w:spacing w:val="0"/>
          <w:position w:val="0"/>
          <w:sz w:val="20"/>
          <w:shd w:fill="auto" w:val="clear"/>
        </w:rPr>
        <w:t xml:space="preserve">Plan mjera za prilago</w:t>
      </w:r>
      <w:r>
        <w:rPr>
          <w:rFonts w:ascii="Calibri" w:hAnsi="Calibri" w:cs="Calibri" w:eastAsia="Calibri"/>
          <w:color w:val="auto"/>
          <w:spacing w:val="0"/>
          <w:position w:val="0"/>
          <w:sz w:val="20"/>
          <w:shd w:fill="auto" w:val="clear"/>
        </w:rPr>
        <w:t xml:space="preserve">đavanje klimatskim promjenama sastavljen je od ukupno 17 mjera. Planom su predviđene mjere za prilagođavanje na opasnosti od poplava, klizišta, suše i nestašice vode i ekstremno visokih temperatura. Realizacijom planiranih mjera će broj nesreća koje ugrožavaju život i zdravlje ljudi te dovode do velikih materijalnih šteta usljed elementarnih i drugih nepogoda biti smanjen za 80% do 2030. godine. Mjere za prilagođavanje klimatskim promjenama provodiće se u periodu od 2020. do 2030. godine. Za realizaciju svih mjera neophodno je obezbjediti 2.233.000 KM. Za financiranje mjera će se koristiti sredstva budžeta Općine Doboj Istok i vanjski izvori finansiranja. Mogući izvori financiranja za realizaciju svake mjere određeni su na bazi pregleda prikazanog u </w:t>
      </w:r>
      <w:r>
        <w:rPr>
          <w:rFonts w:ascii="Calibri" w:hAnsi="Calibri" w:cs="Calibri" w:eastAsia="Calibri"/>
          <w:i/>
          <w:color w:val="auto"/>
          <w:spacing w:val="0"/>
          <w:position w:val="0"/>
          <w:sz w:val="20"/>
          <w:shd w:fill="auto" w:val="clear"/>
        </w:rPr>
        <w:t xml:space="preserve">Poglavlju 11</w:t>
      </w:r>
      <w:r>
        <w:rPr>
          <w:rFonts w:ascii="Calibri" w:hAnsi="Calibri" w:cs="Calibri" w:eastAsia="Calibri"/>
          <w:color w:val="auto"/>
          <w:spacing w:val="0"/>
          <w:position w:val="0"/>
          <w:sz w:val="20"/>
          <w:shd w:fill="auto" w:val="clear"/>
        </w:rPr>
        <w:t xml:space="preserve"> - </w:t>
      </w:r>
      <w:r>
        <w:rPr>
          <w:rFonts w:ascii="Calibri" w:hAnsi="Calibri" w:cs="Calibri" w:eastAsia="Calibri"/>
          <w:i/>
          <w:color w:val="auto"/>
          <w:spacing w:val="0"/>
          <w:position w:val="0"/>
          <w:sz w:val="20"/>
          <w:shd w:fill="auto" w:val="clear"/>
        </w:rPr>
        <w:t xml:space="preserve">Mehanizmi financiranja provođenja akcionog plana energetski održivog razvoja i klimatskih promjena. </w:t>
      </w:r>
    </w:p>
    <w:p>
      <w:pPr>
        <w:spacing w:before="60" w:after="12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U narednoj tabeli predstavljena je dinamika realizacije i financijski okvir realizacije plana mjera za prilago</w:t>
      </w:r>
      <w:r>
        <w:rPr>
          <w:rFonts w:ascii="Calibri" w:hAnsi="Calibri" w:cs="Calibri" w:eastAsia="Calibri"/>
          <w:color w:val="auto"/>
          <w:spacing w:val="0"/>
          <w:position w:val="0"/>
          <w:sz w:val="20"/>
          <w:shd w:fill="auto" w:val="clear"/>
        </w:rPr>
        <w:t xml:space="preserve">đavanje klimatskim promjenama. </w:t>
      </w:r>
    </w:p>
    <w:tbl>
      <w:tblPr/>
      <w:tblGrid>
        <w:gridCol w:w="846"/>
        <w:gridCol w:w="3124"/>
        <w:gridCol w:w="1275"/>
        <w:gridCol w:w="707"/>
        <w:gridCol w:w="710"/>
        <w:gridCol w:w="707"/>
        <w:gridCol w:w="710"/>
        <w:gridCol w:w="707"/>
        <w:gridCol w:w="710"/>
        <w:gridCol w:w="710"/>
        <w:gridCol w:w="707"/>
        <w:gridCol w:w="710"/>
        <w:gridCol w:w="748"/>
        <w:gridCol w:w="657"/>
        <w:gridCol w:w="1574"/>
      </w:tblGrid>
      <w:tr>
        <w:trPr>
          <w:trHeight w:val="1" w:hRule="atLeast"/>
          <w:jc w:val="left"/>
        </w:trPr>
        <w:tc>
          <w:tcPr>
            <w:tcW w:w="846" w:type="dxa"/>
            <w:vMerge w:val="restart"/>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b/>
                <w:color w:val="000000"/>
                <w:spacing w:val="0"/>
                <w:position w:val="0"/>
                <w:sz w:val="18"/>
                <w:shd w:fill="auto" w:val="clear"/>
              </w:rPr>
              <w:t xml:space="preserve">Redni broj</w:t>
            </w:r>
          </w:p>
        </w:tc>
        <w:tc>
          <w:tcPr>
            <w:tcW w:w="3124" w:type="dxa"/>
            <w:vMerge w:val="restart"/>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b/>
                <w:color w:val="000000"/>
                <w:spacing w:val="0"/>
                <w:position w:val="0"/>
                <w:sz w:val="18"/>
                <w:shd w:fill="auto" w:val="clear"/>
              </w:rPr>
              <w:t xml:space="preserve">NAZIV MJERE</w:t>
            </w:r>
          </w:p>
        </w:tc>
        <w:tc>
          <w:tcPr>
            <w:tcW w:w="1275" w:type="dxa"/>
            <w:vMerge w:val="restart"/>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b/>
                <w:color w:val="000000"/>
                <w:spacing w:val="0"/>
                <w:position w:val="0"/>
                <w:sz w:val="18"/>
                <w:shd w:fill="auto" w:val="clear"/>
              </w:rPr>
              <w:t xml:space="preserve">Investicija (KM)</w:t>
            </w:r>
          </w:p>
        </w:tc>
        <w:tc>
          <w:tcPr>
            <w:tcW w:w="7783" w:type="dxa"/>
            <w:gridSpan w:val="11"/>
            <w:tcBorders>
              <w:top w:val="single" w:color="000000" w:sz="4"/>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b/>
                <w:color w:val="000000"/>
                <w:spacing w:val="0"/>
                <w:position w:val="0"/>
                <w:sz w:val="18"/>
                <w:shd w:fill="auto" w:val="clear"/>
              </w:rPr>
              <w:t xml:space="preserve">Realizacija mjere</w:t>
            </w:r>
          </w:p>
        </w:tc>
        <w:tc>
          <w:tcPr>
            <w:tcW w:w="1574" w:type="dxa"/>
            <w:vMerge w:val="restart"/>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b/>
                <w:color w:val="000000"/>
                <w:spacing w:val="0"/>
                <w:position w:val="0"/>
                <w:sz w:val="18"/>
                <w:shd w:fill="auto" w:val="clear"/>
              </w:rPr>
              <w:t xml:space="preserve">Nosioci aktivnosti</w:t>
            </w:r>
          </w:p>
        </w:tc>
      </w:tr>
      <w:tr>
        <w:trPr>
          <w:trHeight w:val="1" w:hRule="atLeast"/>
          <w:jc w:val="left"/>
        </w:trPr>
        <w:tc>
          <w:tcPr>
            <w:tcW w:w="846"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3124"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275"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70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b/>
                <w:color w:val="000000"/>
                <w:spacing w:val="0"/>
                <w:position w:val="0"/>
                <w:sz w:val="16"/>
                <w:shd w:fill="auto" w:val="clear"/>
              </w:rPr>
              <w:t xml:space="preserve">2020.</w:t>
            </w:r>
          </w:p>
        </w:tc>
        <w:tc>
          <w:tcPr>
            <w:tcW w:w="71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b/>
                <w:color w:val="000000"/>
                <w:spacing w:val="0"/>
                <w:position w:val="0"/>
                <w:sz w:val="16"/>
                <w:shd w:fill="auto" w:val="clear"/>
              </w:rPr>
              <w:t xml:space="preserve">2021.</w:t>
            </w:r>
          </w:p>
        </w:tc>
        <w:tc>
          <w:tcPr>
            <w:tcW w:w="70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b/>
                <w:color w:val="000000"/>
                <w:spacing w:val="0"/>
                <w:position w:val="0"/>
                <w:sz w:val="16"/>
                <w:shd w:fill="auto" w:val="clear"/>
              </w:rPr>
              <w:t xml:space="preserve">2022.</w:t>
            </w:r>
          </w:p>
        </w:tc>
        <w:tc>
          <w:tcPr>
            <w:tcW w:w="71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b/>
                <w:color w:val="000000"/>
                <w:spacing w:val="0"/>
                <w:position w:val="0"/>
                <w:sz w:val="16"/>
                <w:shd w:fill="auto" w:val="clear"/>
              </w:rPr>
              <w:t xml:space="preserve">2023.</w:t>
            </w:r>
          </w:p>
        </w:tc>
        <w:tc>
          <w:tcPr>
            <w:tcW w:w="70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b/>
                <w:color w:val="000000"/>
                <w:spacing w:val="0"/>
                <w:position w:val="0"/>
                <w:sz w:val="16"/>
                <w:shd w:fill="auto" w:val="clear"/>
              </w:rPr>
              <w:t xml:space="preserve">2024.</w:t>
            </w:r>
          </w:p>
        </w:tc>
        <w:tc>
          <w:tcPr>
            <w:tcW w:w="71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b/>
                <w:color w:val="000000"/>
                <w:spacing w:val="0"/>
                <w:position w:val="0"/>
                <w:sz w:val="16"/>
                <w:shd w:fill="auto" w:val="clear"/>
              </w:rPr>
              <w:t xml:space="preserve">2025.</w:t>
            </w:r>
          </w:p>
        </w:tc>
        <w:tc>
          <w:tcPr>
            <w:tcW w:w="71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b/>
                <w:color w:val="000000"/>
                <w:spacing w:val="0"/>
                <w:position w:val="0"/>
                <w:sz w:val="16"/>
                <w:shd w:fill="auto" w:val="clear"/>
              </w:rPr>
              <w:t xml:space="preserve">2026.</w:t>
            </w:r>
          </w:p>
        </w:tc>
        <w:tc>
          <w:tcPr>
            <w:tcW w:w="70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b/>
                <w:color w:val="000000"/>
                <w:spacing w:val="0"/>
                <w:position w:val="0"/>
                <w:sz w:val="16"/>
                <w:shd w:fill="auto" w:val="clear"/>
              </w:rPr>
              <w:t xml:space="preserve">2027.</w:t>
            </w:r>
          </w:p>
        </w:tc>
        <w:tc>
          <w:tcPr>
            <w:tcW w:w="71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b/>
                <w:color w:val="000000"/>
                <w:spacing w:val="0"/>
                <w:position w:val="0"/>
                <w:sz w:val="16"/>
                <w:shd w:fill="auto" w:val="clear"/>
              </w:rPr>
              <w:t xml:space="preserve">2028.</w:t>
            </w:r>
          </w:p>
        </w:tc>
        <w:tc>
          <w:tcPr>
            <w:tcW w:w="74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b/>
                <w:color w:val="000000"/>
                <w:spacing w:val="0"/>
                <w:position w:val="0"/>
                <w:sz w:val="16"/>
                <w:shd w:fill="auto" w:val="clear"/>
              </w:rPr>
              <w:t xml:space="preserve">2029.</w:t>
            </w:r>
          </w:p>
        </w:tc>
        <w:tc>
          <w:tcPr>
            <w:tcW w:w="65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b/>
                <w:color w:val="000000"/>
                <w:spacing w:val="0"/>
                <w:position w:val="0"/>
                <w:sz w:val="16"/>
                <w:shd w:fill="auto" w:val="clear"/>
              </w:rPr>
              <w:t xml:space="preserve">2030.</w:t>
            </w:r>
          </w:p>
        </w:tc>
        <w:tc>
          <w:tcPr>
            <w:tcW w:w="1574"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3970" w:type="dxa"/>
            <w:gridSpan w:val="2"/>
            <w:tcBorders>
              <w:top w:val="single" w:color="000000" w:sz="4"/>
              <w:left w:val="single" w:color="000000" w:sz="4"/>
              <w:bottom w:val="single" w:color="000000" w:sz="4"/>
              <w:right w:val="single" w:color="000000" w:sz="4"/>
            </w:tcBorders>
            <w:shd w:color="000000" w:fill="5b9bd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b/>
                <w:i/>
                <w:color w:val="000000"/>
                <w:spacing w:val="0"/>
                <w:position w:val="0"/>
                <w:sz w:val="18"/>
                <w:shd w:fill="auto" w:val="clear"/>
              </w:rPr>
              <w:t xml:space="preserve"> Mjere za prilago</w:t>
            </w:r>
            <w:r>
              <w:rPr>
                <w:rFonts w:ascii="Calibri" w:hAnsi="Calibri" w:cs="Calibri" w:eastAsia="Calibri"/>
                <w:b/>
                <w:i/>
                <w:color w:val="000000"/>
                <w:spacing w:val="0"/>
                <w:position w:val="0"/>
                <w:sz w:val="18"/>
                <w:shd w:fill="auto" w:val="clear"/>
              </w:rPr>
              <w:t xml:space="preserve">đavanje na opasnosti od poplava</w:t>
            </w:r>
          </w:p>
        </w:tc>
        <w:tc>
          <w:tcPr>
            <w:tcW w:w="1275" w:type="dxa"/>
            <w:tcBorders>
              <w:top w:val="single" w:color="000000" w:sz="0"/>
              <w:left w:val="single" w:color="000000" w:sz="0"/>
              <w:bottom w:val="single" w:color="000000" w:sz="4"/>
              <w:right w:val="single" w:color="000000" w:sz="4"/>
            </w:tcBorders>
            <w:shd w:color="000000" w:fill="5b9bd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b/>
                <w:color w:val="000000"/>
                <w:spacing w:val="0"/>
                <w:position w:val="0"/>
                <w:sz w:val="18"/>
                <w:shd w:fill="auto" w:val="clear"/>
              </w:rPr>
              <w:t xml:space="preserve">1.650.000</w:t>
            </w:r>
          </w:p>
        </w:tc>
        <w:tc>
          <w:tcPr>
            <w:tcW w:w="707" w:type="dxa"/>
            <w:tcBorders>
              <w:top w:val="single" w:color="000000" w:sz="0"/>
              <w:left w:val="single" w:color="000000" w:sz="0"/>
              <w:bottom w:val="single" w:color="000000" w:sz="4"/>
              <w:right w:val="single" w:color="000000" w:sz="4"/>
            </w:tcBorders>
            <w:shd w:color="000000" w:fill="5b9bd5" w:val="clear"/>
            <w:tcMar>
              <w:left w:w="108" w:type="dxa"/>
              <w:right w:w="108" w:type="dxa"/>
            </w:tcMar>
            <w:vAlign w:val="center"/>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000000" w:fill="5b9bd5" w:val="clear"/>
            <w:tcMar>
              <w:left w:w="108" w:type="dxa"/>
              <w:right w:w="108" w:type="dxa"/>
            </w:tcMar>
            <w:vAlign w:val="center"/>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07" w:type="dxa"/>
            <w:tcBorders>
              <w:top w:val="single" w:color="000000" w:sz="0"/>
              <w:left w:val="single" w:color="000000" w:sz="0"/>
              <w:bottom w:val="single" w:color="000000" w:sz="4"/>
              <w:right w:val="single" w:color="000000" w:sz="4"/>
            </w:tcBorders>
            <w:shd w:color="000000" w:fill="5b9bd5" w:val="clear"/>
            <w:tcMar>
              <w:left w:w="108" w:type="dxa"/>
              <w:right w:w="108" w:type="dxa"/>
            </w:tcMar>
            <w:vAlign w:val="center"/>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000000" w:fill="5b9bd5" w:val="clear"/>
            <w:tcMar>
              <w:left w:w="108" w:type="dxa"/>
              <w:right w:w="108" w:type="dxa"/>
            </w:tcMar>
            <w:vAlign w:val="center"/>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07" w:type="dxa"/>
            <w:tcBorders>
              <w:top w:val="single" w:color="000000" w:sz="0"/>
              <w:left w:val="single" w:color="000000" w:sz="0"/>
              <w:bottom w:val="single" w:color="000000" w:sz="4"/>
              <w:right w:val="single" w:color="000000" w:sz="4"/>
            </w:tcBorders>
            <w:shd w:color="000000" w:fill="5b9bd5" w:val="clear"/>
            <w:tcMar>
              <w:left w:w="108" w:type="dxa"/>
              <w:right w:w="108" w:type="dxa"/>
            </w:tcMar>
            <w:vAlign w:val="center"/>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000000" w:fill="5b9bd5" w:val="clear"/>
            <w:tcMar>
              <w:left w:w="108" w:type="dxa"/>
              <w:right w:w="108" w:type="dxa"/>
            </w:tcMar>
            <w:vAlign w:val="center"/>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000000" w:fill="5b9bd5" w:val="clear"/>
            <w:tcMar>
              <w:left w:w="108" w:type="dxa"/>
              <w:right w:w="108" w:type="dxa"/>
            </w:tcMar>
            <w:vAlign w:val="center"/>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07" w:type="dxa"/>
            <w:tcBorders>
              <w:top w:val="single" w:color="000000" w:sz="0"/>
              <w:left w:val="single" w:color="000000" w:sz="0"/>
              <w:bottom w:val="single" w:color="000000" w:sz="4"/>
              <w:right w:val="single" w:color="000000" w:sz="4"/>
            </w:tcBorders>
            <w:shd w:color="000000" w:fill="5b9bd5" w:val="clear"/>
            <w:tcMar>
              <w:left w:w="108" w:type="dxa"/>
              <w:right w:w="108" w:type="dxa"/>
            </w:tcMar>
            <w:vAlign w:val="center"/>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000000" w:fill="5b9bd5" w:val="clear"/>
            <w:tcMar>
              <w:left w:w="108" w:type="dxa"/>
              <w:right w:w="108" w:type="dxa"/>
            </w:tcMar>
            <w:vAlign w:val="center"/>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748" w:type="dxa"/>
            <w:tcBorders>
              <w:top w:val="single" w:color="000000" w:sz="0"/>
              <w:left w:val="single" w:color="000000" w:sz="0"/>
              <w:bottom w:val="single" w:color="000000" w:sz="4"/>
              <w:right w:val="single" w:color="000000" w:sz="4"/>
            </w:tcBorders>
            <w:shd w:color="000000" w:fill="5b9bd5" w:val="clear"/>
            <w:tcMar>
              <w:left w:w="108" w:type="dxa"/>
              <w:right w:w="108" w:type="dxa"/>
            </w:tcMar>
            <w:vAlign w:val="center"/>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65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157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r>
      <w:tr>
        <w:trPr>
          <w:trHeight w:val="1" w:hRule="atLeast"/>
          <w:jc w:val="left"/>
        </w:trPr>
        <w:tc>
          <w:tcPr>
            <w:tcW w:w="846" w:type="dxa"/>
            <w:tcBorders>
              <w:top w:val="single" w:color="000000" w:sz="0"/>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b/>
                <w:color w:val="000000"/>
                <w:spacing w:val="0"/>
                <w:position w:val="0"/>
                <w:sz w:val="18"/>
                <w:shd w:fill="auto" w:val="clear"/>
              </w:rPr>
              <w:t xml:space="preserve">1</w:t>
            </w:r>
          </w:p>
        </w:tc>
        <w:tc>
          <w:tcPr>
            <w:tcW w:w="3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Regulacija toka rijeke Spre</w:t>
            </w:r>
            <w:r>
              <w:rPr>
                <w:rFonts w:ascii="Calibri" w:hAnsi="Calibri" w:cs="Calibri" w:eastAsia="Calibri"/>
                <w:color w:val="000000"/>
                <w:spacing w:val="0"/>
                <w:position w:val="0"/>
                <w:sz w:val="18"/>
                <w:shd w:fill="auto" w:val="clear"/>
              </w:rPr>
              <w:t xml:space="preserve">če</w:t>
            </w:r>
          </w:p>
        </w:tc>
        <w:tc>
          <w:tcPr>
            <w:tcW w:w="127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1.000.000</w:t>
            </w:r>
          </w:p>
        </w:tc>
        <w:tc>
          <w:tcPr>
            <w:tcW w:w="707"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07"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07"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0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74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65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157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Agencija za vodno podru</w:t>
            </w:r>
            <w:r>
              <w:rPr>
                <w:rFonts w:ascii="Calibri" w:hAnsi="Calibri" w:cs="Calibri" w:eastAsia="Calibri"/>
                <w:color w:val="000000"/>
                <w:spacing w:val="0"/>
                <w:position w:val="0"/>
                <w:sz w:val="18"/>
                <w:shd w:fill="auto" w:val="clear"/>
              </w:rPr>
              <w:t xml:space="preserve">čje rijeke Save</w:t>
            </w:r>
          </w:p>
        </w:tc>
      </w:tr>
      <w:tr>
        <w:trPr>
          <w:trHeight w:val="1" w:hRule="atLeast"/>
          <w:jc w:val="left"/>
        </w:trPr>
        <w:tc>
          <w:tcPr>
            <w:tcW w:w="846" w:type="dxa"/>
            <w:tcBorders>
              <w:top w:val="single" w:color="000000" w:sz="0"/>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b/>
                <w:color w:val="000000"/>
                <w:spacing w:val="0"/>
                <w:position w:val="0"/>
                <w:sz w:val="18"/>
                <w:shd w:fill="auto" w:val="clear"/>
              </w:rPr>
              <w:t xml:space="preserve">2</w:t>
            </w:r>
          </w:p>
        </w:tc>
        <w:tc>
          <w:tcPr>
            <w:tcW w:w="3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Ure</w:t>
            </w:r>
            <w:r>
              <w:rPr>
                <w:rFonts w:ascii="Calibri" w:hAnsi="Calibri" w:cs="Calibri" w:eastAsia="Calibri"/>
                <w:color w:val="000000"/>
                <w:spacing w:val="0"/>
                <w:position w:val="0"/>
                <w:sz w:val="18"/>
                <w:shd w:fill="auto" w:val="clear"/>
              </w:rPr>
              <w:t xml:space="preserve">đenje, ucjevljenje  i ukoritavanje  vodotoka na području Doboj Istoka</w:t>
            </w:r>
          </w:p>
        </w:tc>
        <w:tc>
          <w:tcPr>
            <w:tcW w:w="127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500.000</w:t>
            </w:r>
          </w:p>
        </w:tc>
        <w:tc>
          <w:tcPr>
            <w:tcW w:w="707"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07"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707"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707"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74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65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157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Op</w:t>
            </w:r>
            <w:r>
              <w:rPr>
                <w:rFonts w:ascii="Calibri" w:hAnsi="Calibri" w:cs="Calibri" w:eastAsia="Calibri"/>
                <w:color w:val="000000"/>
                <w:spacing w:val="0"/>
                <w:position w:val="0"/>
                <w:sz w:val="18"/>
                <w:shd w:fill="auto" w:val="clear"/>
              </w:rPr>
              <w:t xml:space="preserve">ćina Doboj Istok</w:t>
            </w:r>
          </w:p>
        </w:tc>
      </w:tr>
      <w:tr>
        <w:trPr>
          <w:trHeight w:val="1" w:hRule="atLeast"/>
          <w:jc w:val="left"/>
        </w:trPr>
        <w:tc>
          <w:tcPr>
            <w:tcW w:w="846" w:type="dxa"/>
            <w:tcBorders>
              <w:top w:val="single" w:color="000000" w:sz="0"/>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b/>
                <w:color w:val="000000"/>
                <w:spacing w:val="0"/>
                <w:position w:val="0"/>
                <w:sz w:val="18"/>
                <w:shd w:fill="auto" w:val="clear"/>
              </w:rPr>
              <w:t xml:space="preserve">3</w:t>
            </w:r>
          </w:p>
        </w:tc>
        <w:tc>
          <w:tcPr>
            <w:tcW w:w="3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Čišćenje vodotoka na području općine Doboj Istok</w:t>
            </w:r>
          </w:p>
        </w:tc>
        <w:tc>
          <w:tcPr>
            <w:tcW w:w="127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150.000</w:t>
            </w:r>
          </w:p>
        </w:tc>
        <w:tc>
          <w:tcPr>
            <w:tcW w:w="707"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707"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707"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707"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748"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65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157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Op</w:t>
            </w:r>
            <w:r>
              <w:rPr>
                <w:rFonts w:ascii="Calibri" w:hAnsi="Calibri" w:cs="Calibri" w:eastAsia="Calibri"/>
                <w:color w:val="000000"/>
                <w:spacing w:val="0"/>
                <w:position w:val="0"/>
                <w:sz w:val="18"/>
                <w:shd w:fill="auto" w:val="clear"/>
              </w:rPr>
              <w:t xml:space="preserve">ćina Doboj Istok</w:t>
            </w:r>
          </w:p>
        </w:tc>
      </w:tr>
      <w:tr>
        <w:trPr>
          <w:trHeight w:val="1" w:hRule="atLeast"/>
          <w:jc w:val="left"/>
        </w:trPr>
        <w:tc>
          <w:tcPr>
            <w:tcW w:w="3970" w:type="dxa"/>
            <w:gridSpan w:val="2"/>
            <w:tcBorders>
              <w:top w:val="single" w:color="000000" w:sz="4"/>
              <w:left w:val="single" w:color="000000" w:sz="4"/>
              <w:bottom w:val="single" w:color="000000" w:sz="4"/>
              <w:right w:val="single" w:color="000000" w:sz="4"/>
            </w:tcBorders>
            <w:shd w:color="000000" w:fill="5b9bd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b/>
                <w:i/>
                <w:color w:val="000000"/>
                <w:spacing w:val="0"/>
                <w:position w:val="0"/>
                <w:sz w:val="18"/>
                <w:shd w:fill="auto" w:val="clear"/>
              </w:rPr>
              <w:t xml:space="preserve"> Mjere za prilago</w:t>
            </w:r>
            <w:r>
              <w:rPr>
                <w:rFonts w:ascii="Calibri" w:hAnsi="Calibri" w:cs="Calibri" w:eastAsia="Calibri"/>
                <w:b/>
                <w:i/>
                <w:color w:val="000000"/>
                <w:spacing w:val="0"/>
                <w:position w:val="0"/>
                <w:sz w:val="18"/>
                <w:shd w:fill="auto" w:val="clear"/>
              </w:rPr>
              <w:t xml:space="preserve">đavanje na opasnosti od klizišta</w:t>
            </w:r>
          </w:p>
        </w:tc>
        <w:tc>
          <w:tcPr>
            <w:tcW w:w="1275" w:type="dxa"/>
            <w:tcBorders>
              <w:top w:val="single" w:color="000000" w:sz="0"/>
              <w:left w:val="single" w:color="000000" w:sz="0"/>
              <w:bottom w:val="single" w:color="000000" w:sz="4"/>
              <w:right w:val="single" w:color="000000" w:sz="4"/>
            </w:tcBorders>
            <w:shd w:color="000000" w:fill="5b9bd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b/>
                <w:color w:val="000000"/>
                <w:spacing w:val="0"/>
                <w:position w:val="0"/>
                <w:sz w:val="18"/>
                <w:shd w:fill="auto" w:val="clear"/>
              </w:rPr>
              <w:t xml:space="preserve">100.000</w:t>
            </w:r>
          </w:p>
        </w:tc>
        <w:tc>
          <w:tcPr>
            <w:tcW w:w="707" w:type="dxa"/>
            <w:tcBorders>
              <w:top w:val="single" w:color="000000" w:sz="0"/>
              <w:left w:val="single" w:color="000000" w:sz="0"/>
              <w:bottom w:val="single" w:color="000000" w:sz="4"/>
              <w:right w:val="single" w:color="000000" w:sz="4"/>
            </w:tcBorders>
            <w:shd w:color="000000" w:fill="5b9bd5" w:val="clear"/>
            <w:tcMar>
              <w:left w:w="108" w:type="dxa"/>
              <w:right w:w="108" w:type="dxa"/>
            </w:tcMar>
            <w:vAlign w:val="center"/>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000000" w:fill="5b9bd5" w:val="clear"/>
            <w:tcMar>
              <w:left w:w="108" w:type="dxa"/>
              <w:right w:w="108" w:type="dxa"/>
            </w:tcMar>
            <w:vAlign w:val="center"/>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07" w:type="dxa"/>
            <w:tcBorders>
              <w:top w:val="single" w:color="000000" w:sz="0"/>
              <w:left w:val="single" w:color="000000" w:sz="0"/>
              <w:bottom w:val="single" w:color="000000" w:sz="4"/>
              <w:right w:val="single" w:color="000000" w:sz="4"/>
            </w:tcBorders>
            <w:shd w:color="000000" w:fill="5b9bd5" w:val="clear"/>
            <w:tcMar>
              <w:left w:w="108" w:type="dxa"/>
              <w:right w:w="108" w:type="dxa"/>
            </w:tcMar>
            <w:vAlign w:val="center"/>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000000" w:fill="5b9bd5" w:val="clear"/>
            <w:tcMar>
              <w:left w:w="108" w:type="dxa"/>
              <w:right w:w="108" w:type="dxa"/>
            </w:tcMar>
            <w:vAlign w:val="center"/>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70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70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74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65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157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r>
      <w:tr>
        <w:trPr>
          <w:trHeight w:val="1" w:hRule="atLeast"/>
          <w:jc w:val="left"/>
        </w:trPr>
        <w:tc>
          <w:tcPr>
            <w:tcW w:w="846" w:type="dxa"/>
            <w:tcBorders>
              <w:top w:val="single" w:color="000000" w:sz="0"/>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b/>
                <w:color w:val="000000"/>
                <w:spacing w:val="0"/>
                <w:position w:val="0"/>
                <w:sz w:val="18"/>
                <w:shd w:fill="auto" w:val="clear"/>
              </w:rPr>
              <w:t xml:space="preserve">4</w:t>
            </w:r>
          </w:p>
        </w:tc>
        <w:tc>
          <w:tcPr>
            <w:tcW w:w="3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Izrada katastra klizišta na podru</w:t>
            </w:r>
            <w:r>
              <w:rPr>
                <w:rFonts w:ascii="Calibri" w:hAnsi="Calibri" w:cs="Calibri" w:eastAsia="Calibri"/>
                <w:color w:val="000000"/>
                <w:spacing w:val="0"/>
                <w:position w:val="0"/>
                <w:sz w:val="18"/>
                <w:shd w:fill="auto" w:val="clear"/>
              </w:rPr>
              <w:t xml:space="preserve">čju općine Doboj Istok</w:t>
            </w:r>
          </w:p>
        </w:tc>
        <w:tc>
          <w:tcPr>
            <w:tcW w:w="127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20.000</w:t>
            </w:r>
          </w:p>
        </w:tc>
        <w:tc>
          <w:tcPr>
            <w:tcW w:w="707"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07"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70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70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74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65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157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Op</w:t>
            </w:r>
            <w:r>
              <w:rPr>
                <w:rFonts w:ascii="Calibri" w:hAnsi="Calibri" w:cs="Calibri" w:eastAsia="Calibri"/>
                <w:color w:val="000000"/>
                <w:spacing w:val="0"/>
                <w:position w:val="0"/>
                <w:sz w:val="18"/>
                <w:shd w:fill="auto" w:val="clear"/>
              </w:rPr>
              <w:t xml:space="preserve">ćina Doboj Istok</w:t>
            </w:r>
          </w:p>
        </w:tc>
      </w:tr>
      <w:tr>
        <w:trPr>
          <w:trHeight w:val="1" w:hRule="atLeast"/>
          <w:jc w:val="left"/>
        </w:trPr>
        <w:tc>
          <w:tcPr>
            <w:tcW w:w="846" w:type="dxa"/>
            <w:tcBorders>
              <w:top w:val="single" w:color="000000" w:sz="0"/>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b/>
                <w:color w:val="000000"/>
                <w:spacing w:val="0"/>
                <w:position w:val="0"/>
                <w:sz w:val="18"/>
                <w:shd w:fill="auto" w:val="clear"/>
              </w:rPr>
              <w:t xml:space="preserve">5</w:t>
            </w:r>
          </w:p>
        </w:tc>
        <w:tc>
          <w:tcPr>
            <w:tcW w:w="3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Sanacija prioritetnih klizišta na podru</w:t>
            </w:r>
            <w:r>
              <w:rPr>
                <w:rFonts w:ascii="Calibri" w:hAnsi="Calibri" w:cs="Calibri" w:eastAsia="Calibri"/>
                <w:color w:val="000000"/>
                <w:spacing w:val="0"/>
                <w:position w:val="0"/>
                <w:sz w:val="18"/>
                <w:shd w:fill="auto" w:val="clear"/>
              </w:rPr>
              <w:t xml:space="preserve">čju općine Doboj Istok - naselje Hodžići</w:t>
            </w:r>
          </w:p>
        </w:tc>
        <w:tc>
          <w:tcPr>
            <w:tcW w:w="127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80.000</w:t>
            </w:r>
          </w:p>
        </w:tc>
        <w:tc>
          <w:tcPr>
            <w:tcW w:w="70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07"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70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70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74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65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157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Op</w:t>
            </w:r>
            <w:r>
              <w:rPr>
                <w:rFonts w:ascii="Calibri" w:hAnsi="Calibri" w:cs="Calibri" w:eastAsia="Calibri"/>
                <w:color w:val="000000"/>
                <w:spacing w:val="0"/>
                <w:position w:val="0"/>
                <w:sz w:val="18"/>
                <w:shd w:fill="auto" w:val="clear"/>
              </w:rPr>
              <w:t xml:space="preserve">ćina Doboj Istok</w:t>
            </w:r>
          </w:p>
        </w:tc>
      </w:tr>
      <w:tr>
        <w:trPr>
          <w:trHeight w:val="1" w:hRule="atLeast"/>
          <w:jc w:val="left"/>
        </w:trPr>
        <w:tc>
          <w:tcPr>
            <w:tcW w:w="3970" w:type="dxa"/>
            <w:gridSpan w:val="2"/>
            <w:tcBorders>
              <w:top w:val="single" w:color="000000" w:sz="4"/>
              <w:left w:val="single" w:color="000000" w:sz="4"/>
              <w:bottom w:val="single" w:color="000000" w:sz="4"/>
              <w:right w:val="single" w:color="000000" w:sz="4"/>
            </w:tcBorders>
            <w:shd w:color="000000" w:fill="5b9bd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b/>
                <w:i/>
                <w:color w:val="000000"/>
                <w:spacing w:val="0"/>
                <w:position w:val="0"/>
                <w:sz w:val="18"/>
                <w:shd w:fill="auto" w:val="clear"/>
              </w:rPr>
              <w:t xml:space="preserve"> Mjere za prilago</w:t>
            </w:r>
            <w:r>
              <w:rPr>
                <w:rFonts w:ascii="Calibri" w:hAnsi="Calibri" w:cs="Calibri" w:eastAsia="Calibri"/>
                <w:b/>
                <w:i/>
                <w:color w:val="000000"/>
                <w:spacing w:val="0"/>
                <w:position w:val="0"/>
                <w:sz w:val="18"/>
                <w:shd w:fill="auto" w:val="clear"/>
              </w:rPr>
              <w:t xml:space="preserve">đavanje na opasnosti od suše i nestašice vode</w:t>
            </w:r>
          </w:p>
        </w:tc>
        <w:tc>
          <w:tcPr>
            <w:tcW w:w="1275" w:type="dxa"/>
            <w:tcBorders>
              <w:top w:val="single" w:color="000000" w:sz="0"/>
              <w:left w:val="single" w:color="000000" w:sz="0"/>
              <w:bottom w:val="single" w:color="000000" w:sz="4"/>
              <w:right w:val="single" w:color="000000" w:sz="4"/>
            </w:tcBorders>
            <w:shd w:color="000000" w:fill="5b9bd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b/>
                <w:color w:val="000000"/>
                <w:spacing w:val="0"/>
                <w:position w:val="0"/>
                <w:sz w:val="18"/>
                <w:shd w:fill="auto" w:val="clear"/>
              </w:rPr>
              <w:t xml:space="preserve">215.000</w:t>
            </w:r>
          </w:p>
        </w:tc>
        <w:tc>
          <w:tcPr>
            <w:tcW w:w="707" w:type="dxa"/>
            <w:tcBorders>
              <w:top w:val="single" w:color="000000" w:sz="0"/>
              <w:left w:val="single" w:color="000000" w:sz="0"/>
              <w:bottom w:val="single" w:color="000000" w:sz="4"/>
              <w:right w:val="single" w:color="000000" w:sz="4"/>
            </w:tcBorders>
            <w:shd w:color="000000" w:fill="5b9bd5" w:val="clear"/>
            <w:tcMar>
              <w:left w:w="108" w:type="dxa"/>
              <w:right w:w="108" w:type="dxa"/>
            </w:tcMar>
            <w:vAlign w:val="center"/>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000000" w:fill="5b9bd5" w:val="clear"/>
            <w:tcMar>
              <w:left w:w="108" w:type="dxa"/>
              <w:right w:w="108" w:type="dxa"/>
            </w:tcMar>
            <w:vAlign w:val="center"/>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07" w:type="dxa"/>
            <w:tcBorders>
              <w:top w:val="single" w:color="000000" w:sz="0"/>
              <w:left w:val="single" w:color="000000" w:sz="0"/>
              <w:bottom w:val="single" w:color="000000" w:sz="4"/>
              <w:right w:val="single" w:color="000000" w:sz="4"/>
            </w:tcBorders>
            <w:shd w:color="000000" w:fill="5b9bd5" w:val="clear"/>
            <w:tcMar>
              <w:left w:w="108" w:type="dxa"/>
              <w:right w:w="108" w:type="dxa"/>
            </w:tcMar>
            <w:vAlign w:val="center"/>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000000" w:fill="5b9bd5" w:val="clear"/>
            <w:tcMar>
              <w:left w:w="108" w:type="dxa"/>
              <w:right w:w="108" w:type="dxa"/>
            </w:tcMar>
            <w:vAlign w:val="center"/>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07" w:type="dxa"/>
            <w:tcBorders>
              <w:top w:val="single" w:color="000000" w:sz="0"/>
              <w:left w:val="single" w:color="000000" w:sz="0"/>
              <w:bottom w:val="single" w:color="000000" w:sz="4"/>
              <w:right w:val="single" w:color="000000" w:sz="4"/>
            </w:tcBorders>
            <w:shd w:color="000000" w:fill="5b9bd5" w:val="clear"/>
            <w:tcMar>
              <w:left w:w="108" w:type="dxa"/>
              <w:right w:w="108" w:type="dxa"/>
            </w:tcMar>
            <w:vAlign w:val="center"/>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000000" w:fill="5b9bd5" w:val="clear"/>
            <w:tcMar>
              <w:left w:w="108" w:type="dxa"/>
              <w:right w:w="108" w:type="dxa"/>
            </w:tcMar>
            <w:vAlign w:val="center"/>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000000" w:fill="5b9bd5" w:val="clear"/>
            <w:tcMar>
              <w:left w:w="108" w:type="dxa"/>
              <w:right w:w="108" w:type="dxa"/>
            </w:tcMar>
            <w:vAlign w:val="center"/>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07" w:type="dxa"/>
            <w:tcBorders>
              <w:top w:val="single" w:color="000000" w:sz="0"/>
              <w:left w:val="single" w:color="000000" w:sz="0"/>
              <w:bottom w:val="single" w:color="000000" w:sz="4"/>
              <w:right w:val="single" w:color="000000" w:sz="4"/>
            </w:tcBorders>
            <w:shd w:color="000000" w:fill="5b9bd5" w:val="clear"/>
            <w:tcMar>
              <w:left w:w="108" w:type="dxa"/>
              <w:right w:w="108" w:type="dxa"/>
            </w:tcMar>
            <w:vAlign w:val="center"/>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000000" w:fill="5b9bd5" w:val="clear"/>
            <w:tcMar>
              <w:left w:w="108" w:type="dxa"/>
              <w:right w:w="108" w:type="dxa"/>
            </w:tcMar>
            <w:vAlign w:val="center"/>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48" w:type="dxa"/>
            <w:tcBorders>
              <w:top w:val="single" w:color="000000" w:sz="0"/>
              <w:left w:val="single" w:color="000000" w:sz="0"/>
              <w:bottom w:val="single" w:color="000000" w:sz="4"/>
              <w:right w:val="single" w:color="000000" w:sz="4"/>
            </w:tcBorders>
            <w:shd w:color="000000" w:fill="5b9bd5" w:val="clear"/>
            <w:tcMar>
              <w:left w:w="108" w:type="dxa"/>
              <w:right w:w="108" w:type="dxa"/>
            </w:tcMar>
            <w:vAlign w:val="center"/>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657" w:type="dxa"/>
            <w:tcBorders>
              <w:top w:val="single" w:color="000000" w:sz="0"/>
              <w:left w:val="single" w:color="000000" w:sz="0"/>
              <w:bottom w:val="single" w:color="000000" w:sz="4"/>
              <w:right w:val="single" w:color="000000" w:sz="4"/>
            </w:tcBorders>
            <w:shd w:color="000000" w:fill="5b9bd5" w:val="clear"/>
            <w:tcMar>
              <w:left w:w="108" w:type="dxa"/>
              <w:right w:w="108" w:type="dxa"/>
            </w:tcMar>
            <w:vAlign w:val="center"/>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157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r>
      <w:tr>
        <w:trPr>
          <w:trHeight w:val="1" w:hRule="atLeast"/>
          <w:jc w:val="left"/>
        </w:trPr>
        <w:tc>
          <w:tcPr>
            <w:tcW w:w="846" w:type="dxa"/>
            <w:tcBorders>
              <w:top w:val="single" w:color="000000" w:sz="0"/>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b/>
                <w:color w:val="000000"/>
                <w:spacing w:val="0"/>
                <w:position w:val="0"/>
                <w:sz w:val="18"/>
                <w:shd w:fill="auto" w:val="clear"/>
              </w:rPr>
              <w:t xml:space="preserve">6</w:t>
            </w:r>
          </w:p>
        </w:tc>
        <w:tc>
          <w:tcPr>
            <w:tcW w:w="3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Izgradnja novih i sanacija postoje</w:t>
            </w:r>
            <w:r>
              <w:rPr>
                <w:rFonts w:ascii="Calibri" w:hAnsi="Calibri" w:cs="Calibri" w:eastAsia="Calibri"/>
                <w:color w:val="000000"/>
                <w:spacing w:val="0"/>
                <w:position w:val="0"/>
                <w:sz w:val="18"/>
                <w:shd w:fill="auto" w:val="clear"/>
              </w:rPr>
              <w:t xml:space="preserve">ćih vodozahvatnih objekata – izgradnja bunara u Brijesnici Velikoj</w:t>
            </w:r>
          </w:p>
        </w:tc>
        <w:tc>
          <w:tcPr>
            <w:tcW w:w="127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100.000</w:t>
            </w:r>
          </w:p>
        </w:tc>
        <w:tc>
          <w:tcPr>
            <w:tcW w:w="707"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07"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707"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70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74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65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157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Op</w:t>
            </w:r>
            <w:r>
              <w:rPr>
                <w:rFonts w:ascii="Calibri" w:hAnsi="Calibri" w:cs="Calibri" w:eastAsia="Calibri"/>
                <w:color w:val="000000"/>
                <w:spacing w:val="0"/>
                <w:position w:val="0"/>
                <w:sz w:val="18"/>
                <w:shd w:fill="auto" w:val="clear"/>
              </w:rPr>
              <w:t xml:space="preserve">ćina Doboj Istok</w:t>
            </w:r>
          </w:p>
        </w:tc>
      </w:tr>
      <w:tr>
        <w:trPr>
          <w:trHeight w:val="1" w:hRule="atLeast"/>
          <w:jc w:val="left"/>
        </w:trPr>
        <w:tc>
          <w:tcPr>
            <w:tcW w:w="846" w:type="dxa"/>
            <w:tcBorders>
              <w:top w:val="single" w:color="000000" w:sz="0"/>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b/>
                <w:color w:val="000000"/>
                <w:spacing w:val="0"/>
                <w:position w:val="0"/>
                <w:sz w:val="18"/>
                <w:shd w:fill="auto" w:val="clear"/>
              </w:rPr>
              <w:t xml:space="preserve">7</w:t>
            </w:r>
          </w:p>
        </w:tc>
        <w:tc>
          <w:tcPr>
            <w:tcW w:w="3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Uklju</w:t>
            </w:r>
            <w:r>
              <w:rPr>
                <w:rFonts w:ascii="Calibri" w:hAnsi="Calibri" w:cs="Calibri" w:eastAsia="Calibri"/>
                <w:color w:val="000000"/>
                <w:spacing w:val="0"/>
                <w:position w:val="0"/>
                <w:sz w:val="18"/>
                <w:shd w:fill="auto" w:val="clear"/>
              </w:rPr>
              <w:t xml:space="preserve">čivanje prirodnih izvorišta u postojeće vodovodne mreže</w:t>
            </w:r>
          </w:p>
        </w:tc>
        <w:tc>
          <w:tcPr>
            <w:tcW w:w="127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100.000</w:t>
            </w:r>
          </w:p>
        </w:tc>
        <w:tc>
          <w:tcPr>
            <w:tcW w:w="70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07"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07"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0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4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65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157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Op</w:t>
            </w:r>
            <w:r>
              <w:rPr>
                <w:rFonts w:ascii="Calibri" w:hAnsi="Calibri" w:cs="Calibri" w:eastAsia="Calibri"/>
                <w:color w:val="000000"/>
                <w:spacing w:val="0"/>
                <w:position w:val="0"/>
                <w:sz w:val="18"/>
                <w:shd w:fill="auto" w:val="clear"/>
              </w:rPr>
              <w:t xml:space="preserve">ćina Doboj Istok</w:t>
            </w:r>
          </w:p>
        </w:tc>
      </w:tr>
      <w:tr>
        <w:trPr>
          <w:trHeight w:val="1" w:hRule="atLeast"/>
          <w:jc w:val="left"/>
        </w:trPr>
        <w:tc>
          <w:tcPr>
            <w:tcW w:w="846" w:type="dxa"/>
            <w:tcBorders>
              <w:top w:val="single" w:color="000000" w:sz="0"/>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b/>
                <w:color w:val="000000"/>
                <w:spacing w:val="0"/>
                <w:position w:val="0"/>
                <w:sz w:val="18"/>
                <w:shd w:fill="auto" w:val="clear"/>
              </w:rPr>
              <w:t xml:space="preserve">8</w:t>
            </w:r>
          </w:p>
        </w:tc>
        <w:tc>
          <w:tcPr>
            <w:tcW w:w="3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Podizanje svijesti javnosti o uticaju klimatskih promjena na vode i o zna</w:t>
            </w:r>
            <w:r>
              <w:rPr>
                <w:rFonts w:ascii="Calibri" w:hAnsi="Calibri" w:cs="Calibri" w:eastAsia="Calibri"/>
                <w:color w:val="000000"/>
                <w:spacing w:val="0"/>
                <w:position w:val="0"/>
                <w:sz w:val="18"/>
                <w:shd w:fill="auto" w:val="clear"/>
              </w:rPr>
              <w:t xml:space="preserve">čaju racionalne potrošnje vode u domaćinstvima</w:t>
            </w:r>
          </w:p>
        </w:tc>
        <w:tc>
          <w:tcPr>
            <w:tcW w:w="127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5.000</w:t>
            </w:r>
          </w:p>
        </w:tc>
        <w:tc>
          <w:tcPr>
            <w:tcW w:w="707"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07"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07"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07"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48"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657"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157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Op</w:t>
            </w:r>
            <w:r>
              <w:rPr>
                <w:rFonts w:ascii="Calibri" w:hAnsi="Calibri" w:cs="Calibri" w:eastAsia="Calibri"/>
                <w:color w:val="000000"/>
                <w:spacing w:val="0"/>
                <w:position w:val="0"/>
                <w:sz w:val="18"/>
                <w:shd w:fill="auto" w:val="clear"/>
              </w:rPr>
              <w:t xml:space="preserve">ćina Doboj Istok</w:t>
            </w:r>
          </w:p>
        </w:tc>
      </w:tr>
      <w:tr>
        <w:trPr>
          <w:trHeight w:val="1" w:hRule="atLeast"/>
          <w:jc w:val="left"/>
        </w:trPr>
        <w:tc>
          <w:tcPr>
            <w:tcW w:w="846" w:type="dxa"/>
            <w:tcBorders>
              <w:top w:val="single" w:color="000000" w:sz="0"/>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b/>
                <w:color w:val="000000"/>
                <w:spacing w:val="0"/>
                <w:position w:val="0"/>
                <w:sz w:val="18"/>
                <w:shd w:fill="auto" w:val="clear"/>
              </w:rPr>
              <w:t xml:space="preserve">9</w:t>
            </w:r>
          </w:p>
        </w:tc>
        <w:tc>
          <w:tcPr>
            <w:tcW w:w="3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Racionalizacija potrošnje vode u zgradama u vlasništvu Op</w:t>
            </w:r>
            <w:r>
              <w:rPr>
                <w:rFonts w:ascii="Calibri" w:hAnsi="Calibri" w:cs="Calibri" w:eastAsia="Calibri"/>
                <w:color w:val="000000"/>
                <w:spacing w:val="0"/>
                <w:position w:val="0"/>
                <w:sz w:val="18"/>
                <w:shd w:fill="auto" w:val="clear"/>
              </w:rPr>
              <w:t xml:space="preserve">ćine Doboj Istok</w:t>
            </w:r>
          </w:p>
        </w:tc>
        <w:tc>
          <w:tcPr>
            <w:tcW w:w="127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10.000</w:t>
            </w:r>
          </w:p>
        </w:tc>
        <w:tc>
          <w:tcPr>
            <w:tcW w:w="70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70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07"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07"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74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65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157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Op</w:t>
            </w:r>
            <w:r>
              <w:rPr>
                <w:rFonts w:ascii="Calibri" w:hAnsi="Calibri" w:cs="Calibri" w:eastAsia="Calibri"/>
                <w:color w:val="000000"/>
                <w:spacing w:val="0"/>
                <w:position w:val="0"/>
                <w:sz w:val="18"/>
                <w:shd w:fill="auto" w:val="clear"/>
              </w:rPr>
              <w:t xml:space="preserve">ćina Doboj Istok</w:t>
            </w:r>
          </w:p>
        </w:tc>
      </w:tr>
      <w:tr>
        <w:trPr>
          <w:trHeight w:val="1" w:hRule="atLeast"/>
          <w:jc w:val="left"/>
        </w:trPr>
        <w:tc>
          <w:tcPr>
            <w:tcW w:w="3970" w:type="dxa"/>
            <w:gridSpan w:val="2"/>
            <w:tcBorders>
              <w:top w:val="single" w:color="000000" w:sz="4"/>
              <w:left w:val="single" w:color="000000" w:sz="4"/>
              <w:bottom w:val="single" w:color="000000" w:sz="4"/>
              <w:right w:val="single" w:color="000000" w:sz="4"/>
            </w:tcBorders>
            <w:shd w:color="000000" w:fill="5b9bd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b/>
                <w:i/>
                <w:color w:val="000000"/>
                <w:spacing w:val="0"/>
                <w:position w:val="0"/>
                <w:sz w:val="18"/>
                <w:shd w:fill="auto" w:val="clear"/>
              </w:rPr>
              <w:t xml:space="preserve">Mjere za prilago</w:t>
            </w:r>
            <w:r>
              <w:rPr>
                <w:rFonts w:ascii="Calibri" w:hAnsi="Calibri" w:cs="Calibri" w:eastAsia="Calibri"/>
                <w:b/>
                <w:i/>
                <w:color w:val="000000"/>
                <w:spacing w:val="0"/>
                <w:position w:val="0"/>
                <w:sz w:val="18"/>
                <w:shd w:fill="auto" w:val="clear"/>
              </w:rPr>
              <w:t xml:space="preserve">đavanje na opasnosti od ekstremno visokih temperatura</w:t>
            </w:r>
          </w:p>
        </w:tc>
        <w:tc>
          <w:tcPr>
            <w:tcW w:w="1275" w:type="dxa"/>
            <w:tcBorders>
              <w:top w:val="single" w:color="000000" w:sz="0"/>
              <w:left w:val="single" w:color="000000" w:sz="0"/>
              <w:bottom w:val="single" w:color="000000" w:sz="4"/>
              <w:right w:val="single" w:color="000000" w:sz="4"/>
            </w:tcBorders>
            <w:shd w:color="000000" w:fill="5b9bd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b/>
                <w:color w:val="000000"/>
                <w:spacing w:val="0"/>
                <w:position w:val="0"/>
                <w:sz w:val="18"/>
                <w:shd w:fill="auto" w:val="clear"/>
              </w:rPr>
              <w:t xml:space="preserve">83.000</w:t>
            </w:r>
          </w:p>
        </w:tc>
        <w:tc>
          <w:tcPr>
            <w:tcW w:w="707" w:type="dxa"/>
            <w:tcBorders>
              <w:top w:val="single" w:color="000000" w:sz="0"/>
              <w:left w:val="single" w:color="000000" w:sz="0"/>
              <w:bottom w:val="single" w:color="000000" w:sz="4"/>
              <w:right w:val="single" w:color="000000" w:sz="4"/>
            </w:tcBorders>
            <w:shd w:color="000000" w:fill="5b9bd5" w:val="clear"/>
            <w:tcMar>
              <w:left w:w="108" w:type="dxa"/>
              <w:right w:w="108" w:type="dxa"/>
            </w:tcMar>
            <w:vAlign w:val="center"/>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000000" w:fill="5b9bd5" w:val="clear"/>
            <w:tcMar>
              <w:left w:w="108" w:type="dxa"/>
              <w:right w:w="108" w:type="dxa"/>
            </w:tcMar>
            <w:vAlign w:val="center"/>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07" w:type="dxa"/>
            <w:tcBorders>
              <w:top w:val="single" w:color="000000" w:sz="0"/>
              <w:left w:val="single" w:color="000000" w:sz="0"/>
              <w:bottom w:val="single" w:color="000000" w:sz="4"/>
              <w:right w:val="single" w:color="000000" w:sz="4"/>
            </w:tcBorders>
            <w:shd w:color="000000" w:fill="5b9bd5" w:val="clear"/>
            <w:tcMar>
              <w:left w:w="108" w:type="dxa"/>
              <w:right w:w="108" w:type="dxa"/>
            </w:tcMar>
            <w:vAlign w:val="center"/>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000000" w:fill="5b9bd5" w:val="clear"/>
            <w:tcMar>
              <w:left w:w="108" w:type="dxa"/>
              <w:right w:w="108" w:type="dxa"/>
            </w:tcMar>
            <w:vAlign w:val="center"/>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07" w:type="dxa"/>
            <w:tcBorders>
              <w:top w:val="single" w:color="000000" w:sz="0"/>
              <w:left w:val="single" w:color="000000" w:sz="0"/>
              <w:bottom w:val="single" w:color="000000" w:sz="4"/>
              <w:right w:val="single" w:color="000000" w:sz="4"/>
            </w:tcBorders>
            <w:shd w:color="000000" w:fill="5b9bd5" w:val="clear"/>
            <w:tcMar>
              <w:left w:w="108" w:type="dxa"/>
              <w:right w:w="108" w:type="dxa"/>
            </w:tcMar>
            <w:vAlign w:val="center"/>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000000" w:fill="5b9bd5" w:val="clear"/>
            <w:tcMar>
              <w:left w:w="108" w:type="dxa"/>
              <w:right w:w="108" w:type="dxa"/>
            </w:tcMar>
            <w:vAlign w:val="center"/>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000000" w:fill="5b9bd5" w:val="clear"/>
            <w:tcMar>
              <w:left w:w="108" w:type="dxa"/>
              <w:right w:w="108" w:type="dxa"/>
            </w:tcMar>
            <w:vAlign w:val="center"/>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07" w:type="dxa"/>
            <w:tcBorders>
              <w:top w:val="single" w:color="000000" w:sz="0"/>
              <w:left w:val="single" w:color="000000" w:sz="0"/>
              <w:bottom w:val="single" w:color="000000" w:sz="4"/>
              <w:right w:val="single" w:color="000000" w:sz="4"/>
            </w:tcBorders>
            <w:shd w:color="000000" w:fill="5b9bd5" w:val="clear"/>
            <w:tcMar>
              <w:left w:w="108" w:type="dxa"/>
              <w:right w:w="108" w:type="dxa"/>
            </w:tcMar>
            <w:vAlign w:val="center"/>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000000" w:fill="5b9bd5" w:val="clear"/>
            <w:tcMar>
              <w:left w:w="108" w:type="dxa"/>
              <w:right w:w="108" w:type="dxa"/>
            </w:tcMar>
            <w:vAlign w:val="center"/>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48" w:type="dxa"/>
            <w:tcBorders>
              <w:top w:val="single" w:color="000000" w:sz="0"/>
              <w:left w:val="single" w:color="000000" w:sz="0"/>
              <w:bottom w:val="single" w:color="000000" w:sz="4"/>
              <w:right w:val="single" w:color="000000" w:sz="4"/>
            </w:tcBorders>
            <w:shd w:color="000000" w:fill="5b9bd5" w:val="clear"/>
            <w:tcMar>
              <w:left w:w="108" w:type="dxa"/>
              <w:right w:w="108" w:type="dxa"/>
            </w:tcMar>
            <w:vAlign w:val="center"/>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657" w:type="dxa"/>
            <w:tcBorders>
              <w:top w:val="single" w:color="000000" w:sz="0"/>
              <w:left w:val="single" w:color="000000" w:sz="0"/>
              <w:bottom w:val="single" w:color="000000" w:sz="4"/>
              <w:right w:val="single" w:color="000000" w:sz="4"/>
            </w:tcBorders>
            <w:shd w:color="000000" w:fill="5b9bd5" w:val="clear"/>
            <w:tcMar>
              <w:left w:w="108" w:type="dxa"/>
              <w:right w:w="108" w:type="dxa"/>
            </w:tcMar>
            <w:vAlign w:val="center"/>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157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r>
      <w:tr>
        <w:trPr>
          <w:trHeight w:val="1" w:hRule="atLeast"/>
          <w:jc w:val="left"/>
        </w:trPr>
        <w:tc>
          <w:tcPr>
            <w:tcW w:w="846" w:type="dxa"/>
            <w:tcBorders>
              <w:top w:val="single" w:color="000000" w:sz="0"/>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b/>
                <w:color w:val="000000"/>
                <w:spacing w:val="0"/>
                <w:position w:val="0"/>
                <w:sz w:val="18"/>
                <w:shd w:fill="auto" w:val="clear"/>
              </w:rPr>
              <w:t xml:space="preserve">10</w:t>
            </w:r>
          </w:p>
        </w:tc>
        <w:tc>
          <w:tcPr>
            <w:tcW w:w="3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Izgradnja novih i adaptacija postoje</w:t>
            </w:r>
            <w:r>
              <w:rPr>
                <w:rFonts w:ascii="Calibri" w:hAnsi="Calibri" w:cs="Calibri" w:eastAsia="Calibri"/>
                <w:color w:val="000000"/>
                <w:spacing w:val="0"/>
                <w:position w:val="0"/>
                <w:sz w:val="18"/>
                <w:shd w:fill="auto" w:val="clear"/>
              </w:rPr>
              <w:t xml:space="preserve">ćih autobusnih stajališta sa postavljanjem nadstrešnica</w:t>
            </w:r>
          </w:p>
        </w:tc>
        <w:tc>
          <w:tcPr>
            <w:tcW w:w="127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10.000</w:t>
            </w:r>
          </w:p>
        </w:tc>
        <w:tc>
          <w:tcPr>
            <w:tcW w:w="70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70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707"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707"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748"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65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157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Op</w:t>
            </w:r>
            <w:r>
              <w:rPr>
                <w:rFonts w:ascii="Calibri" w:hAnsi="Calibri" w:cs="Calibri" w:eastAsia="Calibri"/>
                <w:color w:val="000000"/>
                <w:spacing w:val="0"/>
                <w:position w:val="0"/>
                <w:sz w:val="18"/>
                <w:shd w:fill="auto" w:val="clear"/>
              </w:rPr>
              <w:t xml:space="preserve">ćina Doboj Istok</w:t>
            </w:r>
          </w:p>
        </w:tc>
      </w:tr>
      <w:tr>
        <w:trPr>
          <w:trHeight w:val="1" w:hRule="atLeast"/>
          <w:jc w:val="left"/>
        </w:trPr>
        <w:tc>
          <w:tcPr>
            <w:tcW w:w="846" w:type="dxa"/>
            <w:tcBorders>
              <w:top w:val="single" w:color="000000" w:sz="0"/>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b/>
                <w:color w:val="000000"/>
                <w:spacing w:val="0"/>
                <w:position w:val="0"/>
                <w:sz w:val="18"/>
                <w:shd w:fill="auto" w:val="clear"/>
              </w:rPr>
              <w:t xml:space="preserve">11</w:t>
            </w:r>
          </w:p>
        </w:tc>
        <w:tc>
          <w:tcPr>
            <w:tcW w:w="3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Klimatizirana vozila javnog prevoza kao standard</w:t>
            </w:r>
          </w:p>
        </w:tc>
        <w:tc>
          <w:tcPr>
            <w:tcW w:w="127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w:t>
            </w:r>
          </w:p>
        </w:tc>
        <w:tc>
          <w:tcPr>
            <w:tcW w:w="70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707"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707"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07"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48"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657"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157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Javni prijevoznici</w:t>
            </w:r>
          </w:p>
        </w:tc>
      </w:tr>
      <w:tr>
        <w:trPr>
          <w:trHeight w:val="1" w:hRule="atLeast"/>
          <w:jc w:val="left"/>
        </w:trPr>
        <w:tc>
          <w:tcPr>
            <w:tcW w:w="846" w:type="dxa"/>
            <w:tcBorders>
              <w:top w:val="single" w:color="000000" w:sz="0"/>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b/>
                <w:color w:val="000000"/>
                <w:spacing w:val="0"/>
                <w:position w:val="0"/>
                <w:sz w:val="18"/>
                <w:shd w:fill="auto" w:val="clear"/>
              </w:rPr>
              <w:t xml:space="preserve">12</w:t>
            </w:r>
          </w:p>
        </w:tc>
        <w:tc>
          <w:tcPr>
            <w:tcW w:w="3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Integracija koncepta zelene infrastrukture u procese prostornog planiranja</w:t>
            </w:r>
          </w:p>
        </w:tc>
        <w:tc>
          <w:tcPr>
            <w:tcW w:w="127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10.000</w:t>
            </w:r>
          </w:p>
        </w:tc>
        <w:tc>
          <w:tcPr>
            <w:tcW w:w="70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07"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07"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07"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48"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657"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157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Op</w:t>
            </w:r>
            <w:r>
              <w:rPr>
                <w:rFonts w:ascii="Calibri" w:hAnsi="Calibri" w:cs="Calibri" w:eastAsia="Calibri"/>
                <w:color w:val="000000"/>
                <w:spacing w:val="0"/>
                <w:position w:val="0"/>
                <w:sz w:val="18"/>
                <w:shd w:fill="auto" w:val="clear"/>
              </w:rPr>
              <w:t xml:space="preserve">ćina Doboj Istok</w:t>
            </w:r>
          </w:p>
        </w:tc>
      </w:tr>
      <w:tr>
        <w:trPr>
          <w:trHeight w:val="1" w:hRule="atLeast"/>
          <w:jc w:val="left"/>
        </w:trPr>
        <w:tc>
          <w:tcPr>
            <w:tcW w:w="846" w:type="dxa"/>
            <w:tcBorders>
              <w:top w:val="single" w:color="000000" w:sz="0"/>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b/>
                <w:color w:val="000000"/>
                <w:spacing w:val="0"/>
                <w:position w:val="0"/>
                <w:sz w:val="18"/>
                <w:shd w:fill="auto" w:val="clear"/>
              </w:rPr>
              <w:t xml:space="preserve">13</w:t>
            </w:r>
          </w:p>
        </w:tc>
        <w:tc>
          <w:tcPr>
            <w:tcW w:w="3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Ure</w:t>
            </w:r>
            <w:r>
              <w:rPr>
                <w:rFonts w:ascii="Calibri" w:hAnsi="Calibri" w:cs="Calibri" w:eastAsia="Calibri"/>
                <w:color w:val="000000"/>
                <w:spacing w:val="0"/>
                <w:position w:val="0"/>
                <w:sz w:val="18"/>
                <w:shd w:fill="auto" w:val="clear"/>
              </w:rPr>
              <w:t xml:space="preserve">đenje parka sa vodoskokom u Brijesnici Velikoj</w:t>
            </w:r>
          </w:p>
        </w:tc>
        <w:tc>
          <w:tcPr>
            <w:tcW w:w="127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48.000</w:t>
            </w:r>
          </w:p>
        </w:tc>
        <w:tc>
          <w:tcPr>
            <w:tcW w:w="707"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07"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07"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0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4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65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157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Op</w:t>
            </w:r>
            <w:r>
              <w:rPr>
                <w:rFonts w:ascii="Calibri" w:hAnsi="Calibri" w:cs="Calibri" w:eastAsia="Calibri"/>
                <w:color w:val="000000"/>
                <w:spacing w:val="0"/>
                <w:position w:val="0"/>
                <w:sz w:val="18"/>
                <w:shd w:fill="auto" w:val="clear"/>
              </w:rPr>
              <w:t xml:space="preserve">ćina Doboj Istok</w:t>
            </w:r>
          </w:p>
        </w:tc>
      </w:tr>
      <w:tr>
        <w:trPr>
          <w:trHeight w:val="1" w:hRule="atLeast"/>
          <w:jc w:val="left"/>
        </w:trPr>
        <w:tc>
          <w:tcPr>
            <w:tcW w:w="846" w:type="dxa"/>
            <w:tcBorders>
              <w:top w:val="single" w:color="000000" w:sz="0"/>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b/>
                <w:color w:val="000000"/>
                <w:spacing w:val="0"/>
                <w:position w:val="0"/>
                <w:sz w:val="18"/>
                <w:shd w:fill="auto" w:val="clear"/>
              </w:rPr>
              <w:t xml:space="preserve">14</w:t>
            </w:r>
          </w:p>
        </w:tc>
        <w:tc>
          <w:tcPr>
            <w:tcW w:w="3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Pošumljavanje privatnih i državnih šumskih površina na podru</w:t>
            </w:r>
            <w:r>
              <w:rPr>
                <w:rFonts w:ascii="Calibri" w:hAnsi="Calibri" w:cs="Calibri" w:eastAsia="Calibri"/>
                <w:color w:val="000000"/>
                <w:spacing w:val="0"/>
                <w:position w:val="0"/>
                <w:sz w:val="18"/>
                <w:shd w:fill="auto" w:val="clear"/>
              </w:rPr>
              <w:t xml:space="preserve">čju općine Doboj Istok</w:t>
            </w:r>
          </w:p>
        </w:tc>
        <w:tc>
          <w:tcPr>
            <w:tcW w:w="127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15.000</w:t>
            </w:r>
          </w:p>
        </w:tc>
        <w:tc>
          <w:tcPr>
            <w:tcW w:w="707"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07"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707"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70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74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65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157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Op</w:t>
            </w:r>
            <w:r>
              <w:rPr>
                <w:rFonts w:ascii="Calibri" w:hAnsi="Calibri" w:cs="Calibri" w:eastAsia="Calibri"/>
                <w:color w:val="000000"/>
                <w:spacing w:val="0"/>
                <w:position w:val="0"/>
                <w:sz w:val="18"/>
                <w:shd w:fill="auto" w:val="clear"/>
              </w:rPr>
              <w:t xml:space="preserve">ćina Doboj Istok</w:t>
            </w:r>
          </w:p>
        </w:tc>
      </w:tr>
      <w:tr>
        <w:trPr>
          <w:trHeight w:val="1" w:hRule="atLeast"/>
          <w:jc w:val="left"/>
        </w:trPr>
        <w:tc>
          <w:tcPr>
            <w:tcW w:w="3970" w:type="dxa"/>
            <w:gridSpan w:val="2"/>
            <w:tcBorders>
              <w:top w:val="single" w:color="000000" w:sz="4"/>
              <w:left w:val="single" w:color="000000" w:sz="4"/>
              <w:bottom w:val="single" w:color="000000" w:sz="4"/>
              <w:right w:val="single" w:color="000000" w:sz="4"/>
            </w:tcBorders>
            <w:shd w:color="000000" w:fill="5b9bd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b/>
                <w:i/>
                <w:color w:val="000000"/>
                <w:spacing w:val="0"/>
                <w:position w:val="0"/>
                <w:sz w:val="18"/>
                <w:shd w:fill="auto" w:val="clear"/>
              </w:rPr>
              <w:t xml:space="preserve">Ostale mjere za prilago</w:t>
            </w:r>
            <w:r>
              <w:rPr>
                <w:rFonts w:ascii="Calibri" w:hAnsi="Calibri" w:cs="Calibri" w:eastAsia="Calibri"/>
                <w:b/>
                <w:i/>
                <w:color w:val="000000"/>
                <w:spacing w:val="0"/>
                <w:position w:val="0"/>
                <w:sz w:val="18"/>
                <w:shd w:fill="auto" w:val="clear"/>
              </w:rPr>
              <w:t xml:space="preserve">đavanje na opasnosti od klimatskih promjena</w:t>
            </w:r>
          </w:p>
        </w:tc>
        <w:tc>
          <w:tcPr>
            <w:tcW w:w="1275" w:type="dxa"/>
            <w:tcBorders>
              <w:top w:val="single" w:color="000000" w:sz="0"/>
              <w:left w:val="single" w:color="000000" w:sz="0"/>
              <w:bottom w:val="single" w:color="000000" w:sz="4"/>
              <w:right w:val="single" w:color="000000" w:sz="4"/>
            </w:tcBorders>
            <w:shd w:color="000000" w:fill="5b9bd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b/>
                <w:color w:val="000000"/>
                <w:spacing w:val="0"/>
                <w:position w:val="0"/>
                <w:sz w:val="18"/>
                <w:shd w:fill="auto" w:val="clear"/>
              </w:rPr>
              <w:t xml:space="preserve">185.000</w:t>
            </w:r>
          </w:p>
        </w:tc>
        <w:tc>
          <w:tcPr>
            <w:tcW w:w="707" w:type="dxa"/>
            <w:tcBorders>
              <w:top w:val="single" w:color="000000" w:sz="0"/>
              <w:left w:val="single" w:color="000000" w:sz="0"/>
              <w:bottom w:val="single" w:color="000000" w:sz="4"/>
              <w:right w:val="single" w:color="000000" w:sz="4"/>
            </w:tcBorders>
            <w:shd w:color="000000" w:fill="5b9bd5" w:val="clear"/>
            <w:tcMar>
              <w:left w:w="108" w:type="dxa"/>
              <w:right w:w="108" w:type="dxa"/>
            </w:tcMar>
            <w:vAlign w:val="center"/>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000000" w:fill="5b9bd5" w:val="clear"/>
            <w:tcMar>
              <w:left w:w="108" w:type="dxa"/>
              <w:right w:w="108" w:type="dxa"/>
            </w:tcMar>
            <w:vAlign w:val="center"/>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07" w:type="dxa"/>
            <w:tcBorders>
              <w:top w:val="single" w:color="000000" w:sz="0"/>
              <w:left w:val="single" w:color="000000" w:sz="0"/>
              <w:bottom w:val="single" w:color="000000" w:sz="4"/>
              <w:right w:val="single" w:color="000000" w:sz="4"/>
            </w:tcBorders>
            <w:shd w:color="000000" w:fill="5b9bd5" w:val="clear"/>
            <w:tcMar>
              <w:left w:w="108" w:type="dxa"/>
              <w:right w:w="108" w:type="dxa"/>
            </w:tcMar>
            <w:vAlign w:val="center"/>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000000" w:fill="5b9bd5" w:val="clear"/>
            <w:tcMar>
              <w:left w:w="108" w:type="dxa"/>
              <w:right w:w="108" w:type="dxa"/>
            </w:tcMar>
            <w:vAlign w:val="center"/>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07" w:type="dxa"/>
            <w:tcBorders>
              <w:top w:val="single" w:color="000000" w:sz="0"/>
              <w:left w:val="single" w:color="000000" w:sz="0"/>
              <w:bottom w:val="single" w:color="000000" w:sz="4"/>
              <w:right w:val="single" w:color="000000" w:sz="4"/>
            </w:tcBorders>
            <w:shd w:color="000000" w:fill="5b9bd5" w:val="clear"/>
            <w:tcMar>
              <w:left w:w="108" w:type="dxa"/>
              <w:right w:w="108" w:type="dxa"/>
            </w:tcMar>
            <w:vAlign w:val="center"/>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000000" w:fill="5b9bd5" w:val="clear"/>
            <w:tcMar>
              <w:left w:w="108" w:type="dxa"/>
              <w:right w:w="108" w:type="dxa"/>
            </w:tcMar>
            <w:vAlign w:val="center"/>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000000" w:fill="5b9bd5" w:val="clear"/>
            <w:tcMar>
              <w:left w:w="108" w:type="dxa"/>
              <w:right w:w="108" w:type="dxa"/>
            </w:tcMar>
            <w:vAlign w:val="center"/>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07" w:type="dxa"/>
            <w:tcBorders>
              <w:top w:val="single" w:color="000000" w:sz="0"/>
              <w:left w:val="single" w:color="000000" w:sz="0"/>
              <w:bottom w:val="single" w:color="000000" w:sz="4"/>
              <w:right w:val="single" w:color="000000" w:sz="4"/>
            </w:tcBorders>
            <w:shd w:color="000000" w:fill="5b9bd5" w:val="clear"/>
            <w:tcMar>
              <w:left w:w="108" w:type="dxa"/>
              <w:right w:w="108" w:type="dxa"/>
            </w:tcMar>
            <w:vAlign w:val="center"/>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000000" w:fill="5b9bd5" w:val="clear"/>
            <w:tcMar>
              <w:left w:w="108" w:type="dxa"/>
              <w:right w:w="108" w:type="dxa"/>
            </w:tcMar>
            <w:vAlign w:val="center"/>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48" w:type="dxa"/>
            <w:tcBorders>
              <w:top w:val="single" w:color="000000" w:sz="0"/>
              <w:left w:val="single" w:color="000000" w:sz="0"/>
              <w:bottom w:val="single" w:color="000000" w:sz="4"/>
              <w:right w:val="single" w:color="000000" w:sz="4"/>
            </w:tcBorders>
            <w:shd w:color="000000" w:fill="5b9bd5" w:val="clear"/>
            <w:tcMar>
              <w:left w:w="108" w:type="dxa"/>
              <w:right w:w="108" w:type="dxa"/>
            </w:tcMar>
            <w:vAlign w:val="center"/>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657" w:type="dxa"/>
            <w:tcBorders>
              <w:top w:val="single" w:color="000000" w:sz="0"/>
              <w:left w:val="single" w:color="000000" w:sz="0"/>
              <w:bottom w:val="single" w:color="000000" w:sz="4"/>
              <w:right w:val="single" w:color="000000" w:sz="4"/>
            </w:tcBorders>
            <w:shd w:color="000000" w:fill="5b9bd5" w:val="clear"/>
            <w:tcMar>
              <w:left w:w="108" w:type="dxa"/>
              <w:right w:w="108" w:type="dxa"/>
            </w:tcMar>
            <w:vAlign w:val="center"/>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157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r>
      <w:tr>
        <w:trPr>
          <w:trHeight w:val="1" w:hRule="atLeast"/>
          <w:jc w:val="left"/>
        </w:trPr>
        <w:tc>
          <w:tcPr>
            <w:tcW w:w="846" w:type="dxa"/>
            <w:tcBorders>
              <w:top w:val="single" w:color="000000" w:sz="0"/>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b/>
                <w:color w:val="000000"/>
                <w:spacing w:val="0"/>
                <w:position w:val="0"/>
                <w:sz w:val="18"/>
                <w:shd w:fill="auto" w:val="clear"/>
              </w:rPr>
              <w:t xml:space="preserve">15</w:t>
            </w:r>
          </w:p>
        </w:tc>
        <w:tc>
          <w:tcPr>
            <w:tcW w:w="3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Opremanje civilne zaštite u segmentu vatrogastva</w:t>
            </w:r>
          </w:p>
        </w:tc>
        <w:tc>
          <w:tcPr>
            <w:tcW w:w="127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75.000</w:t>
            </w:r>
          </w:p>
        </w:tc>
        <w:tc>
          <w:tcPr>
            <w:tcW w:w="707"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07"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70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70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74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65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157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Op</w:t>
            </w:r>
            <w:r>
              <w:rPr>
                <w:rFonts w:ascii="Calibri" w:hAnsi="Calibri" w:cs="Calibri" w:eastAsia="Calibri"/>
                <w:color w:val="000000"/>
                <w:spacing w:val="0"/>
                <w:position w:val="0"/>
                <w:sz w:val="18"/>
                <w:shd w:fill="auto" w:val="clear"/>
              </w:rPr>
              <w:t xml:space="preserve">ćina Doboj Istok</w:t>
            </w:r>
          </w:p>
        </w:tc>
      </w:tr>
      <w:tr>
        <w:trPr>
          <w:trHeight w:val="1" w:hRule="atLeast"/>
          <w:jc w:val="left"/>
        </w:trPr>
        <w:tc>
          <w:tcPr>
            <w:tcW w:w="846" w:type="dxa"/>
            <w:tcBorders>
              <w:top w:val="single" w:color="000000" w:sz="0"/>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b/>
                <w:color w:val="000000"/>
                <w:spacing w:val="0"/>
                <w:position w:val="0"/>
                <w:sz w:val="18"/>
                <w:shd w:fill="auto" w:val="clear"/>
              </w:rPr>
              <w:t xml:space="preserve">16</w:t>
            </w:r>
          </w:p>
        </w:tc>
        <w:tc>
          <w:tcPr>
            <w:tcW w:w="3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Ja</w:t>
            </w:r>
            <w:r>
              <w:rPr>
                <w:rFonts w:ascii="Calibri" w:hAnsi="Calibri" w:cs="Calibri" w:eastAsia="Calibri"/>
                <w:color w:val="000000"/>
                <w:spacing w:val="0"/>
                <w:position w:val="0"/>
                <w:sz w:val="18"/>
                <w:shd w:fill="auto" w:val="clear"/>
              </w:rPr>
              <w:t xml:space="preserve">čanje kapaciteta civilne zaštite u segmentu zaštite i spašavanja na vodi i pod vodom</w:t>
            </w:r>
          </w:p>
        </w:tc>
        <w:tc>
          <w:tcPr>
            <w:tcW w:w="127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100.000</w:t>
            </w:r>
          </w:p>
        </w:tc>
        <w:tc>
          <w:tcPr>
            <w:tcW w:w="707"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07"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70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70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74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65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157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Op</w:t>
            </w:r>
            <w:r>
              <w:rPr>
                <w:rFonts w:ascii="Calibri" w:hAnsi="Calibri" w:cs="Calibri" w:eastAsia="Calibri"/>
                <w:color w:val="000000"/>
                <w:spacing w:val="0"/>
                <w:position w:val="0"/>
                <w:sz w:val="18"/>
                <w:shd w:fill="auto" w:val="clear"/>
              </w:rPr>
              <w:t xml:space="preserve">ćina Doboj Istok</w:t>
            </w:r>
          </w:p>
        </w:tc>
      </w:tr>
      <w:tr>
        <w:trPr>
          <w:trHeight w:val="1" w:hRule="atLeast"/>
          <w:jc w:val="left"/>
        </w:trPr>
        <w:tc>
          <w:tcPr>
            <w:tcW w:w="846" w:type="dxa"/>
            <w:tcBorders>
              <w:top w:val="single" w:color="000000" w:sz="0"/>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b/>
                <w:color w:val="000000"/>
                <w:spacing w:val="0"/>
                <w:position w:val="0"/>
                <w:sz w:val="18"/>
                <w:shd w:fill="auto" w:val="clear"/>
              </w:rPr>
              <w:t xml:space="preserve">17</w:t>
            </w:r>
          </w:p>
        </w:tc>
        <w:tc>
          <w:tcPr>
            <w:tcW w:w="3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Edukacija i informisanje o klimatskim promjenama, energetskoj efikasnosti i održivosti </w:t>
            </w:r>
          </w:p>
        </w:tc>
        <w:tc>
          <w:tcPr>
            <w:tcW w:w="127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10.000</w:t>
            </w:r>
          </w:p>
        </w:tc>
        <w:tc>
          <w:tcPr>
            <w:tcW w:w="707"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07"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FFFFFF"/>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707"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707"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710"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748"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657" w:type="dxa"/>
            <w:tcBorders>
              <w:top w:val="single" w:color="000000" w:sz="0"/>
              <w:left w:val="single" w:color="000000" w:sz="0"/>
              <w:bottom w:val="single" w:color="000000" w:sz="4"/>
              <w:right w:val="single" w:color="000000" w:sz="4"/>
            </w:tcBorders>
            <w:shd w:color="000000" w:fill="9bc2e6" w:val="clear"/>
            <w:tcMar>
              <w:left w:w="108" w:type="dxa"/>
              <w:right w:w="108" w:type="dxa"/>
            </w:tcMar>
            <w:vAlign w:val="top"/>
          </w:tcPr>
          <w:p>
            <w:pPr>
              <w:spacing w:before="0" w:after="0" w:line="240"/>
              <w:ind w:right="0" w:left="0" w:firstLine="0"/>
              <w:jc w:val="both"/>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 </w:t>
            </w:r>
          </w:p>
        </w:tc>
        <w:tc>
          <w:tcPr>
            <w:tcW w:w="157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000000"/>
                <w:spacing w:val="0"/>
                <w:position w:val="0"/>
                <w:sz w:val="18"/>
                <w:shd w:fill="auto" w:val="clear"/>
              </w:rPr>
              <w:t xml:space="preserve">Op</w:t>
            </w:r>
            <w:r>
              <w:rPr>
                <w:rFonts w:ascii="Calibri" w:hAnsi="Calibri" w:cs="Calibri" w:eastAsia="Calibri"/>
                <w:color w:val="000000"/>
                <w:spacing w:val="0"/>
                <w:position w:val="0"/>
                <w:sz w:val="18"/>
                <w:shd w:fill="auto" w:val="clear"/>
              </w:rPr>
              <w:t xml:space="preserve">ćina Doboj Istok</w:t>
            </w:r>
          </w:p>
        </w:tc>
      </w:tr>
      <w:tr>
        <w:trPr>
          <w:trHeight w:val="1" w:hRule="atLeast"/>
          <w:jc w:val="left"/>
        </w:trPr>
        <w:tc>
          <w:tcPr>
            <w:tcW w:w="3970" w:type="dxa"/>
            <w:gridSpan w:val="2"/>
            <w:tcBorders>
              <w:top w:val="single" w:color="000000" w:sz="4"/>
              <w:left w:val="single" w:color="000000" w:sz="4"/>
              <w:bottom w:val="single" w:color="000000" w:sz="4"/>
              <w:right w:val="single" w:color="000000" w:sz="4"/>
            </w:tcBorders>
            <w:shd w:color="000000" w:fill="5b9bd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b/>
                <w:color w:val="000000"/>
                <w:spacing w:val="0"/>
                <w:position w:val="0"/>
                <w:sz w:val="18"/>
                <w:shd w:fill="auto" w:val="clear"/>
              </w:rPr>
              <w:t xml:space="preserve">UKUPNO</w:t>
            </w:r>
          </w:p>
        </w:tc>
        <w:tc>
          <w:tcPr>
            <w:tcW w:w="1275" w:type="dxa"/>
            <w:tcBorders>
              <w:top w:val="single" w:color="000000" w:sz="0"/>
              <w:left w:val="single" w:color="000000" w:sz="0"/>
              <w:bottom w:val="single" w:color="000000" w:sz="4"/>
              <w:right w:val="single" w:color="000000" w:sz="4"/>
            </w:tcBorders>
            <w:shd w:color="000000" w:fill="5b9bd5"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b/>
                <w:color w:val="000000"/>
                <w:spacing w:val="0"/>
                <w:position w:val="0"/>
                <w:sz w:val="18"/>
                <w:shd w:fill="auto" w:val="clear"/>
              </w:rPr>
              <w:t xml:space="preserve">2.233.000</w:t>
            </w:r>
          </w:p>
        </w:tc>
        <w:tc>
          <w:tcPr>
            <w:tcW w:w="707"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71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07"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1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07"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1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1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07"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1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48"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57"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74"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bl>
    <w:p>
      <w:pPr>
        <w:spacing w:before="60" w:after="160" w:line="240"/>
        <w:ind w:right="0" w:left="0" w:firstLine="0"/>
        <w:jc w:val="center"/>
        <w:rPr>
          <w:rFonts w:ascii="Calibri" w:hAnsi="Calibri" w:cs="Calibri" w:eastAsia="Calibri"/>
          <w:i/>
          <w:color w:val="auto"/>
          <w:spacing w:val="0"/>
          <w:position w:val="0"/>
          <w:sz w:val="18"/>
          <w:shd w:fill="auto" w:val="clear"/>
        </w:rPr>
      </w:pPr>
      <w:r>
        <w:rPr>
          <w:rFonts w:ascii="Calibri" w:hAnsi="Calibri" w:cs="Calibri" w:eastAsia="Calibri"/>
          <w:i/>
          <w:color w:val="auto"/>
          <w:spacing w:val="0"/>
          <w:position w:val="0"/>
          <w:sz w:val="18"/>
          <w:shd w:fill="auto" w:val="clear"/>
        </w:rPr>
        <w:t xml:space="preserve">Tabela 65: Dinamika i financijski okvir realizacije plana mjera za prilago</w:t>
      </w:r>
      <w:r>
        <w:rPr>
          <w:rFonts w:ascii="Calibri" w:hAnsi="Calibri" w:cs="Calibri" w:eastAsia="Calibri"/>
          <w:i/>
          <w:color w:val="auto"/>
          <w:spacing w:val="0"/>
          <w:position w:val="0"/>
          <w:sz w:val="18"/>
          <w:shd w:fill="auto" w:val="clear"/>
        </w:rPr>
        <w:t xml:space="preserve">đavanje klimatskim promjenama na području općine Doboj Istok</w:t>
      </w:r>
    </w:p>
    <w:p>
      <w:pPr>
        <w:keepNext w:val="true"/>
        <w:keepLines w:val="true"/>
        <w:numPr>
          <w:ilvl w:val="0"/>
          <w:numId w:val="4153"/>
        </w:numPr>
        <w:spacing w:before="60" w:after="0" w:line="240"/>
        <w:ind w:right="0" w:left="431" w:hanging="431"/>
        <w:jc w:val="both"/>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REALIZACIJA I PRA</w:t>
      </w:r>
      <w:r>
        <w:rPr>
          <w:rFonts w:ascii="Calibri" w:hAnsi="Calibri" w:cs="Calibri" w:eastAsia="Calibri"/>
          <w:b/>
          <w:color w:val="auto"/>
          <w:spacing w:val="0"/>
          <w:position w:val="0"/>
          <w:sz w:val="28"/>
          <w:shd w:fill="auto" w:val="clear"/>
        </w:rPr>
        <w:t xml:space="preserve">ĆENJE REZULTATA AKCIONOG PLANA</w:t>
      </w:r>
    </w:p>
    <w:p>
      <w:pPr>
        <w:keepNext w:val="true"/>
        <w:keepLines w:val="true"/>
        <w:numPr>
          <w:ilvl w:val="0"/>
          <w:numId w:val="4153"/>
        </w:numPr>
        <w:spacing w:before="240" w:after="0" w:line="240"/>
        <w:ind w:right="0" w:left="578" w:hanging="578"/>
        <w:jc w:val="both"/>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Realizacija Akcionog plana </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i/>
          <w:color w:val="auto"/>
          <w:spacing w:val="0"/>
          <w:position w:val="0"/>
          <w:sz w:val="20"/>
          <w:shd w:fill="auto" w:val="clear"/>
        </w:rPr>
        <w:t xml:space="preserve">Akcioni plan održivog upravljanja energijom i prilago</w:t>
      </w:r>
      <w:r>
        <w:rPr>
          <w:rFonts w:ascii="Calibri" w:hAnsi="Calibri" w:cs="Calibri" w:eastAsia="Calibri"/>
          <w:i/>
          <w:color w:val="auto"/>
          <w:spacing w:val="0"/>
          <w:position w:val="0"/>
          <w:sz w:val="20"/>
          <w:shd w:fill="auto" w:val="clear"/>
        </w:rPr>
        <w:t xml:space="preserve">đavanja klimatskim promjenama Općine Doboj Istok</w:t>
      </w:r>
      <w:r>
        <w:rPr>
          <w:rFonts w:ascii="Calibri" w:hAnsi="Calibri" w:cs="Calibri" w:eastAsia="Calibri"/>
          <w:color w:val="auto"/>
          <w:spacing w:val="0"/>
          <w:position w:val="0"/>
          <w:sz w:val="20"/>
          <w:shd w:fill="auto" w:val="clear"/>
        </w:rPr>
        <w:t xml:space="preserve"> ima dug period realizacije, te je stoga potrebno precizno planirati organizacionu strukturu radnih i nadzornih tijela za njegovu uspješnu provedbu. Zbog toga će Općina Doboj Istok formirati </w:t>
      </w:r>
      <w:r>
        <w:rPr>
          <w:rFonts w:ascii="Calibri" w:hAnsi="Calibri" w:cs="Calibri" w:eastAsia="Calibri"/>
          <w:b/>
          <w:color w:val="auto"/>
          <w:spacing w:val="0"/>
          <w:position w:val="0"/>
          <w:sz w:val="20"/>
          <w:shd w:fill="auto" w:val="clear"/>
        </w:rPr>
        <w:t xml:space="preserve">Radnu grupu za energetsku efikasnost i klimatske promjene</w:t>
      </w:r>
      <w:r>
        <w:rPr>
          <w:rFonts w:ascii="Calibri" w:hAnsi="Calibri" w:cs="Calibri" w:eastAsia="Calibri"/>
          <w:color w:val="auto"/>
          <w:spacing w:val="0"/>
          <w:position w:val="0"/>
          <w:sz w:val="20"/>
          <w:shd w:fill="auto" w:val="clear"/>
        </w:rPr>
        <w:t xml:space="preserve">, čiji će zadatak biti realizacija, praćenje i kontrola provođenja mjera predviđenih Akcionim planom. Na  čelu  Radne  grupe će biti koordinator  –  stručnjak  za  upravljanje  energijom,  koji  će upravljati aktivnostima grupe i procesima izrade izvještaja o implementaciji Akcionog plana. Radna grupa za energetsku efikasnost i klimatske promjene će učestvovati u realizaciji mjera i aktivnosti iz Plana, formirati odgovarajuće baze podataka i kontinuirano pratiti energetsku potrošnju za sektore zgradarstva, saobraćaja, vodosnabdijevanja i javne rasvjete, te napredak procesa prilagođavanja klimatskim promjenama. U radnu grupu će biti uključeni predstavnici svih relevantnih službi uprave Općine, javnih preduzeća i insitucija, i to: Služba za finansije i pouzetništvo, Služba za prostorno uređenje, Služba civilne zaštite, JKP „Čisto“ d.o.o. Doboj Istok; i služba za društvene djelatnosti. U rad grupe će biti uključeni i predstavnici Službe za finansije i poduzetništvo, koji će imati zadatak da obezbijede financijska sredstva neophodna za realizaciju mjera predviđenih Akcionim planom.</w:t>
      </w:r>
    </w:p>
    <w:p>
      <w:pPr>
        <w:keepNext w:val="true"/>
        <w:keepLines w:val="true"/>
        <w:numPr>
          <w:ilvl w:val="0"/>
          <w:numId w:val="4156"/>
        </w:numPr>
        <w:spacing w:before="240" w:after="0" w:line="240"/>
        <w:ind w:right="0" w:left="578" w:hanging="578"/>
        <w:jc w:val="both"/>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Pra</w:t>
      </w:r>
      <w:r>
        <w:rPr>
          <w:rFonts w:ascii="Calibri" w:hAnsi="Calibri" w:cs="Calibri" w:eastAsia="Calibri"/>
          <w:b/>
          <w:color w:val="auto"/>
          <w:spacing w:val="0"/>
          <w:position w:val="0"/>
          <w:sz w:val="28"/>
          <w:shd w:fill="auto" w:val="clear"/>
        </w:rPr>
        <w:t xml:space="preserve">ćenje i kontrola realizacije Akcionog plana</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Jedan od glavnih zadataka Radne grupe za energetsku efikasnosti i klimatske promjene je pra</w:t>
      </w:r>
      <w:r>
        <w:rPr>
          <w:rFonts w:ascii="Calibri" w:hAnsi="Calibri" w:cs="Calibri" w:eastAsia="Calibri"/>
          <w:color w:val="auto"/>
          <w:spacing w:val="0"/>
          <w:position w:val="0"/>
          <w:sz w:val="20"/>
          <w:shd w:fill="auto" w:val="clear"/>
        </w:rPr>
        <w:t xml:space="preserve">ćenje i kontrola realizacije Akcionog plana, što obuhvata slijedeće:</w:t>
      </w:r>
    </w:p>
    <w:p>
      <w:pPr>
        <w:numPr>
          <w:ilvl w:val="0"/>
          <w:numId w:val="4158"/>
        </w:numPr>
        <w:spacing w:before="0" w:after="0" w:line="240"/>
        <w:ind w:right="0" w:left="720" w:hanging="36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pra</w:t>
      </w:r>
      <w:r>
        <w:rPr>
          <w:rFonts w:ascii="Calibri" w:hAnsi="Calibri" w:cs="Calibri" w:eastAsia="Calibri"/>
          <w:color w:val="auto"/>
          <w:spacing w:val="0"/>
          <w:position w:val="0"/>
          <w:sz w:val="20"/>
          <w:shd w:fill="auto" w:val="clear"/>
        </w:rPr>
        <w:t xml:space="preserve">ćenje dinamike realizacije predviđenih mjera ublažavanja i prilagođavanja klimatskim promjenama,</w:t>
      </w:r>
    </w:p>
    <w:p>
      <w:pPr>
        <w:numPr>
          <w:ilvl w:val="0"/>
          <w:numId w:val="4158"/>
        </w:numPr>
        <w:spacing w:before="0" w:after="0" w:line="240"/>
        <w:ind w:right="0" w:left="714" w:hanging="357"/>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pra</w:t>
      </w:r>
      <w:r>
        <w:rPr>
          <w:rFonts w:ascii="Calibri" w:hAnsi="Calibri" w:cs="Calibri" w:eastAsia="Calibri"/>
          <w:color w:val="auto"/>
          <w:spacing w:val="0"/>
          <w:position w:val="0"/>
          <w:sz w:val="20"/>
          <w:shd w:fill="auto" w:val="clear"/>
        </w:rPr>
        <w:t xml:space="preserve">ćenje uspješnosti realizacije predviđenih mjera,</w:t>
      </w:r>
    </w:p>
    <w:p>
      <w:pPr>
        <w:numPr>
          <w:ilvl w:val="0"/>
          <w:numId w:val="4158"/>
        </w:numPr>
        <w:spacing w:before="0" w:after="0" w:line="240"/>
        <w:ind w:right="0" w:left="714" w:hanging="357"/>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pra</w:t>
      </w:r>
      <w:r>
        <w:rPr>
          <w:rFonts w:ascii="Calibri" w:hAnsi="Calibri" w:cs="Calibri" w:eastAsia="Calibri"/>
          <w:color w:val="auto"/>
          <w:spacing w:val="0"/>
          <w:position w:val="0"/>
          <w:sz w:val="20"/>
          <w:shd w:fill="auto" w:val="clear"/>
        </w:rPr>
        <w:t xml:space="preserve">ćenje i kontrola postavljenih ciljeva za svaku pojedinu mjeru unutar Akcionog plana,</w:t>
      </w:r>
    </w:p>
    <w:p>
      <w:pPr>
        <w:numPr>
          <w:ilvl w:val="0"/>
          <w:numId w:val="4158"/>
        </w:numPr>
        <w:spacing w:before="0" w:after="0" w:line="240"/>
        <w:ind w:right="0" w:left="714" w:hanging="357"/>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pra</w:t>
      </w:r>
      <w:r>
        <w:rPr>
          <w:rFonts w:ascii="Calibri" w:hAnsi="Calibri" w:cs="Calibri" w:eastAsia="Calibri"/>
          <w:color w:val="auto"/>
          <w:spacing w:val="0"/>
          <w:position w:val="0"/>
          <w:sz w:val="20"/>
          <w:shd w:fill="auto" w:val="clear"/>
        </w:rPr>
        <w:t xml:space="preserve">ćenje i kontrola postignutih smanjenja emisija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za mjere ublažavanja klimatskih promjena.</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Uspješno pra</w:t>
      </w:r>
      <w:r>
        <w:rPr>
          <w:rFonts w:ascii="Calibri" w:hAnsi="Calibri" w:cs="Calibri" w:eastAsia="Calibri"/>
          <w:color w:val="auto"/>
          <w:spacing w:val="0"/>
          <w:position w:val="0"/>
          <w:sz w:val="20"/>
          <w:shd w:fill="auto" w:val="clear"/>
        </w:rPr>
        <w:t xml:space="preserve">ćenje postignutih ušteda u potrošnji energije i postignutog smanjenja emisija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u različitim sektorima i podsektorima, kao i dostizanje postavljenog cilja Akcionog plana postiže se izradom novih kontrolnih inventara emisija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pri čemu je važno da metodologija njihove izrade bude identična metodologiji prema kojoj je izrađen bazni inventar emisija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i kontrolni inventar za 2020. godinu.</w:t>
      </w:r>
    </w:p>
    <w:p>
      <w:pPr>
        <w:keepNext w:val="true"/>
        <w:keepLines w:val="true"/>
        <w:numPr>
          <w:ilvl w:val="0"/>
          <w:numId w:val="4161"/>
        </w:numPr>
        <w:spacing w:before="240" w:after="0" w:line="240"/>
        <w:ind w:right="0" w:left="578" w:hanging="578"/>
        <w:jc w:val="both"/>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Izvještavanje o napretku realizacije Akcionog plana</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Pristupanjem </w:t>
      </w:r>
      <w:r>
        <w:rPr>
          <w:rFonts w:ascii="Calibri" w:hAnsi="Calibri" w:cs="Calibri" w:eastAsia="Calibri"/>
          <w:i/>
          <w:color w:val="auto"/>
          <w:spacing w:val="0"/>
          <w:position w:val="0"/>
          <w:sz w:val="20"/>
          <w:shd w:fill="auto" w:val="clear"/>
        </w:rPr>
        <w:t xml:space="preserve">Sporazumu gradona</w:t>
      </w:r>
      <w:r>
        <w:rPr>
          <w:rFonts w:ascii="Calibri" w:hAnsi="Calibri" w:cs="Calibri" w:eastAsia="Calibri"/>
          <w:i/>
          <w:color w:val="auto"/>
          <w:spacing w:val="0"/>
          <w:position w:val="0"/>
          <w:sz w:val="20"/>
          <w:shd w:fill="auto" w:val="clear"/>
        </w:rPr>
        <w:t xml:space="preserve">čelnika za klimu i energiju</w:t>
      </w:r>
      <w:r>
        <w:rPr>
          <w:rFonts w:ascii="Calibri" w:hAnsi="Calibri" w:cs="Calibri" w:eastAsia="Calibri"/>
          <w:color w:val="auto"/>
          <w:spacing w:val="0"/>
          <w:position w:val="0"/>
          <w:sz w:val="20"/>
          <w:shd w:fill="auto" w:val="clear"/>
        </w:rPr>
        <w:t xml:space="preserve"> Općina Doboj Istok je preuzela i obavezu redovnog izvještavanja Sporazuma gradonačelnika za klimu i energiju o realiziranim mjerama i aktivnostima. Shodno tome, radna grupa za energetsku efikasnost i klimatske promjene će svake dvije godine izvještavati općinskog načelnika i Općinsko vijeće, te nadležno tijelo Sporazuma gradonačelnika o rezultatima realizacije planiranih mjera.  </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Sporazum gradona</w:t>
      </w:r>
      <w:r>
        <w:rPr>
          <w:rFonts w:ascii="Calibri" w:hAnsi="Calibri" w:cs="Calibri" w:eastAsia="Calibri"/>
          <w:color w:val="auto"/>
          <w:spacing w:val="0"/>
          <w:position w:val="0"/>
          <w:sz w:val="20"/>
          <w:shd w:fill="auto" w:val="clear"/>
        </w:rPr>
        <w:t xml:space="preserve">čelnika je</w:t>
      </w:r>
      <w:r>
        <w:rPr>
          <w:rFonts w:ascii="Calibri" w:hAnsi="Calibri" w:cs="Calibri" w:eastAsia="Calibri"/>
          <w:color w:val="FF0000"/>
          <w:spacing w:val="0"/>
          <w:position w:val="0"/>
          <w:sz w:val="20"/>
          <w:shd w:fill="auto" w:val="clear"/>
        </w:rPr>
        <w:t xml:space="preserve"> </w:t>
      </w:r>
      <w:r>
        <w:rPr>
          <w:rFonts w:ascii="Calibri" w:hAnsi="Calibri" w:cs="Calibri" w:eastAsia="Calibri"/>
          <w:color w:val="auto"/>
          <w:spacing w:val="0"/>
          <w:position w:val="0"/>
          <w:sz w:val="20"/>
          <w:shd w:fill="auto" w:val="clear"/>
        </w:rPr>
        <w:t xml:space="preserve">kreirao i objavio obrasce za dostavljanje periodičnih izvještaja, pri čemu su potpisnicima sporazuma ponuđene slijedeće dvije mogućnosti: </w:t>
      </w:r>
    </w:p>
    <w:p>
      <w:pPr>
        <w:numPr>
          <w:ilvl w:val="0"/>
          <w:numId w:val="4163"/>
        </w:numPr>
        <w:spacing w:before="60" w:after="0" w:line="240"/>
        <w:ind w:right="0" w:left="720" w:hanging="36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Izvještavanje svake dvije godine;</w:t>
      </w:r>
    </w:p>
    <w:p>
      <w:pPr>
        <w:numPr>
          <w:ilvl w:val="0"/>
          <w:numId w:val="4163"/>
        </w:numPr>
        <w:spacing w:before="0" w:after="0" w:line="240"/>
        <w:ind w:right="0" w:left="720" w:hanging="360"/>
        <w:jc w:val="left"/>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Izrada Izvještaja o statusu aktivnosti svake dvije godine (što ne uklju</w:t>
      </w:r>
      <w:r>
        <w:rPr>
          <w:rFonts w:ascii="Calibri" w:hAnsi="Calibri" w:cs="Calibri" w:eastAsia="Calibri"/>
          <w:color w:val="auto"/>
          <w:spacing w:val="0"/>
          <w:position w:val="0"/>
          <w:sz w:val="20"/>
          <w:shd w:fill="auto" w:val="clear"/>
        </w:rPr>
        <w:t xml:space="preserve">čuje izradu inventara emisija) te cjelokupnog izvještaja koji se dostavlja svake četiri godine i koji uključuje status aktivnosti i najmanje jedan kontrolni inventar emisija.</w:t>
      </w:r>
    </w:p>
    <w:p>
      <w:pPr>
        <w:spacing w:before="60" w:after="0" w:line="240"/>
        <w:ind w:right="0" w:left="0" w:firstLine="0"/>
        <w:jc w:val="left"/>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Op</w:t>
      </w:r>
      <w:r>
        <w:rPr>
          <w:rFonts w:ascii="Calibri" w:hAnsi="Calibri" w:cs="Calibri" w:eastAsia="Calibri"/>
          <w:color w:val="auto"/>
          <w:spacing w:val="0"/>
          <w:position w:val="0"/>
          <w:sz w:val="20"/>
          <w:shd w:fill="auto" w:val="clear"/>
        </w:rPr>
        <w:t xml:space="preserve">ćina Doboj Istok odlučila se za opciju izrade Izvještaja o statusu aktivnosti svake dvije godine te Cjelokupnog izvještaja svake četiri godine. </w:t>
      </w:r>
    </w:p>
    <w:p>
      <w:pPr>
        <w:spacing w:before="60" w:after="0" w:line="240"/>
        <w:ind w:right="0" w:left="0" w:firstLine="0"/>
        <w:jc w:val="left"/>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Organizaciona shema radne grupe za realizaciju Akcionog plana održivog upravljanja energijom i prilago</w:t>
      </w:r>
      <w:r>
        <w:rPr>
          <w:rFonts w:ascii="Calibri" w:hAnsi="Calibri" w:cs="Calibri" w:eastAsia="Calibri"/>
          <w:color w:val="auto"/>
          <w:spacing w:val="0"/>
          <w:position w:val="0"/>
          <w:sz w:val="20"/>
          <w:shd w:fill="auto" w:val="clear"/>
        </w:rPr>
        <w:t xml:space="preserve">đavanja klimatskim promjenama Općine Doboj Istok prikazana je na narednom dijagramu.</w:t>
      </w:r>
    </w:p>
    <w:p>
      <w:pPr>
        <w:spacing w:before="60" w:after="0" w:line="240"/>
        <w:ind w:right="0" w:left="0" w:firstLine="0"/>
        <w:jc w:val="left"/>
        <w:rPr>
          <w:rFonts w:ascii="Calibri" w:hAnsi="Calibri" w:cs="Calibri" w:eastAsia="Calibri"/>
          <w:color w:val="auto"/>
          <w:spacing w:val="0"/>
          <w:position w:val="0"/>
          <w:sz w:val="20"/>
          <w:shd w:fill="auto" w:val="clear"/>
        </w:rPr>
      </w:pPr>
    </w:p>
    <w:p>
      <w:pPr>
        <w:spacing w:before="0" w:after="0" w:line="276"/>
        <w:ind w:right="0" w:left="0" w:firstLine="0"/>
        <w:jc w:val="both"/>
        <w:rPr>
          <w:rFonts w:ascii="Calibri" w:hAnsi="Calibri" w:cs="Calibri" w:eastAsia="Calibri"/>
          <w:color w:val="auto"/>
          <w:spacing w:val="0"/>
          <w:position w:val="0"/>
          <w:sz w:val="22"/>
          <w:shd w:fill="FFFF00" w:val="clear"/>
        </w:rPr>
      </w:pPr>
      <w:r>
        <w:rPr>
          <w:rFonts w:ascii="Calibri" w:hAnsi="Calibri" w:cs="Calibri" w:eastAsia="Calibri"/>
          <w:color w:val="auto"/>
          <w:spacing w:val="0"/>
          <w:position w:val="0"/>
          <w:sz w:val="22"/>
          <w:shd w:fill="FFFF00" w:val="clear"/>
        </w:rPr>
        <w:t xml:space="preserve"> </w:t>
      </w:r>
    </w:p>
    <w:p>
      <w:pPr>
        <w:spacing w:before="0" w:after="0" w:line="276"/>
        <w:ind w:right="0" w:left="0" w:firstLine="0"/>
        <w:jc w:val="both"/>
        <w:rPr>
          <w:rFonts w:ascii="Calibri" w:hAnsi="Calibri" w:cs="Calibri" w:eastAsia="Calibri"/>
          <w:color w:val="auto"/>
          <w:spacing w:val="0"/>
          <w:position w:val="0"/>
          <w:sz w:val="22"/>
          <w:shd w:fill="FFFF00" w:val="clear"/>
        </w:rPr>
      </w:pPr>
    </w:p>
    <w:p>
      <w:pPr>
        <w:spacing w:before="0" w:after="0" w:line="276"/>
        <w:ind w:right="0" w:left="0" w:firstLine="0"/>
        <w:jc w:val="both"/>
        <w:rPr>
          <w:rFonts w:ascii="Calibri" w:hAnsi="Calibri" w:cs="Calibri" w:eastAsia="Calibri"/>
          <w:color w:val="auto"/>
          <w:spacing w:val="0"/>
          <w:position w:val="0"/>
          <w:sz w:val="22"/>
          <w:shd w:fill="FFFF00" w:val="clear"/>
        </w:rPr>
      </w:pPr>
    </w:p>
    <w:p>
      <w:pPr>
        <w:spacing w:before="0" w:after="0" w:line="276"/>
        <w:ind w:right="0" w:left="0" w:firstLine="0"/>
        <w:jc w:val="both"/>
        <w:rPr>
          <w:rFonts w:ascii="Calibri" w:hAnsi="Calibri" w:cs="Calibri" w:eastAsia="Calibri"/>
          <w:color w:val="auto"/>
          <w:spacing w:val="0"/>
          <w:position w:val="0"/>
          <w:sz w:val="22"/>
          <w:shd w:fill="FFFF00" w:val="clear"/>
        </w:rPr>
      </w:pPr>
    </w:p>
    <w:p>
      <w:pPr>
        <w:spacing w:before="0" w:after="0" w:line="276"/>
        <w:ind w:right="0" w:left="0" w:firstLine="0"/>
        <w:jc w:val="both"/>
        <w:rPr>
          <w:rFonts w:ascii="Calibri" w:hAnsi="Calibri" w:cs="Calibri" w:eastAsia="Calibri"/>
          <w:color w:val="auto"/>
          <w:spacing w:val="0"/>
          <w:position w:val="0"/>
          <w:sz w:val="22"/>
          <w:shd w:fill="FFFF00" w:val="clear"/>
        </w:rPr>
      </w:pPr>
    </w:p>
    <w:p>
      <w:pPr>
        <w:spacing w:before="0" w:after="0" w:line="276"/>
        <w:ind w:right="0" w:left="0" w:firstLine="0"/>
        <w:jc w:val="both"/>
        <w:rPr>
          <w:rFonts w:ascii="Calibri" w:hAnsi="Calibri" w:cs="Calibri" w:eastAsia="Calibri"/>
          <w:color w:val="auto"/>
          <w:spacing w:val="0"/>
          <w:position w:val="0"/>
          <w:sz w:val="22"/>
          <w:shd w:fill="FFFF00" w:val="clear"/>
        </w:rPr>
      </w:pPr>
    </w:p>
    <w:p>
      <w:pPr>
        <w:spacing w:before="0" w:after="0" w:line="276"/>
        <w:ind w:right="0" w:left="0" w:firstLine="0"/>
        <w:jc w:val="both"/>
        <w:rPr>
          <w:rFonts w:ascii="Calibri" w:hAnsi="Calibri" w:cs="Calibri" w:eastAsia="Calibri"/>
          <w:color w:val="auto"/>
          <w:spacing w:val="0"/>
          <w:position w:val="0"/>
          <w:sz w:val="22"/>
          <w:shd w:fill="FFFF00" w:val="clear"/>
        </w:rPr>
      </w:pPr>
    </w:p>
    <w:p>
      <w:pPr>
        <w:spacing w:before="0" w:after="0" w:line="276"/>
        <w:ind w:right="0" w:left="0" w:firstLine="0"/>
        <w:jc w:val="both"/>
        <w:rPr>
          <w:rFonts w:ascii="Calibri" w:hAnsi="Calibri" w:cs="Calibri" w:eastAsia="Calibri"/>
          <w:color w:val="auto"/>
          <w:spacing w:val="0"/>
          <w:position w:val="0"/>
          <w:sz w:val="22"/>
          <w:shd w:fill="FFFF00" w:val="clear"/>
        </w:rPr>
      </w:pPr>
    </w:p>
    <w:p>
      <w:pPr>
        <w:spacing w:before="0" w:after="0" w:line="276"/>
        <w:ind w:right="0" w:left="0" w:firstLine="0"/>
        <w:jc w:val="both"/>
        <w:rPr>
          <w:rFonts w:ascii="Calibri" w:hAnsi="Calibri" w:cs="Calibri" w:eastAsia="Calibri"/>
          <w:color w:val="auto"/>
          <w:spacing w:val="0"/>
          <w:position w:val="0"/>
          <w:sz w:val="22"/>
          <w:shd w:fill="FFFF00" w:val="clear"/>
        </w:rPr>
      </w:pPr>
    </w:p>
    <w:p>
      <w:pPr>
        <w:spacing w:before="0" w:after="0" w:line="276"/>
        <w:ind w:right="0" w:left="0" w:firstLine="0"/>
        <w:jc w:val="both"/>
        <w:rPr>
          <w:rFonts w:ascii="Calibri" w:hAnsi="Calibri" w:cs="Calibri" w:eastAsia="Calibri"/>
          <w:color w:val="auto"/>
          <w:spacing w:val="0"/>
          <w:position w:val="0"/>
          <w:sz w:val="22"/>
          <w:shd w:fill="FFFF00" w:val="clear"/>
        </w:rPr>
      </w:pPr>
    </w:p>
    <w:p>
      <w:pPr>
        <w:spacing w:before="0" w:after="0" w:line="276"/>
        <w:ind w:right="0" w:left="0" w:firstLine="0"/>
        <w:jc w:val="both"/>
        <w:rPr>
          <w:rFonts w:ascii="Calibri" w:hAnsi="Calibri" w:cs="Calibri" w:eastAsia="Calibri"/>
          <w:color w:val="auto"/>
          <w:spacing w:val="0"/>
          <w:position w:val="0"/>
          <w:sz w:val="22"/>
          <w:shd w:fill="FFFF00" w:val="clear"/>
        </w:rPr>
      </w:pPr>
    </w:p>
    <w:p>
      <w:pPr>
        <w:spacing w:before="0" w:after="0" w:line="276"/>
        <w:ind w:right="0" w:left="0" w:firstLine="0"/>
        <w:jc w:val="both"/>
        <w:rPr>
          <w:rFonts w:ascii="Calibri" w:hAnsi="Calibri" w:cs="Calibri" w:eastAsia="Calibri"/>
          <w:color w:val="auto"/>
          <w:spacing w:val="0"/>
          <w:position w:val="0"/>
          <w:sz w:val="22"/>
          <w:shd w:fill="FFFF00" w:val="clear"/>
        </w:rPr>
      </w:pPr>
    </w:p>
    <w:p>
      <w:pPr>
        <w:spacing w:before="0" w:after="0" w:line="276"/>
        <w:ind w:right="0" w:left="0" w:firstLine="0"/>
        <w:jc w:val="both"/>
        <w:rPr>
          <w:rFonts w:ascii="Calibri" w:hAnsi="Calibri" w:cs="Calibri" w:eastAsia="Calibri"/>
          <w:color w:val="auto"/>
          <w:spacing w:val="0"/>
          <w:position w:val="0"/>
          <w:sz w:val="22"/>
          <w:shd w:fill="FFFF00" w:val="clear"/>
        </w:rPr>
      </w:pPr>
    </w:p>
    <w:p>
      <w:pPr>
        <w:spacing w:before="0" w:after="0" w:line="276"/>
        <w:ind w:right="0" w:left="0" w:firstLine="0"/>
        <w:jc w:val="both"/>
        <w:rPr>
          <w:rFonts w:ascii="Calibri" w:hAnsi="Calibri" w:cs="Calibri" w:eastAsia="Calibri"/>
          <w:color w:val="auto"/>
          <w:spacing w:val="0"/>
          <w:position w:val="0"/>
          <w:sz w:val="22"/>
          <w:shd w:fill="FFFF00" w:val="clear"/>
        </w:rPr>
      </w:pPr>
    </w:p>
    <w:p>
      <w:pPr>
        <w:spacing w:before="0" w:after="0" w:line="276"/>
        <w:ind w:right="0" w:left="0" w:firstLine="0"/>
        <w:jc w:val="both"/>
        <w:rPr>
          <w:rFonts w:ascii="Calibri" w:hAnsi="Calibri" w:cs="Calibri" w:eastAsia="Calibri"/>
          <w:color w:val="auto"/>
          <w:spacing w:val="0"/>
          <w:position w:val="0"/>
          <w:sz w:val="22"/>
          <w:shd w:fill="FFFF00" w:val="clear"/>
        </w:rPr>
      </w:pPr>
    </w:p>
    <w:p>
      <w:pPr>
        <w:spacing w:before="0" w:after="0" w:line="276"/>
        <w:ind w:right="0" w:left="0" w:firstLine="0"/>
        <w:jc w:val="both"/>
        <w:rPr>
          <w:rFonts w:ascii="Calibri" w:hAnsi="Calibri" w:cs="Calibri" w:eastAsia="Calibri"/>
          <w:color w:val="auto"/>
          <w:spacing w:val="0"/>
          <w:position w:val="0"/>
          <w:sz w:val="22"/>
          <w:shd w:fill="FFFF00" w:val="clear"/>
        </w:rPr>
      </w:pPr>
    </w:p>
    <w:p>
      <w:pPr>
        <w:spacing w:before="0" w:after="0" w:line="276"/>
        <w:ind w:right="0" w:left="0" w:firstLine="0"/>
        <w:jc w:val="both"/>
        <w:rPr>
          <w:rFonts w:ascii="Calibri" w:hAnsi="Calibri" w:cs="Calibri" w:eastAsia="Calibri"/>
          <w:color w:val="auto"/>
          <w:spacing w:val="0"/>
          <w:position w:val="0"/>
          <w:sz w:val="22"/>
          <w:shd w:fill="FFFF00" w:val="clear"/>
        </w:rPr>
      </w:pPr>
    </w:p>
    <w:p>
      <w:pPr>
        <w:spacing w:before="0" w:after="0" w:line="276"/>
        <w:ind w:right="0" w:left="0" w:firstLine="0"/>
        <w:jc w:val="both"/>
        <w:rPr>
          <w:rFonts w:ascii="Calibri" w:hAnsi="Calibri" w:cs="Calibri" w:eastAsia="Calibri"/>
          <w:color w:val="auto"/>
          <w:spacing w:val="0"/>
          <w:position w:val="0"/>
          <w:sz w:val="22"/>
          <w:shd w:fill="FFFF00" w:val="clear"/>
        </w:rPr>
      </w:pPr>
    </w:p>
    <w:p>
      <w:pPr>
        <w:spacing w:before="0" w:after="0" w:line="276"/>
        <w:ind w:right="0" w:left="0" w:firstLine="0"/>
        <w:jc w:val="both"/>
        <w:rPr>
          <w:rFonts w:ascii="Calibri" w:hAnsi="Calibri" w:cs="Calibri" w:eastAsia="Calibri"/>
          <w:color w:val="auto"/>
          <w:spacing w:val="0"/>
          <w:position w:val="0"/>
          <w:sz w:val="22"/>
          <w:shd w:fill="FFFF00" w:val="clear"/>
        </w:rPr>
      </w:pPr>
    </w:p>
    <w:p>
      <w:pPr>
        <w:spacing w:before="0" w:after="0" w:line="276"/>
        <w:ind w:right="0" w:left="0" w:firstLine="0"/>
        <w:jc w:val="both"/>
        <w:rPr>
          <w:rFonts w:ascii="Calibri" w:hAnsi="Calibri" w:cs="Calibri" w:eastAsia="Calibri"/>
          <w:color w:val="auto"/>
          <w:spacing w:val="0"/>
          <w:position w:val="0"/>
          <w:sz w:val="22"/>
          <w:shd w:fill="FFFF00" w:val="clear"/>
        </w:rPr>
      </w:pPr>
    </w:p>
    <w:p>
      <w:pPr>
        <w:spacing w:before="0" w:after="0" w:line="276"/>
        <w:ind w:right="0" w:left="0" w:firstLine="0"/>
        <w:jc w:val="both"/>
        <w:rPr>
          <w:rFonts w:ascii="Calibri" w:hAnsi="Calibri" w:cs="Calibri" w:eastAsia="Calibri"/>
          <w:color w:val="auto"/>
          <w:spacing w:val="0"/>
          <w:position w:val="0"/>
          <w:sz w:val="22"/>
          <w:shd w:fill="FFFF00" w:val="clear"/>
        </w:rPr>
      </w:pPr>
    </w:p>
    <w:p>
      <w:pPr>
        <w:spacing w:before="0" w:after="0" w:line="276"/>
        <w:ind w:right="0" w:left="0" w:firstLine="0"/>
        <w:jc w:val="both"/>
        <w:rPr>
          <w:rFonts w:ascii="Calibri" w:hAnsi="Calibri" w:cs="Calibri" w:eastAsia="Calibri"/>
          <w:color w:val="auto"/>
          <w:spacing w:val="0"/>
          <w:position w:val="0"/>
          <w:sz w:val="22"/>
          <w:shd w:fill="FFFF00" w:val="clear"/>
        </w:rPr>
      </w:pPr>
    </w:p>
    <w:p>
      <w:pPr>
        <w:spacing w:before="0" w:after="0" w:line="276"/>
        <w:ind w:right="0" w:left="0" w:firstLine="0"/>
        <w:jc w:val="both"/>
        <w:rPr>
          <w:rFonts w:ascii="Calibri" w:hAnsi="Calibri" w:cs="Calibri" w:eastAsia="Calibri"/>
          <w:color w:val="auto"/>
          <w:spacing w:val="0"/>
          <w:position w:val="0"/>
          <w:sz w:val="22"/>
          <w:shd w:fill="FFFF00" w:val="clear"/>
        </w:rPr>
      </w:pPr>
    </w:p>
    <w:p>
      <w:pPr>
        <w:spacing w:before="0" w:after="0" w:line="276"/>
        <w:ind w:right="0" w:left="0" w:firstLine="0"/>
        <w:jc w:val="both"/>
        <w:rPr>
          <w:rFonts w:ascii="Calibri" w:hAnsi="Calibri" w:cs="Calibri" w:eastAsia="Calibri"/>
          <w:color w:val="auto"/>
          <w:spacing w:val="0"/>
          <w:position w:val="0"/>
          <w:sz w:val="22"/>
          <w:shd w:fill="FFFF00" w:val="clear"/>
        </w:rPr>
      </w:pPr>
    </w:p>
    <w:p>
      <w:pPr>
        <w:spacing w:before="0" w:after="0" w:line="276"/>
        <w:ind w:right="0" w:left="0" w:firstLine="0"/>
        <w:jc w:val="both"/>
        <w:rPr>
          <w:rFonts w:ascii="Calibri" w:hAnsi="Calibri" w:cs="Calibri" w:eastAsia="Calibri"/>
          <w:color w:val="auto"/>
          <w:spacing w:val="0"/>
          <w:position w:val="0"/>
          <w:sz w:val="22"/>
          <w:shd w:fill="FFFF00"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tabs>
          <w:tab w:val="center" w:pos="6562" w:leader="none"/>
          <w:tab w:val="left" w:pos="9990" w:leader="none"/>
        </w:tabs>
        <w:spacing w:before="60" w:after="16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ab/>
        <w:t xml:space="preserve">Dijagram 71: Organizaciona shema radne grupe za implementaciju Akcionog plana</w:t>
      </w:r>
    </w:p>
    <w:p>
      <w:pPr>
        <w:spacing w:before="0" w:after="0" w:line="276"/>
        <w:ind w:right="0" w:left="0" w:firstLine="0"/>
        <w:jc w:val="both"/>
        <w:rPr>
          <w:rFonts w:ascii="Calibri" w:hAnsi="Calibri" w:cs="Calibri" w:eastAsia="Calibri"/>
          <w:color w:val="auto"/>
          <w:spacing w:val="0"/>
          <w:position w:val="0"/>
          <w:sz w:val="22"/>
          <w:shd w:fill="FFFF00" w:val="clear"/>
        </w:rPr>
      </w:pPr>
    </w:p>
    <w:p>
      <w:pPr>
        <w:keepNext w:val="true"/>
        <w:keepLines w:val="true"/>
        <w:numPr>
          <w:ilvl w:val="0"/>
          <w:numId w:val="4170"/>
        </w:numPr>
        <w:spacing w:before="240" w:after="0" w:line="240"/>
        <w:ind w:right="0" w:left="431" w:hanging="431"/>
        <w:jc w:val="both"/>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MEHANIZMI FINANCIRANJA PROVO</w:t>
      </w:r>
      <w:r>
        <w:rPr>
          <w:rFonts w:ascii="Calibri" w:hAnsi="Calibri" w:cs="Calibri" w:eastAsia="Calibri"/>
          <w:b/>
          <w:color w:val="auto"/>
          <w:spacing w:val="0"/>
          <w:position w:val="0"/>
          <w:sz w:val="28"/>
          <w:shd w:fill="auto" w:val="clear"/>
        </w:rPr>
        <w:t xml:space="preserve">ĐENJA AKCIONOG PLANA ENERGETSKI ODRŽIVOG RAZVOJA I KLIMATSKIH PROMJENA</w:t>
      </w:r>
    </w:p>
    <w:p>
      <w:pPr>
        <w:spacing w:before="60" w:after="12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U cilju realizacije mjera za ublažavanje klimatskih promjena te mjera za prilago</w:t>
      </w:r>
      <w:r>
        <w:rPr>
          <w:rFonts w:ascii="Calibri" w:hAnsi="Calibri" w:cs="Calibri" w:eastAsia="Calibri"/>
          <w:color w:val="auto"/>
          <w:spacing w:val="0"/>
          <w:position w:val="0"/>
          <w:sz w:val="20"/>
          <w:shd w:fill="auto" w:val="clear"/>
        </w:rPr>
        <w:t xml:space="preserve">đavanje klimatskim promjenama, koje su uvrštene u ovaj Akcioni plan, moraju se osigurati i odgovarajuća financijska sredstva. Ova sredstva se mogu mobilizirati iz jednog izvora financiranja ili kombinacijom više izvora. Trenutno dostupni mehanizmi financiranja omogućavaju različite oblike pružanja pomoći iz domaćih i međunarodnih izvora. Uvažavajući trenutno stanje, donosioci odluka treba da izaberu optimalan model financiranja koji odgovara stanju u jedinici lokalne samouprave. Pregled izvora financiranja, trenutno dostupnih jedinicama lokalne samouprave prikazani su u narednoj tabeli.  </w:t>
      </w:r>
    </w:p>
    <w:tbl>
      <w:tblPr/>
      <w:tblGrid>
        <w:gridCol w:w="1541"/>
        <w:gridCol w:w="3236"/>
        <w:gridCol w:w="1981"/>
        <w:gridCol w:w="3169"/>
      </w:tblGrid>
      <w:tr>
        <w:trPr>
          <w:trHeight w:val="1" w:hRule="atLeast"/>
          <w:jc w:val="left"/>
        </w:trPr>
        <w:tc>
          <w:tcPr>
            <w:tcW w:w="4777" w:type="dxa"/>
            <w:gridSpan w:val="2"/>
            <w:tcBorders>
              <w:top w:val="single" w:color="000000" w:sz="4"/>
              <w:left w:val="single" w:color="000000" w:sz="4"/>
              <w:bottom w:val="single" w:color="000000" w:sz="4"/>
              <w:right w:val="single" w:color="000000" w:sz="4"/>
            </w:tcBorders>
            <w:shd w:color="auto" w:fill="bdd6ee"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Izvori financiranja</w:t>
            </w:r>
          </w:p>
        </w:tc>
        <w:tc>
          <w:tcPr>
            <w:tcW w:w="1981" w:type="dxa"/>
            <w:tcBorders>
              <w:top w:val="single" w:color="000000" w:sz="4"/>
              <w:left w:val="single" w:color="000000" w:sz="4"/>
              <w:bottom w:val="single" w:color="000000" w:sz="4"/>
              <w:right w:val="single" w:color="000000" w:sz="4"/>
            </w:tcBorders>
            <w:shd w:color="auto" w:fill="bdd6ee"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Vrsta</w:t>
            </w:r>
          </w:p>
        </w:tc>
        <w:tc>
          <w:tcPr>
            <w:tcW w:w="3169" w:type="dxa"/>
            <w:tcBorders>
              <w:top w:val="single" w:color="000000" w:sz="4"/>
              <w:left w:val="single" w:color="000000" w:sz="4"/>
              <w:bottom w:val="single" w:color="000000" w:sz="4"/>
              <w:right w:val="single" w:color="000000" w:sz="4"/>
            </w:tcBorders>
            <w:shd w:color="auto" w:fill="bdd6ee"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Oblik finansiranja</w:t>
            </w:r>
          </w:p>
        </w:tc>
      </w:tr>
      <w:tr>
        <w:trPr>
          <w:trHeight w:val="1" w:hRule="atLeast"/>
          <w:jc w:val="left"/>
        </w:trPr>
        <w:tc>
          <w:tcPr>
            <w:tcW w:w="1541" w:type="dxa"/>
            <w:vMerge w:val="restart"/>
            <w:tcBorders>
              <w:top w:val="single" w:color="000000" w:sz="4"/>
              <w:left w:val="single" w:color="000000" w:sz="4"/>
              <w:bottom w:val="single" w:color="000000" w:sz="4"/>
              <w:right w:val="single" w:color="000000" w:sz="4"/>
            </w:tcBorders>
            <w:shd w:color="auto" w:fill="bdd6ee" w:val="clear"/>
            <w:tcMar>
              <w:left w:w="108" w:type="dxa"/>
              <w:right w:w="108" w:type="dxa"/>
            </w:tcMar>
            <w:vAlign w:val="center"/>
          </w:tcPr>
          <w:p>
            <w:pPr>
              <w:spacing w:before="0" w:after="0" w:line="240"/>
              <w:ind w:right="0" w:left="0" w:firstLine="0"/>
              <w:jc w:val="both"/>
              <w:rPr>
                <w:rFonts w:ascii="Calibri" w:hAnsi="Calibri" w:cs="Calibri" w:eastAsia="Calibri"/>
                <w:b/>
                <w:color w:val="auto"/>
                <w:spacing w:val="0"/>
                <w:position w:val="0"/>
                <w:sz w:val="18"/>
                <w:shd w:fill="auto" w:val="clear"/>
              </w:rPr>
            </w:pPr>
            <w:r>
              <w:rPr>
                <w:rFonts w:ascii="Calibri" w:hAnsi="Calibri" w:cs="Calibri" w:eastAsia="Calibri"/>
                <w:b/>
                <w:color w:val="auto"/>
                <w:spacing w:val="0"/>
                <w:position w:val="0"/>
                <w:sz w:val="18"/>
                <w:shd w:fill="auto" w:val="clear"/>
              </w:rPr>
              <w:t xml:space="preserve">Doma</w:t>
            </w:r>
            <w:r>
              <w:rPr>
                <w:rFonts w:ascii="Calibri" w:hAnsi="Calibri" w:cs="Calibri" w:eastAsia="Calibri"/>
                <w:b/>
                <w:color w:val="auto"/>
                <w:spacing w:val="0"/>
                <w:position w:val="0"/>
                <w:sz w:val="18"/>
                <w:shd w:fill="auto" w:val="clear"/>
              </w:rPr>
              <w:t xml:space="preserve">ći </w:t>
            </w:r>
          </w:p>
          <w:p>
            <w:pPr>
              <w:spacing w:before="0" w:after="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izvori</w:t>
            </w:r>
          </w:p>
        </w:tc>
        <w:tc>
          <w:tcPr>
            <w:tcW w:w="323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Budžetska sredstva </w:t>
            </w:r>
          </w:p>
        </w:tc>
        <w:tc>
          <w:tcPr>
            <w:tcW w:w="198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Vlastita sredstva</w:t>
            </w:r>
          </w:p>
        </w:tc>
        <w:tc>
          <w:tcPr>
            <w:tcW w:w="316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Bespovratna sredstva</w:t>
            </w:r>
          </w:p>
        </w:tc>
      </w:tr>
      <w:tr>
        <w:trPr>
          <w:trHeight w:val="1" w:hRule="atLeast"/>
          <w:jc w:val="left"/>
        </w:trPr>
        <w:tc>
          <w:tcPr>
            <w:tcW w:w="1541" w:type="dxa"/>
            <w:vMerge/>
            <w:tcBorders>
              <w:top w:val="single" w:color="000000" w:sz="4"/>
              <w:left w:val="single" w:color="000000" w:sz="4"/>
              <w:bottom w:val="single" w:color="000000" w:sz="4"/>
              <w:right w:val="single" w:color="000000" w:sz="4"/>
            </w:tcBorders>
            <w:shd w:color="auto" w:fill="bdd6ee" w:val="clear"/>
            <w:tcMar>
              <w:left w:w="108" w:type="dxa"/>
              <w:right w:w="108"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323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Fond za zaštitu okoliša FBiH</w:t>
            </w:r>
          </w:p>
        </w:tc>
        <w:tc>
          <w:tcPr>
            <w:tcW w:w="198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Vlastita sredstva</w:t>
            </w:r>
          </w:p>
        </w:tc>
        <w:tc>
          <w:tcPr>
            <w:tcW w:w="316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Bespovratna sredstva</w:t>
            </w:r>
          </w:p>
        </w:tc>
      </w:tr>
      <w:tr>
        <w:trPr>
          <w:trHeight w:val="1" w:hRule="atLeast"/>
          <w:jc w:val="left"/>
        </w:trPr>
        <w:tc>
          <w:tcPr>
            <w:tcW w:w="1541" w:type="dxa"/>
            <w:vMerge/>
            <w:tcBorders>
              <w:top w:val="single" w:color="000000" w:sz="4"/>
              <w:left w:val="single" w:color="000000" w:sz="4"/>
              <w:bottom w:val="single" w:color="000000" w:sz="4"/>
              <w:right w:val="single" w:color="000000" w:sz="4"/>
            </w:tcBorders>
            <w:shd w:color="auto" w:fill="bdd6ee" w:val="clear"/>
            <w:tcMar>
              <w:left w:w="108" w:type="dxa"/>
              <w:right w:w="108"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323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Investiciono razvojne institucije</w:t>
            </w:r>
          </w:p>
        </w:tc>
        <w:tc>
          <w:tcPr>
            <w:tcW w:w="198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Privatna sredstva</w:t>
            </w:r>
          </w:p>
        </w:tc>
        <w:tc>
          <w:tcPr>
            <w:tcW w:w="316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Krediti sa povoljnijim uslovima</w:t>
            </w:r>
          </w:p>
        </w:tc>
      </w:tr>
      <w:tr>
        <w:trPr>
          <w:trHeight w:val="1" w:hRule="atLeast"/>
          <w:jc w:val="left"/>
        </w:trPr>
        <w:tc>
          <w:tcPr>
            <w:tcW w:w="1541" w:type="dxa"/>
            <w:vMerge/>
            <w:tcBorders>
              <w:top w:val="single" w:color="000000" w:sz="4"/>
              <w:left w:val="single" w:color="000000" w:sz="4"/>
              <w:bottom w:val="single" w:color="000000" w:sz="4"/>
              <w:right w:val="single" w:color="000000" w:sz="4"/>
            </w:tcBorders>
            <w:shd w:color="auto" w:fill="bdd6ee" w:val="clear"/>
            <w:tcMar>
              <w:left w:w="108" w:type="dxa"/>
              <w:right w:w="108"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323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Komercijalne finansijske institucije</w:t>
            </w:r>
          </w:p>
        </w:tc>
        <w:tc>
          <w:tcPr>
            <w:tcW w:w="198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Privatna sredstva</w:t>
            </w:r>
          </w:p>
        </w:tc>
        <w:tc>
          <w:tcPr>
            <w:tcW w:w="316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Krediti</w:t>
            </w:r>
          </w:p>
        </w:tc>
      </w:tr>
      <w:tr>
        <w:trPr>
          <w:trHeight w:val="1" w:hRule="atLeast"/>
          <w:jc w:val="left"/>
        </w:trPr>
        <w:tc>
          <w:tcPr>
            <w:tcW w:w="1541" w:type="dxa"/>
            <w:vMerge/>
            <w:tcBorders>
              <w:top w:val="single" w:color="000000" w:sz="4"/>
              <w:left w:val="single" w:color="000000" w:sz="4"/>
              <w:bottom w:val="single" w:color="000000" w:sz="4"/>
              <w:right w:val="single" w:color="000000" w:sz="4"/>
            </w:tcBorders>
            <w:shd w:color="auto" w:fill="bdd6ee" w:val="clear"/>
            <w:tcMar>
              <w:left w:w="108" w:type="dxa"/>
              <w:right w:w="108"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323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Privatni investitori</w:t>
            </w:r>
          </w:p>
        </w:tc>
        <w:tc>
          <w:tcPr>
            <w:tcW w:w="198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Privatna sredstva</w:t>
            </w:r>
          </w:p>
        </w:tc>
        <w:tc>
          <w:tcPr>
            <w:tcW w:w="316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Finansiranje; Sufinansiranje</w:t>
            </w:r>
          </w:p>
        </w:tc>
      </w:tr>
      <w:tr>
        <w:trPr>
          <w:trHeight w:val="1" w:hRule="atLeast"/>
          <w:jc w:val="left"/>
        </w:trPr>
        <w:tc>
          <w:tcPr>
            <w:tcW w:w="1541" w:type="dxa"/>
            <w:vMerge w:val="restart"/>
            <w:tcBorders>
              <w:top w:val="single" w:color="000000" w:sz="4"/>
              <w:left w:val="single" w:color="000000" w:sz="4"/>
              <w:bottom w:val="single" w:color="000000" w:sz="4"/>
              <w:right w:val="single" w:color="000000" w:sz="4"/>
            </w:tcBorders>
            <w:shd w:color="auto" w:fill="bdd6ee" w:val="clear"/>
            <w:tcMar>
              <w:left w:w="108" w:type="dxa"/>
              <w:right w:w="108" w:type="dxa"/>
            </w:tcMar>
            <w:vAlign w:val="center"/>
          </w:tcPr>
          <w:p>
            <w:pPr>
              <w:spacing w:before="0" w:after="0" w:line="240"/>
              <w:ind w:right="0" w:left="0" w:firstLine="0"/>
              <w:jc w:val="both"/>
              <w:rPr>
                <w:rFonts w:ascii="Calibri" w:hAnsi="Calibri" w:cs="Calibri" w:eastAsia="Calibri"/>
                <w:color w:val="auto"/>
                <w:spacing w:val="0"/>
                <w:position w:val="0"/>
              </w:rPr>
            </w:pPr>
            <w:r>
              <w:rPr>
                <w:rFonts w:ascii="Calibri" w:hAnsi="Calibri" w:cs="Calibri" w:eastAsia="Calibri"/>
                <w:b/>
                <w:color w:val="auto"/>
                <w:spacing w:val="0"/>
                <w:position w:val="0"/>
                <w:sz w:val="18"/>
                <w:shd w:fill="auto" w:val="clear"/>
              </w:rPr>
              <w:t xml:space="preserve">Me</w:t>
            </w:r>
            <w:r>
              <w:rPr>
                <w:rFonts w:ascii="Calibri" w:hAnsi="Calibri" w:cs="Calibri" w:eastAsia="Calibri"/>
                <w:b/>
                <w:color w:val="auto"/>
                <w:spacing w:val="0"/>
                <w:position w:val="0"/>
                <w:sz w:val="18"/>
                <w:shd w:fill="auto" w:val="clear"/>
              </w:rPr>
              <w:t xml:space="preserve">đunarodni izvori</w:t>
            </w:r>
          </w:p>
        </w:tc>
        <w:tc>
          <w:tcPr>
            <w:tcW w:w="323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Me</w:t>
            </w:r>
            <w:r>
              <w:rPr>
                <w:rFonts w:ascii="Calibri" w:hAnsi="Calibri" w:cs="Calibri" w:eastAsia="Calibri"/>
                <w:color w:val="auto"/>
                <w:spacing w:val="0"/>
                <w:position w:val="0"/>
                <w:sz w:val="18"/>
                <w:shd w:fill="auto" w:val="clear"/>
              </w:rPr>
              <w:t xml:space="preserve">đunarodne organizacije, EU i sredstva bilateralne suradnje </w:t>
            </w:r>
          </w:p>
        </w:tc>
        <w:tc>
          <w:tcPr>
            <w:tcW w:w="198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Me</w:t>
            </w:r>
            <w:r>
              <w:rPr>
                <w:rFonts w:ascii="Calibri" w:hAnsi="Calibri" w:cs="Calibri" w:eastAsia="Calibri"/>
                <w:color w:val="auto"/>
                <w:spacing w:val="0"/>
                <w:position w:val="0"/>
                <w:sz w:val="18"/>
                <w:shd w:fill="auto" w:val="clear"/>
              </w:rPr>
              <w:t xml:space="preserve">đunarodna sredstva</w:t>
            </w:r>
          </w:p>
        </w:tc>
        <w:tc>
          <w:tcPr>
            <w:tcW w:w="316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Tehni</w:t>
            </w:r>
            <w:r>
              <w:rPr>
                <w:rFonts w:ascii="Calibri" w:hAnsi="Calibri" w:cs="Calibri" w:eastAsia="Calibri"/>
                <w:color w:val="auto"/>
                <w:spacing w:val="0"/>
                <w:position w:val="0"/>
                <w:sz w:val="18"/>
                <w:shd w:fill="auto" w:val="clear"/>
              </w:rPr>
              <w:t xml:space="preserve">čka pomoć; Bespovratna sredstva</w:t>
            </w:r>
          </w:p>
        </w:tc>
      </w:tr>
      <w:tr>
        <w:trPr>
          <w:trHeight w:val="1" w:hRule="atLeast"/>
          <w:jc w:val="left"/>
        </w:trPr>
        <w:tc>
          <w:tcPr>
            <w:tcW w:w="1541" w:type="dxa"/>
            <w:vMerge/>
            <w:tcBorders>
              <w:top w:val="single" w:color="000000" w:sz="4"/>
              <w:left w:val="single" w:color="000000" w:sz="4"/>
              <w:bottom w:val="single" w:color="000000" w:sz="4"/>
              <w:right w:val="single" w:color="000000" w:sz="4"/>
            </w:tcBorders>
            <w:shd w:color="auto" w:fill="bdd6ee" w:val="clear"/>
            <w:tcMar>
              <w:left w:w="108" w:type="dxa"/>
              <w:right w:w="108"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323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Me</w:t>
            </w:r>
            <w:r>
              <w:rPr>
                <w:rFonts w:ascii="Calibri" w:hAnsi="Calibri" w:cs="Calibri" w:eastAsia="Calibri"/>
                <w:color w:val="auto"/>
                <w:spacing w:val="0"/>
                <w:position w:val="0"/>
                <w:sz w:val="18"/>
                <w:shd w:fill="auto" w:val="clear"/>
              </w:rPr>
              <w:t xml:space="preserve">đunarodne financijske institucije </w:t>
            </w:r>
          </w:p>
        </w:tc>
        <w:tc>
          <w:tcPr>
            <w:tcW w:w="198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Me</w:t>
            </w:r>
            <w:r>
              <w:rPr>
                <w:rFonts w:ascii="Calibri" w:hAnsi="Calibri" w:cs="Calibri" w:eastAsia="Calibri"/>
                <w:color w:val="auto"/>
                <w:spacing w:val="0"/>
                <w:position w:val="0"/>
                <w:sz w:val="18"/>
                <w:shd w:fill="auto" w:val="clear"/>
              </w:rPr>
              <w:t xml:space="preserve">đunarodna sredstva</w:t>
            </w:r>
          </w:p>
        </w:tc>
        <w:tc>
          <w:tcPr>
            <w:tcW w:w="316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Krediti; Krediti sa povoljnijim uslovima</w:t>
            </w:r>
          </w:p>
        </w:tc>
      </w:tr>
    </w:tbl>
    <w:p>
      <w:pPr>
        <w:spacing w:before="60" w:after="120" w:line="240"/>
        <w:ind w:right="0" w:left="0" w:firstLine="0"/>
        <w:jc w:val="center"/>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Tabela 81: Pregled dostupnih izvora financiranja planiranih mjera</w:t>
      </w:r>
    </w:p>
    <w:p>
      <w:pPr>
        <w:keepNext w:val="true"/>
        <w:keepLines w:val="true"/>
        <w:numPr>
          <w:ilvl w:val="0"/>
          <w:numId w:val="4202"/>
        </w:numPr>
        <w:spacing w:before="240" w:after="0" w:line="240"/>
        <w:ind w:right="0" w:left="578" w:hanging="578"/>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Doma</w:t>
      </w:r>
      <w:r>
        <w:rPr>
          <w:rFonts w:ascii="Calibri" w:hAnsi="Calibri" w:cs="Calibri" w:eastAsia="Calibri"/>
          <w:b/>
          <w:color w:val="auto"/>
          <w:spacing w:val="0"/>
          <w:position w:val="0"/>
          <w:sz w:val="28"/>
          <w:shd w:fill="auto" w:val="clear"/>
        </w:rPr>
        <w:t xml:space="preserve">ći izvori finansiranja</w:t>
      </w:r>
    </w:p>
    <w:p>
      <w:pPr>
        <w:numPr>
          <w:ilvl w:val="0"/>
          <w:numId w:val="4202"/>
        </w:numPr>
        <w:spacing w:before="120" w:after="0" w:line="240"/>
        <w:ind w:right="0" w:left="720" w:hanging="360"/>
        <w:jc w:val="both"/>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Budžetska sredstva</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Potencijalni izvor finansiranja, iz kojeg je mogu</w:t>
      </w:r>
      <w:r>
        <w:rPr>
          <w:rFonts w:ascii="Calibri" w:hAnsi="Calibri" w:cs="Calibri" w:eastAsia="Calibri"/>
          <w:color w:val="auto"/>
          <w:spacing w:val="0"/>
          <w:position w:val="0"/>
          <w:sz w:val="20"/>
          <w:shd w:fill="auto" w:val="clear"/>
        </w:rPr>
        <w:t xml:space="preserve">će obezbijediti sredstva za implementaciju mjera Akcionog plana održivog upravljanja energijom i prilagođavanja klimatskim promjenama, podrazumijeva i budžetska sredstva. Kada je riječ o sredstvima iz budžeta, moguće je identificirati slijedeće izvore:</w:t>
      </w:r>
    </w:p>
    <w:p>
      <w:pPr>
        <w:spacing w:before="60" w:after="0" w:line="240"/>
        <w:ind w:right="0" w:left="720" w:firstLine="0"/>
        <w:jc w:val="both"/>
        <w:rPr>
          <w:rFonts w:ascii="Calibri" w:hAnsi="Calibri" w:cs="Calibri" w:eastAsia="Calibri"/>
          <w:color w:val="auto"/>
          <w:spacing w:val="0"/>
          <w:position w:val="0"/>
          <w:sz w:val="20"/>
          <w:shd w:fill="auto" w:val="clear"/>
        </w:rPr>
      </w:pPr>
      <w:r>
        <w:rPr>
          <w:rFonts w:ascii="Calibri" w:hAnsi="Calibri" w:cs="Calibri" w:eastAsia="Calibri"/>
          <w:b/>
          <w:color w:val="auto"/>
          <w:spacing w:val="0"/>
          <w:position w:val="0"/>
          <w:sz w:val="20"/>
          <w:shd w:fill="auto" w:val="clear"/>
        </w:rPr>
        <w:t xml:space="preserve">Budžet Op</w:t>
      </w:r>
      <w:r>
        <w:rPr>
          <w:rFonts w:ascii="Calibri" w:hAnsi="Calibri" w:cs="Calibri" w:eastAsia="Calibri"/>
          <w:b/>
          <w:color w:val="auto"/>
          <w:spacing w:val="0"/>
          <w:position w:val="0"/>
          <w:sz w:val="20"/>
          <w:shd w:fill="auto" w:val="clear"/>
        </w:rPr>
        <w:t xml:space="preserve">ćine Doboj Istok </w:t>
      </w:r>
      <w:r>
        <w:rPr>
          <w:rFonts w:ascii="Calibri" w:hAnsi="Calibri" w:cs="Calibri" w:eastAsia="Calibri"/>
          <w:color w:val="auto"/>
          <w:spacing w:val="0"/>
          <w:position w:val="0"/>
          <w:sz w:val="20"/>
          <w:shd w:fill="auto" w:val="clear"/>
        </w:rPr>
        <w:t xml:space="preserve">- kroz svoje redovno poslovanje Općina ima mogućnost da u svoje strateške dokumente uvrsti i mjere predviđene ovim dokumentom i na osnovu toga planira potrebna sredstva u svom budžetu. </w:t>
      </w:r>
    </w:p>
    <w:p>
      <w:pPr>
        <w:spacing w:before="60" w:after="0" w:line="240"/>
        <w:ind w:right="0" w:left="720" w:firstLine="0"/>
        <w:jc w:val="both"/>
        <w:rPr>
          <w:rFonts w:ascii="Calibri" w:hAnsi="Calibri" w:cs="Calibri" w:eastAsia="Calibri"/>
          <w:color w:val="auto"/>
          <w:spacing w:val="0"/>
          <w:position w:val="0"/>
          <w:sz w:val="20"/>
          <w:shd w:fill="auto" w:val="clear"/>
        </w:rPr>
      </w:pPr>
      <w:r>
        <w:rPr>
          <w:rFonts w:ascii="Calibri" w:hAnsi="Calibri" w:cs="Calibri" w:eastAsia="Calibri"/>
          <w:b/>
          <w:color w:val="auto"/>
          <w:spacing w:val="0"/>
          <w:position w:val="0"/>
          <w:sz w:val="20"/>
          <w:shd w:fill="auto" w:val="clear"/>
        </w:rPr>
        <w:t xml:space="preserve">Budžet Tuzlanskog kantona </w:t>
      </w:r>
      <w:r>
        <w:rPr>
          <w:rFonts w:ascii="Calibri" w:hAnsi="Calibri" w:cs="Calibri" w:eastAsia="Calibri"/>
          <w:color w:val="auto"/>
          <w:spacing w:val="0"/>
          <w:position w:val="0"/>
          <w:sz w:val="20"/>
          <w:shd w:fill="auto" w:val="clear"/>
        </w:rPr>
        <w:t xml:space="preserve">– Na podru</w:t>
      </w:r>
      <w:r>
        <w:rPr>
          <w:rFonts w:ascii="Calibri" w:hAnsi="Calibri" w:cs="Calibri" w:eastAsia="Calibri"/>
          <w:color w:val="auto"/>
          <w:spacing w:val="0"/>
          <w:position w:val="0"/>
          <w:sz w:val="20"/>
          <w:shd w:fill="auto" w:val="clear"/>
        </w:rPr>
        <w:t xml:space="preserve">čju općine Doboj Istok postoji određen broj javnih zgrada koje su u nadležnosti Tuzlanskog kantona. Uzimajući u obzir tu činjenicu Vlada Tuzlanskog kantona i resorna ministarstva imaju i interes i mogućnost da iz svojih sredstava, ali i saradnjom sa drugim domaćim i međunarodnim institucijama, financiraju i realiziraju programe koji će doprinijeti smanjenju emisija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na području općine Doboj Istok.</w:t>
      </w:r>
    </w:p>
    <w:p>
      <w:pPr>
        <w:spacing w:before="60" w:after="0" w:line="240"/>
        <w:ind w:right="0" w:left="714" w:firstLine="0"/>
        <w:jc w:val="both"/>
        <w:rPr>
          <w:rFonts w:ascii="Calibri" w:hAnsi="Calibri" w:cs="Calibri" w:eastAsia="Calibri"/>
          <w:color w:val="auto"/>
          <w:spacing w:val="0"/>
          <w:position w:val="0"/>
          <w:sz w:val="20"/>
          <w:shd w:fill="auto" w:val="clear"/>
        </w:rPr>
      </w:pPr>
      <w:r>
        <w:rPr>
          <w:rFonts w:ascii="Calibri" w:hAnsi="Calibri" w:cs="Calibri" w:eastAsia="Calibri"/>
          <w:b/>
          <w:color w:val="auto"/>
          <w:spacing w:val="0"/>
          <w:position w:val="0"/>
          <w:sz w:val="20"/>
          <w:shd w:fill="auto" w:val="clear"/>
        </w:rPr>
        <w:t xml:space="preserve">Budžet Vlade Federacije BiH </w:t>
      </w:r>
      <w:r>
        <w:rPr>
          <w:rFonts w:ascii="Calibri" w:hAnsi="Calibri" w:cs="Calibri" w:eastAsia="Calibri"/>
          <w:color w:val="auto"/>
          <w:spacing w:val="0"/>
          <w:position w:val="0"/>
          <w:sz w:val="20"/>
          <w:shd w:fill="auto" w:val="clear"/>
        </w:rPr>
        <w:t xml:space="preserve">- Vlada Federacije BiH ima mogu</w:t>
      </w:r>
      <w:r>
        <w:rPr>
          <w:rFonts w:ascii="Calibri" w:hAnsi="Calibri" w:cs="Calibri" w:eastAsia="Calibri"/>
          <w:color w:val="auto"/>
          <w:spacing w:val="0"/>
          <w:position w:val="0"/>
          <w:sz w:val="20"/>
          <w:shd w:fill="auto" w:val="clear"/>
        </w:rPr>
        <w:t xml:space="preserve">ćnost transfera budžetskih sredstava na niže nivou vlasti, što se može koristiti i za provođenje mjera energetske efikasnosti i smanjenja emisija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w:t>
      </w:r>
    </w:p>
    <w:p>
      <w:pPr>
        <w:numPr>
          <w:ilvl w:val="0"/>
          <w:numId w:val="4207"/>
        </w:numPr>
        <w:spacing w:before="120" w:after="0" w:line="240"/>
        <w:ind w:right="0" w:left="714" w:hanging="357"/>
        <w:jc w:val="both"/>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Fond za zaštitu okoliša Federacije BiH</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Djelatnost Fonda za zaštitu okoliša Federacije BiH </w:t>
      </w:r>
      <w:r>
        <w:rPr>
          <w:rFonts w:ascii="Calibri" w:hAnsi="Calibri" w:cs="Calibri" w:eastAsia="Calibri"/>
          <w:color w:val="auto"/>
          <w:spacing w:val="0"/>
          <w:position w:val="0"/>
          <w:sz w:val="20"/>
          <w:shd w:fill="auto" w:val="clear"/>
        </w:rPr>
        <w:t xml:space="preserve">čini prikupljanje i distribucija financijskih sredstava za zaštitu okoliša na teritoriji Federacije BiH, koja se mogu koristiti za: podršku u ostvarivanju zadataka koji proizlaze iz obaveza i odgovornosti prema međunarodnoj zajednici iz oblasti zaštite okoliša; suzbijanje štete po okoliš u slučaju kada se ne može primijeniti princip odgovornosti za izvršavanje štete određenom licu (zagađivač plaća); troškove sprečavanja ili otklanjanja štete po okoliš koja zahtijeva neposrednu intervenciju; potporu mjerama u cilju zaštite okoliša, naročito u oblasti razvoja i financiranja informativnog sistema, obrazovanja i širenja informacija; unapređivanje razvoja ekonomske strukture koja je povoljna po okoliš; očuvanje zaštićenih prirodnih područja; unapređivanje ekološke svijesti javnosti i istraživanje okoliša; te očuvanje, održivo korištenje, zaštitaui unapređivanje stanja okoliša. </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Op</w:t>
      </w:r>
      <w:r>
        <w:rPr>
          <w:rFonts w:ascii="Calibri" w:hAnsi="Calibri" w:cs="Calibri" w:eastAsia="Calibri"/>
          <w:color w:val="auto"/>
          <w:spacing w:val="0"/>
          <w:position w:val="0"/>
          <w:sz w:val="20"/>
          <w:shd w:fill="auto" w:val="clear"/>
        </w:rPr>
        <w:t xml:space="preserve">ćina Doboj Istok, kao jedinica lokalne samouprave, ima mogućnost apliciranja za sredstva Fonda za potrebe provođenja  mjera iz ovog Akcionog plana. Fond vrši raspodjelu sredstava putem javnog konkursa za sufinanciranje programa i projekata iz oblasti zaštite okoliša, energetske efikasnosti i obnovljivih izvora energije.</w:t>
      </w:r>
    </w:p>
    <w:p>
      <w:pPr>
        <w:numPr>
          <w:ilvl w:val="0"/>
          <w:numId w:val="4209"/>
        </w:numPr>
        <w:spacing w:before="120" w:after="0" w:line="240"/>
        <w:ind w:right="0" w:left="714" w:hanging="357"/>
        <w:jc w:val="both"/>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Investiciono razvojne institucije</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Razvojna banka Federacije BiH je financijska institucija koja pruža mogu</w:t>
      </w:r>
      <w:r>
        <w:rPr>
          <w:rFonts w:ascii="Calibri" w:hAnsi="Calibri" w:cs="Calibri" w:eastAsia="Calibri"/>
          <w:color w:val="auto"/>
          <w:spacing w:val="0"/>
          <w:position w:val="0"/>
          <w:sz w:val="20"/>
          <w:shd w:fill="auto" w:val="clear"/>
        </w:rPr>
        <w:t xml:space="preserve">ćnost zatvaranja financijske konstrukcije za realizaciju mjera Akcionog plana održivog upravljanja energijom i prilagođavanja klimatskim promjenama. U svom kreditnom portfelju Razvojna banka Federacije BiH ima specijalnu kreditnu liniju namijenjenu jedinicama lokalne samouprave. Ova kreditna linija omogućava povlačenje financijskih sredstava za jedinice lokalne samouprave u Federaciji BiH uz povoljne uslove kreditiranja (rok otplate do 12 godina uz 12 mjeseci grejs perioda, minimalna  kamatna stopa od 2,5% na godišnjem nivou i naknade za obrade kredita u visini do 0,30% vrijednosti kredita).</w:t>
      </w:r>
    </w:p>
    <w:p>
      <w:pPr>
        <w:numPr>
          <w:ilvl w:val="0"/>
          <w:numId w:val="4211"/>
        </w:numPr>
        <w:spacing w:before="120" w:after="0" w:line="240"/>
        <w:ind w:right="0" w:left="714" w:hanging="357"/>
        <w:jc w:val="both"/>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Komercijalne finansijske institucije</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Na podru</w:t>
      </w:r>
      <w:r>
        <w:rPr>
          <w:rFonts w:ascii="Calibri" w:hAnsi="Calibri" w:cs="Calibri" w:eastAsia="Calibri"/>
          <w:color w:val="auto"/>
          <w:spacing w:val="0"/>
          <w:position w:val="0"/>
          <w:sz w:val="20"/>
          <w:shd w:fill="auto" w:val="clear"/>
        </w:rPr>
        <w:t xml:space="preserve">čju općine Doboj Istok posluje više komercijalnih financijskih institucija, primarno banaka, koje plasiraju sredstva po tržišnim uslovima. Pojedine banke imaju razvijene programe financiranja projekata koji se tiču energetske efikasnosti i korištenja obnovljivih izvora energije. Jedinice lokalne samouprave imaju mogućnost zaduživanja ili izdavanja garancija za pravovremeno plaćanje dospjelih obaveza javnih preduzeća. Zaduživanje kod komercijalnih financijskih institucija je alat koji može osigurati djelimično ili ukupno finansiranje mjera predloženih ovim dokumentom. Banke koje imaju posebne linije za financiranje projekata energetske efikasnosti, a svoje redovne poslovne aktivnosti obavljaju na području općine Doboj Istok su Raiffeisen banka i Unicredit banka. </w:t>
      </w:r>
    </w:p>
    <w:p>
      <w:pPr>
        <w:numPr>
          <w:ilvl w:val="0"/>
          <w:numId w:val="4213"/>
        </w:numPr>
        <w:spacing w:before="120" w:after="0" w:line="240"/>
        <w:ind w:right="0" w:left="714" w:hanging="357"/>
        <w:jc w:val="both"/>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Privatni investitori</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Uz korištenje javnog sektora za prikupljanje potrebnih sredstava za provo</w:t>
      </w:r>
      <w:r>
        <w:rPr>
          <w:rFonts w:ascii="Calibri" w:hAnsi="Calibri" w:cs="Calibri" w:eastAsia="Calibri"/>
          <w:color w:val="auto"/>
          <w:spacing w:val="0"/>
          <w:position w:val="0"/>
          <w:sz w:val="20"/>
          <w:shd w:fill="auto" w:val="clear"/>
        </w:rPr>
        <w:t xml:space="preserve">đenje mjera smanjenja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potencijalni izvor financijskih sredstava je i privatni sektor. Naime, privatni kapital investitora je značajan izvor financijskih sredstava koja se mogu iskoristiti u ovu svrhu. Njačešće korišteni modeli angažmana privatnog kapitala u javne svrhe su:</w:t>
      </w:r>
    </w:p>
    <w:p>
      <w:pPr>
        <w:numPr>
          <w:ilvl w:val="0"/>
          <w:numId w:val="4215"/>
        </w:numPr>
        <w:spacing w:before="60" w:after="0" w:line="240"/>
        <w:ind w:right="0" w:left="360" w:hanging="360"/>
        <w:jc w:val="both"/>
        <w:rPr>
          <w:rFonts w:ascii="Calibri" w:hAnsi="Calibri" w:cs="Calibri" w:eastAsia="Calibri"/>
          <w:color w:val="auto"/>
          <w:spacing w:val="0"/>
          <w:position w:val="0"/>
          <w:sz w:val="20"/>
          <w:shd w:fill="auto" w:val="clear"/>
        </w:rPr>
      </w:pPr>
      <w:r>
        <w:rPr>
          <w:rFonts w:ascii="Calibri" w:hAnsi="Calibri" w:cs="Calibri" w:eastAsia="Calibri"/>
          <w:b/>
          <w:color w:val="auto"/>
          <w:spacing w:val="0"/>
          <w:position w:val="0"/>
          <w:sz w:val="20"/>
          <w:shd w:fill="auto" w:val="clear"/>
        </w:rPr>
        <w:t xml:space="preserve">Javno privatno partnerstvo (JPP) - </w:t>
      </w:r>
      <w:r>
        <w:rPr>
          <w:rFonts w:ascii="Calibri" w:hAnsi="Calibri" w:cs="Calibri" w:eastAsia="Calibri"/>
          <w:color w:val="auto"/>
          <w:spacing w:val="0"/>
          <w:position w:val="0"/>
          <w:sz w:val="20"/>
          <w:shd w:fill="auto" w:val="clear"/>
        </w:rPr>
        <w:t xml:space="preserve">predstavlja model udruživanja resursa javog i privatnog sektora za potrebe proizvodnje javnih proizvoda ili pružanja javih usluga. Jedinice lokalne samouprave imaju mogu</w:t>
      </w:r>
      <w:r>
        <w:rPr>
          <w:rFonts w:ascii="Calibri" w:hAnsi="Calibri" w:cs="Calibri" w:eastAsia="Calibri"/>
          <w:color w:val="auto"/>
          <w:spacing w:val="0"/>
          <w:position w:val="0"/>
          <w:sz w:val="20"/>
          <w:shd w:fill="auto" w:val="clear"/>
        </w:rPr>
        <w:t xml:space="preserve">ćnost korištenja ovakvog modela organizacije određenog posla u slučajevima kada za to nemaju potrebne resurse ili kada nisu u mogućnosti da samostalno obavljaju javne poslove. Primarni razlozi zbog kojih se javni sektor odlučuje na JPP uključuje: nedostatak kapaciteta i resursa, nedostatak stručnih kadrova, visoki troškovi, visok poslovni rizik, itd. Sa druge strane JPP podrazumijeva i učešće privatnog sektora sa svojim kapacitetima, znanjima, vještinama i kapitalom. U navedenom odnosu javni sektor definira potrebu i obim javnog proizvoda ili usluge, osigurava ravnopravnost i sprečavanje zloupotrebe, dok privatni sektor nastoji osigurati profitabilnost uz zadovoljenje svih traženih uslova. JPP kao model predstavlja dugoročnu ugovornu saradnju između javnog i privatnog partnera pri čemu se preraspodjela poslovnog rizika  u većem dijelu prenosi na privatnog partnera. Projekti na kojima se JPP najčešće koristi kao model suradnje uključuju energetski sektor, zdravstvo, i obrazovanje. </w:t>
      </w:r>
    </w:p>
    <w:p>
      <w:pPr>
        <w:numPr>
          <w:ilvl w:val="0"/>
          <w:numId w:val="4215"/>
        </w:numPr>
        <w:spacing w:before="60" w:after="0" w:line="240"/>
        <w:ind w:right="0" w:left="360" w:hanging="360"/>
        <w:jc w:val="both"/>
        <w:rPr>
          <w:rFonts w:ascii="Calibri" w:hAnsi="Calibri" w:cs="Calibri" w:eastAsia="Calibri"/>
          <w:b/>
          <w:color w:val="auto"/>
          <w:spacing w:val="0"/>
          <w:position w:val="0"/>
          <w:sz w:val="20"/>
          <w:shd w:fill="auto" w:val="clear"/>
        </w:rPr>
      </w:pPr>
      <w:r>
        <w:rPr>
          <w:rFonts w:ascii="Calibri" w:hAnsi="Calibri" w:cs="Calibri" w:eastAsia="Calibri"/>
          <w:b/>
          <w:color w:val="auto"/>
          <w:spacing w:val="0"/>
          <w:position w:val="0"/>
          <w:sz w:val="20"/>
          <w:shd w:fill="auto" w:val="clear"/>
        </w:rPr>
        <w:t xml:space="preserve">ESCO model (eng. </w:t>
      </w:r>
      <w:r>
        <w:rPr>
          <w:rFonts w:ascii="Calibri" w:hAnsi="Calibri" w:cs="Calibri" w:eastAsia="Calibri"/>
          <w:b/>
          <w:i/>
          <w:color w:val="auto"/>
          <w:spacing w:val="0"/>
          <w:position w:val="0"/>
          <w:sz w:val="20"/>
          <w:shd w:fill="auto" w:val="clear"/>
        </w:rPr>
        <w:t xml:space="preserve">Energy Service Companies</w:t>
      </w:r>
      <w:r>
        <w:rPr>
          <w:rFonts w:ascii="Calibri" w:hAnsi="Calibri" w:cs="Calibri" w:eastAsia="Calibri"/>
          <w:b/>
          <w:color w:val="auto"/>
          <w:spacing w:val="0"/>
          <w:position w:val="0"/>
          <w:sz w:val="20"/>
          <w:shd w:fill="auto" w:val="clear"/>
        </w:rPr>
        <w:t xml:space="preserve">) </w:t>
      </w:r>
      <w:r>
        <w:rPr>
          <w:rFonts w:ascii="Calibri" w:hAnsi="Calibri" w:cs="Calibri" w:eastAsia="Calibri"/>
          <w:color w:val="auto"/>
          <w:spacing w:val="0"/>
          <w:position w:val="0"/>
          <w:sz w:val="20"/>
          <w:shd w:fill="auto" w:val="clear"/>
        </w:rPr>
        <w:t xml:space="preserve">- je JPP model koji se koristi u oblasti pružanja energetskih usluga. ESCO model poslovanja obuhvata razvoj, izgradnju i financiranje projekata koji imaju za cilj pove</w:t>
      </w:r>
      <w:r>
        <w:rPr>
          <w:rFonts w:ascii="Calibri" w:hAnsi="Calibri" w:cs="Calibri" w:eastAsia="Calibri"/>
          <w:color w:val="auto"/>
          <w:spacing w:val="0"/>
          <w:position w:val="0"/>
          <w:sz w:val="20"/>
          <w:shd w:fill="auto" w:val="clear"/>
        </w:rPr>
        <w:t xml:space="preserve">ćanje energetske efikasnosti uz istovremeno smanjenje troškova eksploatacije i održavanja. Ovaj model se temelji na smanjenju troškova energije kroz izgradnju infrastrukture koja će omogućiti optimizaciju sistema i efikasnije korištenje energije. ESCO kompanija ulaže svoja sredstva u realizaciju mjera za povećanje energetske efikasnosti, a povrat investicije ostvaruje kroz uštede koje će nastati. U toku provođenja projekta, odnosno tokom otplate investicije, korisnici usluga plaćaju isti iznos za troškove energije kao što su plaćali i prije implementacije projekta. Nakon otplate investicije, ESCO kompanija izlazi iz projekta i financijska razlika koja nastaje usljed ušteda se prenosi na krajnje korisnike, što dugoročno predstavlja izuzetnu korist za korisnike. ESCO model je moguće primijeniti na javnim preduzećima, ustanovama i jedinicama lokalne samouprave, a najčešće za projekte iz energetskog sektora. </w:t>
      </w:r>
    </w:p>
    <w:p>
      <w:pPr>
        <w:keepNext w:val="true"/>
        <w:keepLines w:val="true"/>
        <w:numPr>
          <w:ilvl w:val="0"/>
          <w:numId w:val="4215"/>
        </w:numPr>
        <w:spacing w:before="240" w:after="0" w:line="240"/>
        <w:ind w:right="0" w:left="578" w:hanging="578"/>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Me</w:t>
      </w:r>
      <w:r>
        <w:rPr>
          <w:rFonts w:ascii="Calibri" w:hAnsi="Calibri" w:cs="Calibri" w:eastAsia="Calibri"/>
          <w:b/>
          <w:color w:val="auto"/>
          <w:spacing w:val="0"/>
          <w:position w:val="0"/>
          <w:sz w:val="28"/>
          <w:shd w:fill="auto" w:val="clear"/>
        </w:rPr>
        <w:t xml:space="preserve">đunarodni izvori finansiranja</w:t>
      </w:r>
    </w:p>
    <w:p>
      <w:pPr>
        <w:tabs>
          <w:tab w:val="left" w:pos="5670" w:leader="none"/>
        </w:tabs>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Pored navedenih doma</w:t>
      </w:r>
      <w:r>
        <w:rPr>
          <w:rFonts w:ascii="Calibri" w:hAnsi="Calibri" w:cs="Calibri" w:eastAsia="Calibri"/>
          <w:color w:val="auto"/>
          <w:spacing w:val="0"/>
          <w:position w:val="0"/>
          <w:sz w:val="20"/>
          <w:shd w:fill="auto" w:val="clear"/>
        </w:rPr>
        <w:t xml:space="preserve">ćih izvora financiranja, za potrebe realizacije mjera </w:t>
      </w:r>
      <w:r>
        <w:rPr>
          <w:rFonts w:ascii="Calibri" w:hAnsi="Calibri" w:cs="Calibri" w:eastAsia="Calibri"/>
          <w:i/>
          <w:color w:val="auto"/>
          <w:spacing w:val="0"/>
          <w:position w:val="0"/>
          <w:sz w:val="20"/>
          <w:shd w:fill="auto" w:val="clear"/>
        </w:rPr>
        <w:t xml:space="preserve">Akcionog plana održivog upravljanja energijom i prilagođavanja klimatskim promjenama</w:t>
      </w:r>
      <w:r>
        <w:rPr>
          <w:rFonts w:ascii="Calibri" w:hAnsi="Calibri" w:cs="Calibri" w:eastAsia="Calibri"/>
          <w:color w:val="auto"/>
          <w:spacing w:val="0"/>
          <w:position w:val="0"/>
          <w:sz w:val="20"/>
          <w:shd w:fill="auto" w:val="clear"/>
        </w:rPr>
        <w:t xml:space="preserve"> moguće je koristiti i sredstva međunarodne pomoći. Naime, međunarodne organizacije, međunarodne financijske institucije i agencije koje su prisutne na području Bosne i Hercegovine, provode aktivnosti koje su usmjerene na zaštitu okoliša i poboljšanje životnih uslova građana.</w:t>
      </w:r>
    </w:p>
    <w:p>
      <w:pPr>
        <w:tabs>
          <w:tab w:val="left" w:pos="5670" w:leader="none"/>
        </w:tabs>
        <w:spacing w:before="60" w:after="0" w:line="240"/>
        <w:ind w:right="0" w:left="0" w:firstLine="0"/>
        <w:jc w:val="both"/>
        <w:rPr>
          <w:rFonts w:ascii="Calibri" w:hAnsi="Calibri" w:cs="Calibri" w:eastAsia="Calibri"/>
          <w:color w:val="auto"/>
          <w:spacing w:val="0"/>
          <w:position w:val="0"/>
          <w:sz w:val="20"/>
          <w:shd w:fill="auto" w:val="clear"/>
        </w:rPr>
      </w:pPr>
    </w:p>
    <w:p>
      <w:pPr>
        <w:numPr>
          <w:ilvl w:val="0"/>
          <w:numId w:val="4218"/>
        </w:numPr>
        <w:tabs>
          <w:tab w:val="left" w:pos="5670" w:leader="none"/>
        </w:tabs>
        <w:spacing w:before="120" w:after="0" w:line="240"/>
        <w:ind w:right="0" w:left="720" w:hanging="360"/>
        <w:jc w:val="both"/>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Me</w:t>
      </w:r>
      <w:r>
        <w:rPr>
          <w:rFonts w:ascii="Calibri" w:hAnsi="Calibri" w:cs="Calibri" w:eastAsia="Calibri"/>
          <w:b/>
          <w:color w:val="auto"/>
          <w:spacing w:val="0"/>
          <w:position w:val="0"/>
          <w:sz w:val="22"/>
          <w:shd w:fill="auto" w:val="clear"/>
        </w:rPr>
        <w:t xml:space="preserve">đunarodne organizacije i sredstva bilateralne saradnje (UNDP, GIZ, EU, USAID)</w:t>
      </w:r>
    </w:p>
    <w:p>
      <w:pPr>
        <w:tabs>
          <w:tab w:val="left" w:pos="5670" w:leader="none"/>
        </w:tabs>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Na podru</w:t>
      </w:r>
      <w:r>
        <w:rPr>
          <w:rFonts w:ascii="Calibri" w:hAnsi="Calibri" w:cs="Calibri" w:eastAsia="Calibri"/>
          <w:color w:val="auto"/>
          <w:spacing w:val="0"/>
          <w:position w:val="0"/>
          <w:sz w:val="20"/>
          <w:shd w:fill="auto" w:val="clear"/>
        </w:rPr>
        <w:t xml:space="preserve">čju Bosne i Hercegovine su prisutne brojne međunarodne organizacije koje realiziraju programe kroz koje nude tehničku pomoć ali i financijska sredstva. Korištenjem ovih sredstava moguće je obezbijediti i potrebno financiranje mjera ovog Akcionog plana. Programi koji nude financranje navedenih projekata su vremenski ograničeni, ali isti imaju tendenciju da se ponavljaju u istom ili sličnom obliku. Najznačajniji međunarodni donatori u oblasti energetske efikasnosti, korištenja obnovljivih izvora energije i smanjenja emisija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u Bosni i Hercegovini su:</w:t>
      </w:r>
    </w:p>
    <w:p>
      <w:pPr>
        <w:tabs>
          <w:tab w:val="left" w:pos="5670" w:leader="none"/>
        </w:tabs>
        <w:spacing w:before="60" w:after="0" w:line="240"/>
        <w:ind w:right="0" w:left="720" w:firstLine="0"/>
        <w:jc w:val="both"/>
        <w:rPr>
          <w:rFonts w:ascii="Calibri" w:hAnsi="Calibri" w:cs="Calibri" w:eastAsia="Calibri"/>
          <w:color w:val="auto"/>
          <w:spacing w:val="0"/>
          <w:position w:val="0"/>
          <w:sz w:val="20"/>
          <w:shd w:fill="auto" w:val="clear"/>
        </w:rPr>
      </w:pPr>
      <w:r>
        <w:rPr>
          <w:rFonts w:ascii="Calibri" w:hAnsi="Calibri" w:cs="Calibri" w:eastAsia="Calibri"/>
          <w:b/>
          <w:color w:val="auto"/>
          <w:spacing w:val="0"/>
          <w:position w:val="0"/>
          <w:sz w:val="20"/>
          <w:shd w:fill="auto" w:val="clear"/>
        </w:rPr>
        <w:t xml:space="preserve">Evropska Unija </w:t>
      </w:r>
      <w:r>
        <w:rPr>
          <w:rFonts w:ascii="Calibri" w:hAnsi="Calibri" w:cs="Calibri" w:eastAsia="Calibri"/>
          <w:color w:val="auto"/>
          <w:spacing w:val="0"/>
          <w:position w:val="0"/>
          <w:sz w:val="20"/>
          <w:shd w:fill="auto" w:val="clear"/>
        </w:rPr>
        <w:t xml:space="preserve">- sa instrumentom pretpristupne pomo</w:t>
      </w:r>
      <w:r>
        <w:rPr>
          <w:rFonts w:ascii="Calibri" w:hAnsi="Calibri" w:cs="Calibri" w:eastAsia="Calibri"/>
          <w:color w:val="auto"/>
          <w:spacing w:val="0"/>
          <w:position w:val="0"/>
          <w:sz w:val="20"/>
          <w:shd w:fill="auto" w:val="clear"/>
        </w:rPr>
        <w:t xml:space="preserve">ći </w:t>
      </w:r>
      <w:r>
        <w:rPr>
          <w:rFonts w:ascii="Calibri" w:hAnsi="Calibri" w:cs="Calibri" w:eastAsia="Calibri"/>
          <w:b/>
          <w:color w:val="auto"/>
          <w:spacing w:val="0"/>
          <w:position w:val="0"/>
          <w:sz w:val="20"/>
          <w:shd w:fill="auto" w:val="clear"/>
        </w:rPr>
        <w:t xml:space="preserve">(IPA II),</w:t>
      </w:r>
      <w:r>
        <w:rPr>
          <w:rFonts w:ascii="Calibri" w:hAnsi="Calibri" w:cs="Calibri" w:eastAsia="Calibri"/>
          <w:color w:val="auto"/>
          <w:spacing w:val="0"/>
          <w:position w:val="0"/>
          <w:sz w:val="20"/>
          <w:shd w:fill="auto" w:val="clear"/>
        </w:rPr>
        <w:t xml:space="preserve"> zemlje koje su kandidati ili potencijalni kandidati za članstvo u EU mogu ostvariti financiranje. IPA II je instrument koji priprema navedene zemlje za način korištenja sredstava, jednom kad budu u sastavu EU. Navedena predpristupna pomoć u Bosni i Hercegovini se primjenjuje u sferama demokracije i upravljanja, vladavine zakona i prava, konkurentnosti i inovacija, obrazovanja, zapošljavanja i društvenih promjena, transporta, okoliša, klimatskih promjena i energije, razvoja poljoprivrede i ruralnog razvoja. Najznačajnije agencije putem koji Evropska unija plasira svoju pomoć su:</w:t>
      </w:r>
    </w:p>
    <w:p>
      <w:pPr>
        <w:numPr>
          <w:ilvl w:val="0"/>
          <w:numId w:val="4221"/>
        </w:numPr>
        <w:tabs>
          <w:tab w:val="left" w:pos="5670" w:leader="none"/>
        </w:tabs>
        <w:spacing w:before="60" w:after="0" w:line="240"/>
        <w:ind w:right="0" w:left="1480" w:hanging="357"/>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Direkcija za evropske integracije;</w:t>
      </w:r>
    </w:p>
    <w:p>
      <w:pPr>
        <w:numPr>
          <w:ilvl w:val="0"/>
          <w:numId w:val="4221"/>
        </w:numPr>
        <w:tabs>
          <w:tab w:val="left" w:pos="5670" w:leader="none"/>
        </w:tabs>
        <w:spacing w:before="0" w:after="0" w:line="240"/>
        <w:ind w:right="0" w:left="1480" w:hanging="357"/>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Odsjek za bilateralnu pomo</w:t>
      </w:r>
      <w:r>
        <w:rPr>
          <w:rFonts w:ascii="Calibri" w:hAnsi="Calibri" w:cs="Calibri" w:eastAsia="Calibri"/>
          <w:color w:val="auto"/>
          <w:spacing w:val="0"/>
          <w:position w:val="0"/>
          <w:sz w:val="20"/>
          <w:shd w:fill="auto" w:val="clear"/>
        </w:rPr>
        <w:t xml:space="preserve">ć zemljama Evropske Unije u BiH;</w:t>
      </w:r>
    </w:p>
    <w:p>
      <w:pPr>
        <w:numPr>
          <w:ilvl w:val="0"/>
          <w:numId w:val="4221"/>
        </w:numPr>
        <w:tabs>
          <w:tab w:val="left" w:pos="5670" w:leader="none"/>
        </w:tabs>
        <w:spacing w:before="0" w:after="0" w:line="240"/>
        <w:ind w:right="0" w:left="1480" w:hanging="357"/>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Odsjek za pružanje podrške za u</w:t>
      </w:r>
      <w:r>
        <w:rPr>
          <w:rFonts w:ascii="Calibri" w:hAnsi="Calibri" w:cs="Calibri" w:eastAsia="Calibri"/>
          <w:color w:val="auto"/>
          <w:spacing w:val="0"/>
          <w:position w:val="0"/>
          <w:sz w:val="20"/>
          <w:shd w:fill="auto" w:val="clear"/>
        </w:rPr>
        <w:t xml:space="preserve">češće BiH u Programima Zajednice. </w:t>
      </w:r>
    </w:p>
    <w:p>
      <w:pPr>
        <w:tabs>
          <w:tab w:val="left" w:pos="5670" w:leader="none"/>
        </w:tabs>
        <w:spacing w:before="60" w:after="0" w:line="240"/>
        <w:ind w:right="0" w:left="720" w:firstLine="0"/>
        <w:jc w:val="both"/>
        <w:rPr>
          <w:rFonts w:ascii="Calibri" w:hAnsi="Calibri" w:cs="Calibri" w:eastAsia="Calibri"/>
          <w:color w:val="auto"/>
          <w:spacing w:val="0"/>
          <w:position w:val="0"/>
          <w:sz w:val="20"/>
          <w:shd w:fill="auto" w:val="clear"/>
        </w:rPr>
      </w:pPr>
      <w:r>
        <w:rPr>
          <w:rFonts w:ascii="Calibri" w:hAnsi="Calibri" w:cs="Calibri" w:eastAsia="Calibri"/>
          <w:b/>
          <w:color w:val="auto"/>
          <w:spacing w:val="0"/>
          <w:position w:val="0"/>
          <w:sz w:val="20"/>
          <w:shd w:fill="auto" w:val="clear"/>
        </w:rPr>
        <w:t xml:space="preserve">Horizon 2020</w:t>
      </w:r>
      <w:r>
        <w:rPr>
          <w:rFonts w:ascii="Calibri" w:hAnsi="Calibri" w:cs="Calibri" w:eastAsia="Calibri"/>
          <w:color w:val="auto"/>
          <w:spacing w:val="0"/>
          <w:position w:val="0"/>
          <w:sz w:val="20"/>
          <w:shd w:fill="auto" w:val="clear"/>
        </w:rPr>
        <w:t xml:space="preserve">  je program Evropske unije za istraživanje i inovacije koji objedinjuje aktivnosti Sedmog okvirnog programa (FP7), inovacijske aspekte Programa za konkurentnost i inovacije (CIP) i EU doprinos Evropskom institutu za inovacije i tehnologiju (EIT). Struktura Horizona 2020 temelji se na tri glavna prioriteta: izvrsna znanost (</w:t>
      </w:r>
      <w:r>
        <w:rPr>
          <w:rFonts w:ascii="Calibri" w:hAnsi="Calibri" w:cs="Calibri" w:eastAsia="Calibri"/>
          <w:i/>
          <w:color w:val="auto"/>
          <w:spacing w:val="0"/>
          <w:position w:val="0"/>
          <w:sz w:val="20"/>
          <w:shd w:fill="auto" w:val="clear"/>
        </w:rPr>
        <w:t xml:space="preserve">Excellent Science</w:t>
      </w:r>
      <w:r>
        <w:rPr>
          <w:rFonts w:ascii="Calibri" w:hAnsi="Calibri" w:cs="Calibri" w:eastAsia="Calibri"/>
          <w:color w:val="auto"/>
          <w:spacing w:val="0"/>
          <w:position w:val="0"/>
          <w:sz w:val="20"/>
          <w:shd w:fill="auto" w:val="clear"/>
        </w:rPr>
        <w:t xml:space="preserve">), industrijsko vodstvo (</w:t>
      </w:r>
      <w:r>
        <w:rPr>
          <w:rFonts w:ascii="Calibri" w:hAnsi="Calibri" w:cs="Calibri" w:eastAsia="Calibri"/>
          <w:i/>
          <w:color w:val="auto"/>
          <w:spacing w:val="0"/>
          <w:position w:val="0"/>
          <w:sz w:val="20"/>
          <w:shd w:fill="auto" w:val="clear"/>
        </w:rPr>
        <w:t xml:space="preserve">Industrial Leadership</w:t>
      </w:r>
      <w:r>
        <w:rPr>
          <w:rFonts w:ascii="Calibri" w:hAnsi="Calibri" w:cs="Calibri" w:eastAsia="Calibri"/>
          <w:color w:val="auto"/>
          <w:spacing w:val="0"/>
          <w:position w:val="0"/>
          <w:sz w:val="20"/>
          <w:shd w:fill="auto" w:val="clear"/>
        </w:rPr>
        <w:t xml:space="preserve">) i društveni izazovi (</w:t>
      </w:r>
      <w:r>
        <w:rPr>
          <w:rFonts w:ascii="Calibri" w:hAnsi="Calibri" w:cs="Calibri" w:eastAsia="Calibri"/>
          <w:i/>
          <w:color w:val="auto"/>
          <w:spacing w:val="0"/>
          <w:position w:val="0"/>
          <w:sz w:val="20"/>
          <w:shd w:fill="auto" w:val="clear"/>
        </w:rPr>
        <w:t xml:space="preserve">Societal Challanges</w:t>
      </w:r>
      <w:r>
        <w:rPr>
          <w:rFonts w:ascii="Calibri" w:hAnsi="Calibri" w:cs="Calibri" w:eastAsia="Calibri"/>
          <w:color w:val="auto"/>
          <w:spacing w:val="0"/>
          <w:position w:val="0"/>
          <w:sz w:val="20"/>
          <w:shd w:fill="auto" w:val="clear"/>
        </w:rPr>
        <w:t xml:space="preserve">). U strateškom programiranju društvenih izazova s visokim potencijalom za rast i inovativnost identificirano je dvanaest fokusnih podru</w:t>
      </w:r>
      <w:r>
        <w:rPr>
          <w:rFonts w:ascii="Calibri" w:hAnsi="Calibri" w:cs="Calibri" w:eastAsia="Calibri"/>
          <w:color w:val="auto"/>
          <w:spacing w:val="0"/>
          <w:position w:val="0"/>
          <w:sz w:val="20"/>
          <w:shd w:fill="auto" w:val="clear"/>
        </w:rPr>
        <w:t xml:space="preserve">čja na koja će se koncentrirati sredstva i istraživačke aktivnosti za podršku ključnim ciljevima programa: </w:t>
      </w:r>
    </w:p>
    <w:p>
      <w:pPr>
        <w:numPr>
          <w:ilvl w:val="0"/>
          <w:numId w:val="4224"/>
        </w:numPr>
        <w:tabs>
          <w:tab w:val="left" w:pos="5670" w:leader="none"/>
        </w:tabs>
        <w:spacing w:before="60" w:after="0" w:line="240"/>
        <w:ind w:right="0" w:left="1480" w:hanging="357"/>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personalizirana zdravstvena pomo</w:t>
      </w:r>
      <w:r>
        <w:rPr>
          <w:rFonts w:ascii="Calibri" w:hAnsi="Calibri" w:cs="Calibri" w:eastAsia="Calibri"/>
          <w:color w:val="auto"/>
          <w:spacing w:val="0"/>
          <w:position w:val="0"/>
          <w:sz w:val="20"/>
          <w:shd w:fill="auto" w:val="clear"/>
        </w:rPr>
        <w:t xml:space="preserve">ć;</w:t>
      </w:r>
    </w:p>
    <w:p>
      <w:pPr>
        <w:numPr>
          <w:ilvl w:val="0"/>
          <w:numId w:val="4224"/>
        </w:numPr>
        <w:tabs>
          <w:tab w:val="left" w:pos="5670" w:leader="none"/>
        </w:tabs>
        <w:spacing w:before="0" w:after="0" w:line="240"/>
        <w:ind w:right="0" w:left="1480" w:hanging="357"/>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održiva sigurnost hrane;</w:t>
      </w:r>
    </w:p>
    <w:p>
      <w:pPr>
        <w:numPr>
          <w:ilvl w:val="0"/>
          <w:numId w:val="4224"/>
        </w:numPr>
        <w:tabs>
          <w:tab w:val="left" w:pos="5670" w:leader="none"/>
        </w:tabs>
        <w:spacing w:before="0" w:after="0" w:line="240"/>
        <w:ind w:right="0" w:left="1480" w:hanging="357"/>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plavi rast: realizacija potencijala oceana; </w:t>
      </w:r>
    </w:p>
    <w:p>
      <w:pPr>
        <w:numPr>
          <w:ilvl w:val="0"/>
          <w:numId w:val="4224"/>
        </w:numPr>
        <w:tabs>
          <w:tab w:val="left" w:pos="5670" w:leader="none"/>
        </w:tabs>
        <w:spacing w:before="0" w:after="0" w:line="240"/>
        <w:ind w:right="0" w:left="1480" w:hanging="357"/>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pametni gradovi i zajednice; </w:t>
      </w:r>
    </w:p>
    <w:p>
      <w:pPr>
        <w:numPr>
          <w:ilvl w:val="0"/>
          <w:numId w:val="4224"/>
        </w:numPr>
        <w:tabs>
          <w:tab w:val="left" w:pos="5670" w:leader="none"/>
        </w:tabs>
        <w:spacing w:before="0" w:after="0" w:line="240"/>
        <w:ind w:right="0" w:left="1480" w:hanging="357"/>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konkurentna energija s niskom emisijom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w:t>
      </w:r>
      <w:r>
        <w:rPr>
          <w:rFonts w:ascii="Calibri" w:hAnsi="Calibri" w:cs="Calibri" w:eastAsia="Calibri"/>
          <w:color w:val="auto"/>
          <w:spacing w:val="0"/>
          <w:position w:val="0"/>
          <w:sz w:val="20"/>
          <w:shd w:fill="auto" w:val="clear"/>
          <w:vertAlign w:val="subscript"/>
        </w:rPr>
        <w:t xml:space="preserve"> </w:t>
      </w:r>
    </w:p>
    <w:p>
      <w:pPr>
        <w:numPr>
          <w:ilvl w:val="0"/>
          <w:numId w:val="4224"/>
        </w:numPr>
        <w:tabs>
          <w:tab w:val="left" w:pos="5670" w:leader="none"/>
        </w:tabs>
        <w:spacing w:before="0" w:after="0" w:line="240"/>
        <w:ind w:right="0" w:left="1480" w:hanging="357"/>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energetska efikasnost;</w:t>
      </w:r>
    </w:p>
    <w:p>
      <w:pPr>
        <w:numPr>
          <w:ilvl w:val="0"/>
          <w:numId w:val="4224"/>
        </w:numPr>
        <w:tabs>
          <w:tab w:val="left" w:pos="5670" w:leader="none"/>
        </w:tabs>
        <w:spacing w:before="0" w:after="0" w:line="240"/>
        <w:ind w:right="0" w:left="1480" w:hanging="357"/>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mobilnost za rast; </w:t>
      </w:r>
    </w:p>
    <w:p>
      <w:pPr>
        <w:numPr>
          <w:ilvl w:val="0"/>
          <w:numId w:val="4224"/>
        </w:numPr>
        <w:tabs>
          <w:tab w:val="left" w:pos="5670" w:leader="none"/>
        </w:tabs>
        <w:spacing w:before="0" w:after="0" w:line="240"/>
        <w:ind w:right="0" w:left="1480" w:hanging="357"/>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otpad: izvor za recikliranje i ponovnu upotrebu sirovina; </w:t>
      </w:r>
    </w:p>
    <w:p>
      <w:pPr>
        <w:numPr>
          <w:ilvl w:val="0"/>
          <w:numId w:val="4224"/>
        </w:numPr>
        <w:tabs>
          <w:tab w:val="left" w:pos="5670" w:leader="none"/>
        </w:tabs>
        <w:spacing w:before="0" w:after="0" w:line="240"/>
        <w:ind w:right="0" w:left="1480" w:hanging="357"/>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inovacije vezane za vodne resurse: ja</w:t>
      </w:r>
      <w:r>
        <w:rPr>
          <w:rFonts w:ascii="Calibri" w:hAnsi="Calibri" w:cs="Calibri" w:eastAsia="Calibri"/>
          <w:color w:val="auto"/>
          <w:spacing w:val="0"/>
          <w:position w:val="0"/>
          <w:sz w:val="20"/>
          <w:shd w:fill="auto" w:val="clear"/>
        </w:rPr>
        <w:t xml:space="preserve">čanje vrijednosti vodnih resursa za Evropu; </w:t>
      </w:r>
    </w:p>
    <w:p>
      <w:pPr>
        <w:numPr>
          <w:ilvl w:val="0"/>
          <w:numId w:val="4224"/>
        </w:numPr>
        <w:tabs>
          <w:tab w:val="left" w:pos="5670" w:leader="none"/>
        </w:tabs>
        <w:spacing w:before="0" w:after="0" w:line="240"/>
        <w:ind w:right="0" w:left="1480" w:hanging="357"/>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prevladavanje krize: nove ideje, strategije i upravlja</w:t>
      </w:r>
      <w:r>
        <w:rPr>
          <w:rFonts w:ascii="Calibri" w:hAnsi="Calibri" w:cs="Calibri" w:eastAsia="Calibri"/>
          <w:color w:val="auto"/>
          <w:spacing w:val="0"/>
          <w:position w:val="0"/>
          <w:sz w:val="20"/>
          <w:shd w:fill="auto" w:val="clear"/>
        </w:rPr>
        <w:t xml:space="preserve">čke strukture za Evropu;</w:t>
      </w:r>
    </w:p>
    <w:p>
      <w:pPr>
        <w:numPr>
          <w:ilvl w:val="0"/>
          <w:numId w:val="4224"/>
        </w:numPr>
        <w:tabs>
          <w:tab w:val="left" w:pos="5670" w:leader="none"/>
        </w:tabs>
        <w:spacing w:before="0" w:after="0" w:line="240"/>
        <w:ind w:right="0" w:left="1480" w:hanging="357"/>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otpornost na katastrofe: sigurna društva, uklju</w:t>
      </w:r>
      <w:r>
        <w:rPr>
          <w:rFonts w:ascii="Calibri" w:hAnsi="Calibri" w:cs="Calibri" w:eastAsia="Calibri"/>
          <w:color w:val="auto"/>
          <w:spacing w:val="0"/>
          <w:position w:val="0"/>
          <w:sz w:val="20"/>
          <w:shd w:fill="auto" w:val="clear"/>
        </w:rPr>
        <w:t xml:space="preserve">čujući prilagođavanje klimatskim promjenama;</w:t>
      </w:r>
    </w:p>
    <w:p>
      <w:pPr>
        <w:numPr>
          <w:ilvl w:val="0"/>
          <w:numId w:val="4224"/>
        </w:numPr>
        <w:tabs>
          <w:tab w:val="left" w:pos="5670" w:leader="none"/>
        </w:tabs>
        <w:spacing w:before="0" w:after="0" w:line="240"/>
        <w:ind w:right="0" w:left="1480" w:hanging="357"/>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digitalna sigurnost.</w:t>
      </w:r>
    </w:p>
    <w:p>
      <w:pPr>
        <w:tabs>
          <w:tab w:val="left" w:pos="5670" w:leader="none"/>
        </w:tabs>
        <w:spacing w:before="60" w:after="0" w:line="240"/>
        <w:ind w:right="0" w:left="764" w:firstLine="0"/>
        <w:jc w:val="both"/>
        <w:rPr>
          <w:rFonts w:ascii="Calibri" w:hAnsi="Calibri" w:cs="Calibri" w:eastAsia="Calibri"/>
          <w:b/>
          <w:color w:val="auto"/>
          <w:spacing w:val="0"/>
          <w:position w:val="0"/>
          <w:sz w:val="20"/>
          <w:shd w:fill="auto" w:val="clear"/>
        </w:rPr>
      </w:pPr>
      <w:r>
        <w:rPr>
          <w:rFonts w:ascii="Calibri" w:hAnsi="Calibri" w:cs="Calibri" w:eastAsia="Calibri"/>
          <w:b/>
          <w:color w:val="auto"/>
          <w:spacing w:val="0"/>
          <w:position w:val="0"/>
          <w:sz w:val="20"/>
          <w:shd w:fill="auto" w:val="clear"/>
        </w:rPr>
        <w:t xml:space="preserve">UNDP </w:t>
      </w:r>
      <w:r>
        <w:rPr>
          <w:rFonts w:ascii="Calibri" w:hAnsi="Calibri" w:cs="Calibri" w:eastAsia="Calibri"/>
          <w:color w:val="auto"/>
          <w:spacing w:val="0"/>
          <w:position w:val="0"/>
          <w:sz w:val="20"/>
          <w:shd w:fill="auto" w:val="clear"/>
        </w:rPr>
        <w:t xml:space="preserve">je jedan od najve</w:t>
      </w:r>
      <w:r>
        <w:rPr>
          <w:rFonts w:ascii="Calibri" w:hAnsi="Calibri" w:cs="Calibri" w:eastAsia="Calibri"/>
          <w:color w:val="auto"/>
          <w:spacing w:val="0"/>
          <w:position w:val="0"/>
          <w:sz w:val="20"/>
          <w:shd w:fill="auto" w:val="clear"/>
        </w:rPr>
        <w:t xml:space="preserve">ćih pojedinačnih donatora međunarodne podrške jačanju institucionalnih kapaciteta unutar Bosne i Hercegovione. Jedinice lokalne samouprave mogu ostvariti podršku UNDP-a kroz apliciranje na projekte koje UNDP financira samostalno ili u partnerstvu sa drugim agencijama. Pored financijske pomoći, programi koje finansira UNDP obezbjeđuju i tehničku podršku u implementaciji projektnih aktivnosti.</w:t>
      </w:r>
    </w:p>
    <w:p>
      <w:pPr>
        <w:tabs>
          <w:tab w:val="left" w:pos="5670" w:leader="none"/>
        </w:tabs>
        <w:spacing w:before="60" w:after="0" w:line="240"/>
        <w:ind w:right="0" w:left="764" w:firstLine="0"/>
        <w:jc w:val="both"/>
        <w:rPr>
          <w:rFonts w:ascii="Calibri" w:hAnsi="Calibri" w:cs="Calibri" w:eastAsia="Calibri"/>
          <w:b/>
          <w:color w:val="auto"/>
          <w:spacing w:val="0"/>
          <w:position w:val="0"/>
          <w:sz w:val="20"/>
          <w:shd w:fill="auto" w:val="clear"/>
        </w:rPr>
      </w:pPr>
      <w:r>
        <w:rPr>
          <w:rFonts w:ascii="Calibri" w:hAnsi="Calibri" w:cs="Calibri" w:eastAsia="Calibri"/>
          <w:b/>
          <w:color w:val="auto"/>
          <w:spacing w:val="0"/>
          <w:position w:val="0"/>
          <w:sz w:val="20"/>
          <w:shd w:fill="auto" w:val="clear"/>
        </w:rPr>
        <w:t xml:space="preserve">Njema</w:t>
      </w:r>
      <w:r>
        <w:rPr>
          <w:rFonts w:ascii="Calibri" w:hAnsi="Calibri" w:cs="Calibri" w:eastAsia="Calibri"/>
          <w:b/>
          <w:color w:val="auto"/>
          <w:spacing w:val="0"/>
          <w:position w:val="0"/>
          <w:sz w:val="20"/>
          <w:shd w:fill="auto" w:val="clear"/>
        </w:rPr>
        <w:t xml:space="preserve">čka organizacija za tehničku saradnju (GIZ)</w:t>
      </w:r>
      <w:r>
        <w:rPr>
          <w:rFonts w:ascii="Calibri" w:hAnsi="Calibri" w:cs="Calibri" w:eastAsia="Calibri"/>
          <w:color w:val="auto"/>
          <w:spacing w:val="0"/>
          <w:position w:val="0"/>
          <w:sz w:val="20"/>
          <w:shd w:fill="auto" w:val="clear"/>
        </w:rPr>
        <w:t xml:space="preserve"> je organizacija koja intenzivno radi na institucionalnom jačanju unutar Bosne i Hercegovine i stvaranja preduslova samostalnog prikupljanja sredstava iz evropskih fondova. GIZ je prisutan na području jugoistočne Evrope, zbog čega je kreiran i </w:t>
      </w:r>
      <w:r>
        <w:rPr>
          <w:rFonts w:ascii="Calibri" w:hAnsi="Calibri" w:cs="Calibri" w:eastAsia="Calibri"/>
          <w:i/>
          <w:color w:val="auto"/>
          <w:spacing w:val="0"/>
          <w:position w:val="0"/>
          <w:sz w:val="20"/>
          <w:shd w:fill="auto" w:val="clear"/>
        </w:rPr>
        <w:t xml:space="preserve">Otvoreni regionalni fond za Jugoistočnu Evropu</w:t>
      </w:r>
      <w:r>
        <w:rPr>
          <w:rFonts w:ascii="Calibri" w:hAnsi="Calibri" w:cs="Calibri" w:eastAsia="Calibri"/>
          <w:color w:val="auto"/>
          <w:spacing w:val="0"/>
          <w:position w:val="0"/>
          <w:sz w:val="20"/>
          <w:shd w:fill="auto" w:val="clear"/>
        </w:rPr>
        <w:t xml:space="preserve"> u sklopu kojeg se nalazi i fond za energetsku efikasnost i obnovljive izvore energije. Povlačenje sredstava iz navedenog fonda je moguće kroz međunarodnu saradnju sa drugim državama gdje se ostvaruje pravo i na sufinanciranje i tehničku pomoć.</w:t>
      </w:r>
    </w:p>
    <w:p>
      <w:pPr>
        <w:tabs>
          <w:tab w:val="left" w:pos="5670" w:leader="none"/>
        </w:tabs>
        <w:spacing w:before="60" w:after="0" w:line="240"/>
        <w:ind w:right="0" w:left="764" w:firstLine="0"/>
        <w:jc w:val="both"/>
        <w:rPr>
          <w:rFonts w:ascii="Calibri" w:hAnsi="Calibri" w:cs="Calibri" w:eastAsia="Calibri"/>
          <w:color w:val="auto"/>
          <w:spacing w:val="0"/>
          <w:position w:val="0"/>
          <w:sz w:val="20"/>
          <w:shd w:fill="auto" w:val="clear"/>
        </w:rPr>
      </w:pPr>
      <w:r>
        <w:rPr>
          <w:rFonts w:ascii="Calibri" w:hAnsi="Calibri" w:cs="Calibri" w:eastAsia="Calibri"/>
          <w:b/>
          <w:color w:val="auto"/>
          <w:spacing w:val="0"/>
          <w:position w:val="0"/>
          <w:sz w:val="20"/>
          <w:shd w:fill="auto" w:val="clear"/>
        </w:rPr>
        <w:t xml:space="preserve">USAID </w:t>
      </w:r>
      <w:r>
        <w:rPr>
          <w:rFonts w:ascii="Calibri" w:hAnsi="Calibri" w:cs="Calibri" w:eastAsia="Calibri"/>
          <w:color w:val="auto"/>
          <w:spacing w:val="0"/>
          <w:position w:val="0"/>
          <w:sz w:val="20"/>
          <w:shd w:fill="auto" w:val="clear"/>
        </w:rPr>
        <w:t xml:space="preserve">je</w:t>
      </w:r>
      <w:r>
        <w:rPr>
          <w:rFonts w:ascii="Calibri" w:hAnsi="Calibri" w:cs="Calibri" w:eastAsia="Calibri"/>
          <w:b/>
          <w:color w:val="auto"/>
          <w:spacing w:val="0"/>
          <w:position w:val="0"/>
          <w:sz w:val="20"/>
          <w:shd w:fill="auto" w:val="clear"/>
        </w:rPr>
        <w:t xml:space="preserve"> </w:t>
      </w:r>
      <w:r>
        <w:rPr>
          <w:rFonts w:ascii="Calibri" w:hAnsi="Calibri" w:cs="Calibri" w:eastAsia="Calibri"/>
          <w:color w:val="auto"/>
          <w:spacing w:val="0"/>
          <w:position w:val="0"/>
          <w:sz w:val="20"/>
          <w:shd w:fill="auto" w:val="clear"/>
        </w:rPr>
        <w:t xml:space="preserve">organizacija koja pruža pomo</w:t>
      </w:r>
      <w:r>
        <w:rPr>
          <w:rFonts w:ascii="Calibri" w:hAnsi="Calibri" w:cs="Calibri" w:eastAsia="Calibri"/>
          <w:color w:val="auto"/>
          <w:spacing w:val="0"/>
          <w:position w:val="0"/>
          <w:sz w:val="20"/>
          <w:shd w:fill="auto" w:val="clear"/>
        </w:rPr>
        <w:t xml:space="preserve">ć u oblastima relevantnim za energetski održivi razvoj i klimatske promjene, a koje se primarno tiču donošenja mjera, privlačenja investicija i integrisanja energetskog tržišta Bosne i Hercegovine sa regionalnim i EU tržištem.</w:t>
      </w:r>
    </w:p>
    <w:p>
      <w:pPr>
        <w:tabs>
          <w:tab w:val="left" w:pos="5670" w:leader="none"/>
        </w:tabs>
        <w:spacing w:before="60" w:after="0" w:line="240"/>
        <w:ind w:right="0" w:left="764" w:firstLine="0"/>
        <w:jc w:val="both"/>
        <w:rPr>
          <w:rFonts w:ascii="Calibri" w:hAnsi="Calibri" w:cs="Calibri" w:eastAsia="Calibri"/>
          <w:b/>
          <w:color w:val="auto"/>
          <w:spacing w:val="0"/>
          <w:position w:val="0"/>
          <w:sz w:val="20"/>
          <w:shd w:fill="auto" w:val="clear"/>
        </w:rPr>
      </w:pPr>
    </w:p>
    <w:p>
      <w:pPr>
        <w:numPr>
          <w:ilvl w:val="0"/>
          <w:numId w:val="4227"/>
        </w:numPr>
        <w:tabs>
          <w:tab w:val="left" w:pos="5670" w:leader="none"/>
        </w:tabs>
        <w:spacing w:before="120" w:after="0" w:line="240"/>
        <w:ind w:right="0" w:left="714" w:hanging="357"/>
        <w:jc w:val="both"/>
        <w:rPr>
          <w:rFonts w:ascii="Calibri" w:hAnsi="Calibri" w:cs="Calibri" w:eastAsia="Calibri"/>
          <w:b/>
          <w:color w:val="auto"/>
          <w:spacing w:val="0"/>
          <w:position w:val="0"/>
          <w:sz w:val="20"/>
          <w:shd w:fill="auto" w:val="clear"/>
        </w:rPr>
      </w:pPr>
      <w:r>
        <w:rPr>
          <w:rFonts w:ascii="Calibri" w:hAnsi="Calibri" w:cs="Calibri" w:eastAsia="Calibri"/>
          <w:b/>
          <w:color w:val="auto"/>
          <w:spacing w:val="0"/>
          <w:position w:val="0"/>
          <w:sz w:val="20"/>
          <w:shd w:fill="auto" w:val="clear"/>
        </w:rPr>
        <w:t xml:space="preserve">Me</w:t>
      </w:r>
      <w:r>
        <w:rPr>
          <w:rFonts w:ascii="Calibri" w:hAnsi="Calibri" w:cs="Calibri" w:eastAsia="Calibri"/>
          <w:b/>
          <w:color w:val="auto"/>
          <w:spacing w:val="0"/>
          <w:position w:val="0"/>
          <w:sz w:val="20"/>
          <w:shd w:fill="auto" w:val="clear"/>
        </w:rPr>
        <w:t xml:space="preserve">đunarodne financijske institucije (EIB, EBRD, EEEF)</w:t>
      </w:r>
    </w:p>
    <w:p>
      <w:pPr>
        <w:tabs>
          <w:tab w:val="left" w:pos="5670" w:leader="none"/>
        </w:tabs>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Na financijskom tržištu Bosne i Hercegovine prisutne su mnogobrojne me</w:t>
      </w:r>
      <w:r>
        <w:rPr>
          <w:rFonts w:ascii="Calibri" w:hAnsi="Calibri" w:cs="Calibri" w:eastAsia="Calibri"/>
          <w:color w:val="auto"/>
          <w:spacing w:val="0"/>
          <w:position w:val="0"/>
          <w:sz w:val="20"/>
          <w:shd w:fill="auto" w:val="clear"/>
        </w:rPr>
        <w:t xml:space="preserve">đunarodne finansijske institucije, koje putem povoljnih kreditnih aranžmana nastoje promovirati značaj zaštite okoliša i smanjenja emisija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Finansijske institucije posredstvom komercijalnih banaka, koje imaju svoje filijale diljem Federacije BiH, plasiraju kreditna sredstva namijenjena financiranju projekata energetske efikasnosti i korištenja energije iz obnovljivih izvora. U velikom broju slučajeva, navedene kreditne linije nude i podsticaj za investiranje, koji se ogleda u bespovratnim sredstvima (grant komponenta), tehničkoj pomoći, povoljnim uslovima financiranja, grejs periodu i sl. Vodeće financijske institucije koje u našoj zemlji plasiraju sredstva potrebna za smanjenje emisija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su Evropska investiciona banka (EIB), Njemačka razvojna banka (KfW), Evropska banka za obnovu i razvoj (EBRD) i druge.</w:t>
      </w:r>
    </w:p>
    <w:p>
      <w:pPr>
        <w:keepNext w:val="true"/>
        <w:keepLines w:val="true"/>
        <w:numPr>
          <w:ilvl w:val="0"/>
          <w:numId w:val="4229"/>
        </w:numPr>
        <w:spacing w:before="360" w:after="0" w:line="240"/>
        <w:ind w:right="0" w:left="431" w:hanging="431"/>
        <w:jc w:val="both"/>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ZAKONODAVNI OKVIR</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Jedan o važnih preduslova uspješnog provo</w:t>
      </w:r>
      <w:r>
        <w:rPr>
          <w:rFonts w:ascii="Calibri" w:hAnsi="Calibri" w:cs="Calibri" w:eastAsia="Calibri"/>
          <w:color w:val="auto"/>
          <w:spacing w:val="0"/>
          <w:position w:val="0"/>
          <w:sz w:val="20"/>
          <w:shd w:fill="auto" w:val="clear"/>
        </w:rPr>
        <w:t xml:space="preserve">đenja Akcionog plana održivog upravljanja energijom i prilagođavanja klimatskim promjenama Općine Doboj Istok je njegova potpuna usuglašenost s relevantnom domaćom i međunarodnom legislativom, ali i sa svim službenim dokumentima prihvaćenim od strane Općinskog vijeća Doboj Istok. </w:t>
      </w:r>
    </w:p>
    <w:p>
      <w:pPr>
        <w:numPr>
          <w:ilvl w:val="0"/>
          <w:numId w:val="4231"/>
        </w:numPr>
        <w:spacing w:before="120" w:after="0" w:line="240"/>
        <w:ind w:right="0" w:left="1080" w:hanging="360"/>
        <w:jc w:val="both"/>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Me</w:t>
      </w:r>
      <w:r>
        <w:rPr>
          <w:rFonts w:ascii="Calibri" w:hAnsi="Calibri" w:cs="Calibri" w:eastAsia="Calibri"/>
          <w:b/>
          <w:color w:val="auto"/>
          <w:spacing w:val="0"/>
          <w:position w:val="0"/>
          <w:sz w:val="22"/>
          <w:shd w:fill="auto" w:val="clear"/>
        </w:rPr>
        <w:t xml:space="preserve">đunarodni kontekst i politika Evropske unije</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Rješavanje problema klimatskih promjena prioritet je Evropske unije, koja je ve</w:t>
      </w:r>
      <w:r>
        <w:rPr>
          <w:rFonts w:ascii="Calibri" w:hAnsi="Calibri" w:cs="Calibri" w:eastAsia="Calibri"/>
          <w:color w:val="auto"/>
          <w:spacing w:val="0"/>
          <w:position w:val="0"/>
          <w:sz w:val="20"/>
          <w:shd w:fill="auto" w:val="clear"/>
        </w:rPr>
        <w:t xml:space="preserve">ć postavila cilj postupnog smanjenje emisija stakleničkih gasova do 2050. godine. Ključni klimatski i energetski ciljevi postavljeni su u </w:t>
      </w:r>
      <w:r>
        <w:rPr>
          <w:rFonts w:ascii="Calibri" w:hAnsi="Calibri" w:cs="Calibri" w:eastAsia="Calibri"/>
          <w:i/>
          <w:color w:val="auto"/>
          <w:spacing w:val="0"/>
          <w:position w:val="0"/>
          <w:sz w:val="20"/>
          <w:shd w:fill="auto" w:val="clear"/>
        </w:rPr>
        <w:t xml:space="preserve">klimatskom i energetskom paketu do 2030. godine,</w:t>
      </w:r>
      <w:r>
        <w:rPr>
          <w:rFonts w:ascii="Calibri" w:hAnsi="Calibri" w:cs="Calibri" w:eastAsia="Calibri"/>
          <w:color w:val="auto"/>
          <w:spacing w:val="0"/>
          <w:position w:val="0"/>
          <w:sz w:val="20"/>
          <w:shd w:fill="auto" w:val="clear"/>
        </w:rPr>
        <w:t xml:space="preserve"> koji se odnosi na transformaciju prema privredi s niskim nivoom ugljika. Ovaj paket sadrži ambicioznu obavezu smanjenja emisija stakleničkih gasova, za 2030. godinu postavlja tri ključna cilja: </w:t>
      </w:r>
    </w:p>
    <w:p>
      <w:pPr>
        <w:numPr>
          <w:ilvl w:val="0"/>
          <w:numId w:val="4233"/>
        </w:numPr>
        <w:spacing w:before="0" w:after="0" w:line="240"/>
        <w:ind w:right="0" w:left="714" w:hanging="357"/>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najmanje 40% smanjenja emisija stakleni</w:t>
      </w:r>
      <w:r>
        <w:rPr>
          <w:rFonts w:ascii="Calibri" w:hAnsi="Calibri" w:cs="Calibri" w:eastAsia="Calibri"/>
          <w:color w:val="auto"/>
          <w:spacing w:val="0"/>
          <w:position w:val="0"/>
          <w:sz w:val="20"/>
          <w:shd w:fill="auto" w:val="clear"/>
        </w:rPr>
        <w:t xml:space="preserve">čkih gasova u odnosu na nivo emisija iz 1990. godine; </w:t>
      </w:r>
    </w:p>
    <w:p>
      <w:pPr>
        <w:numPr>
          <w:ilvl w:val="0"/>
          <w:numId w:val="4233"/>
        </w:numPr>
        <w:spacing w:before="0" w:after="0" w:line="240"/>
        <w:ind w:right="0" w:left="720" w:hanging="36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najmanje 32% udjela obnovljivih izvora energije i </w:t>
      </w:r>
    </w:p>
    <w:p>
      <w:pPr>
        <w:numPr>
          <w:ilvl w:val="0"/>
          <w:numId w:val="4233"/>
        </w:numPr>
        <w:spacing w:before="0" w:after="0" w:line="240"/>
        <w:ind w:right="0" w:left="720" w:hanging="36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najmanje 32,5 % poboljšanja energetske efikasnosti. </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Ovaj paket, uskla</w:t>
      </w:r>
      <w:r>
        <w:rPr>
          <w:rFonts w:ascii="Calibri" w:hAnsi="Calibri" w:cs="Calibri" w:eastAsia="Calibri"/>
          <w:color w:val="auto"/>
          <w:spacing w:val="0"/>
          <w:position w:val="0"/>
          <w:sz w:val="20"/>
          <w:shd w:fill="auto" w:val="clear"/>
        </w:rPr>
        <w:t xml:space="preserve">đen sa dugoročnom perspektivom u Planu za prelazak na konkurentnu privredu s niskim udjelom ugljika, usvojen je u oktobru 2014. godine. U 2018. godini je revidiran u segmentu ciljeva postavljenih za udjele obnovljivih izvora energije i poboljšanja energetske efikasnosti. Implementacija klimatskog energetskog paketa 2030 prioritet je za ispunjavanje ciljeva postavljenih u </w:t>
      </w:r>
      <w:r>
        <w:rPr>
          <w:rFonts w:ascii="Calibri" w:hAnsi="Calibri" w:cs="Calibri" w:eastAsia="Calibri"/>
          <w:i/>
          <w:color w:val="auto"/>
          <w:spacing w:val="0"/>
          <w:position w:val="0"/>
          <w:sz w:val="20"/>
          <w:shd w:fill="auto" w:val="clear"/>
        </w:rPr>
        <w:t xml:space="preserve">Pariškom sporazumu</w:t>
      </w:r>
      <w:r>
        <w:rPr>
          <w:rFonts w:ascii="Calibri" w:hAnsi="Calibri" w:cs="Calibri" w:eastAsia="Calibri"/>
          <w:color w:val="auto"/>
          <w:spacing w:val="0"/>
          <w:position w:val="0"/>
          <w:sz w:val="20"/>
          <w:shd w:fill="auto" w:val="clear"/>
        </w:rPr>
        <w:t xml:space="preserve">, prvom multilateralnom sporazumu o klimatskim promjenama koji pokriva gotovo ukupne svjetske emisije i podržava evropski pristup rješavanju klimatskih promjena. Cilj zaključaka Pariškog sporazuma je zadržavanje rasta globalne temperature značajno ispod 2°C, a najnoviji Izvještaj </w:t>
      </w:r>
      <w:r>
        <w:rPr>
          <w:rFonts w:ascii="Calibri" w:hAnsi="Calibri" w:cs="Calibri" w:eastAsia="Calibri"/>
          <w:i/>
          <w:color w:val="auto"/>
          <w:spacing w:val="0"/>
          <w:position w:val="0"/>
          <w:sz w:val="20"/>
          <w:shd w:fill="auto" w:val="clear"/>
        </w:rPr>
        <w:t xml:space="preserve">Međuvladinog panela za klimatske promjene (IPCC)</w:t>
      </w:r>
      <w:r>
        <w:rPr>
          <w:rFonts w:ascii="Calibri" w:hAnsi="Calibri" w:cs="Calibri" w:eastAsia="Calibri"/>
          <w:color w:val="auto"/>
          <w:spacing w:val="0"/>
          <w:position w:val="0"/>
          <w:sz w:val="20"/>
          <w:shd w:fill="auto" w:val="clear"/>
        </w:rPr>
        <w:t xml:space="preserve"> iz oktobra 2018. god. govori da je neophodno zadržavanje na rastu globalne temperature na 1,5°C do 2030. god., što konkretno znači da nivoi emisija stakleničkih plinova moraju do 2030. godine pasti za 45% u odnosu na nivo iz 2010. godine, dostižući karbonsku neutralnost do 2050. godine.</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Na nivou Evropske unije još ne postoje posebni propisi (direktive, uredbe) vezani za prilago</w:t>
      </w:r>
      <w:r>
        <w:rPr>
          <w:rFonts w:ascii="Calibri" w:hAnsi="Calibri" w:cs="Calibri" w:eastAsia="Calibri"/>
          <w:color w:val="auto"/>
          <w:spacing w:val="0"/>
          <w:position w:val="0"/>
          <w:sz w:val="20"/>
          <w:shd w:fill="auto" w:val="clear"/>
        </w:rPr>
        <w:t xml:space="preserve">đavanje klimatskim promjenama, nego samo smjernice i strategija. Strategija EU za prilagođavanje klimatskim promjenama se sastoji od paketa dokumenata koji opisuju kako se prilagođavanje klimatskim promjenama treba uključiti u različite sektore. Iva strategija EU ima tri glavna (opšta) cilja:</w:t>
      </w:r>
    </w:p>
    <w:p>
      <w:pPr>
        <w:numPr>
          <w:ilvl w:val="0"/>
          <w:numId w:val="4236"/>
        </w:numPr>
        <w:spacing w:before="60" w:after="0" w:line="240"/>
        <w:ind w:right="0" w:left="1070" w:hanging="71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Promocija ativnosti država </w:t>
      </w:r>
      <w:r>
        <w:rPr>
          <w:rFonts w:ascii="Calibri" w:hAnsi="Calibri" w:cs="Calibri" w:eastAsia="Calibri"/>
          <w:color w:val="auto"/>
          <w:spacing w:val="0"/>
          <w:position w:val="0"/>
          <w:sz w:val="20"/>
          <w:shd w:fill="auto" w:val="clear"/>
        </w:rPr>
        <w:t xml:space="preserve">članica njihovim poticanjem da usvoje sveobuhvatne strategije prilagođavanja, osiguravanje dovoljno finansijskih sredstava, i promoviranje aktivnosti u gradovima;</w:t>
      </w:r>
    </w:p>
    <w:p>
      <w:pPr>
        <w:numPr>
          <w:ilvl w:val="0"/>
          <w:numId w:val="4236"/>
        </w:numPr>
        <w:spacing w:before="60" w:after="0" w:line="240"/>
        <w:ind w:right="0" w:left="1070" w:hanging="71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Promoviranje boljeg i informiranijeg odlu</w:t>
      </w:r>
      <w:r>
        <w:rPr>
          <w:rFonts w:ascii="Calibri" w:hAnsi="Calibri" w:cs="Calibri" w:eastAsia="Calibri"/>
          <w:color w:val="auto"/>
          <w:spacing w:val="0"/>
          <w:position w:val="0"/>
          <w:sz w:val="20"/>
          <w:shd w:fill="auto" w:val="clear"/>
        </w:rPr>
        <w:t xml:space="preserve">čivanja povećanjem znanja o prilagođavanju te daljnjem razvoju </w:t>
      </w:r>
      <w:r>
        <w:rPr>
          <w:rFonts w:ascii="Calibri" w:hAnsi="Calibri" w:cs="Calibri" w:eastAsia="Calibri"/>
          <w:i/>
          <w:color w:val="auto"/>
          <w:spacing w:val="0"/>
          <w:position w:val="0"/>
          <w:sz w:val="20"/>
          <w:shd w:fill="auto" w:val="clear"/>
        </w:rPr>
        <w:t xml:space="preserve">Evropske platforme o prilagođavanju klimatskim promjenama (Climate-ADAPT);</w:t>
      </w:r>
    </w:p>
    <w:p>
      <w:pPr>
        <w:numPr>
          <w:ilvl w:val="0"/>
          <w:numId w:val="4236"/>
        </w:numPr>
        <w:spacing w:before="60" w:after="0" w:line="240"/>
        <w:ind w:right="0" w:left="1070" w:hanging="71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Promocija prilago</w:t>
      </w:r>
      <w:r>
        <w:rPr>
          <w:rFonts w:ascii="Calibri" w:hAnsi="Calibri" w:cs="Calibri" w:eastAsia="Calibri"/>
          <w:color w:val="auto"/>
          <w:spacing w:val="0"/>
          <w:position w:val="0"/>
          <w:sz w:val="20"/>
          <w:shd w:fill="auto" w:val="clear"/>
        </w:rPr>
        <w:t xml:space="preserve">đavanja u ključnim ranjivim sektorima, integracijom u zajedničku poljoprivrednu, ribarsku i kohezijsku politiku; osiguravanjem fleksibilnosti i otpornosti evropske infrastrukture na klimatske promjene; te poticanjem korištenja osiguranja od prirodnih katastrofa i onih uzrokovanih ljudskim djelovanjem.</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Na me</w:t>
      </w:r>
      <w:r>
        <w:rPr>
          <w:rFonts w:ascii="Calibri" w:hAnsi="Calibri" w:cs="Calibri" w:eastAsia="Calibri"/>
          <w:color w:val="auto"/>
          <w:spacing w:val="0"/>
          <w:position w:val="0"/>
          <w:sz w:val="20"/>
          <w:shd w:fill="auto" w:val="clear"/>
        </w:rPr>
        <w:t xml:space="preserve">đunarodnom nivou izvan Evropske unije postoji više sporazuma vrlo važnih za strategiju prilagođavanja, a to su:</w:t>
      </w:r>
    </w:p>
    <w:p>
      <w:pPr>
        <w:numPr>
          <w:ilvl w:val="0"/>
          <w:numId w:val="4238"/>
        </w:numPr>
        <w:spacing w:before="60" w:after="0" w:line="240"/>
        <w:ind w:right="0" w:left="720" w:hanging="36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Okvirna konvencija Ujedinjenih naroda o promjeni klime (eng. </w:t>
      </w:r>
      <w:r>
        <w:rPr>
          <w:rFonts w:ascii="Calibri" w:hAnsi="Calibri" w:cs="Calibri" w:eastAsia="Calibri"/>
          <w:i/>
          <w:color w:val="auto"/>
          <w:spacing w:val="0"/>
          <w:position w:val="0"/>
          <w:sz w:val="20"/>
          <w:shd w:fill="auto" w:val="clear"/>
        </w:rPr>
        <w:t xml:space="preserve">United Nations Framework Convention on Climate Change - UNFCCC)</w:t>
      </w:r>
      <w:r>
        <w:rPr>
          <w:rFonts w:ascii="Calibri" w:hAnsi="Calibri" w:cs="Calibri" w:eastAsia="Calibri"/>
          <w:color w:val="auto"/>
          <w:spacing w:val="0"/>
          <w:position w:val="0"/>
          <w:sz w:val="20"/>
          <w:shd w:fill="auto" w:val="clear"/>
        </w:rPr>
        <w:t xml:space="preserve"> </w:t>
      </w:r>
      <w:r>
        <w:rPr>
          <w:rFonts w:ascii="Calibri" w:hAnsi="Calibri" w:cs="Calibri" w:eastAsia="Calibri"/>
          <w:color w:val="auto"/>
          <w:spacing w:val="0"/>
          <w:position w:val="0"/>
          <w:sz w:val="20"/>
          <w:shd w:fill="auto" w:val="clear"/>
        </w:rPr>
        <w:t xml:space="preserve">čiji cilj je postizanje stabilizacije koncentracija stakleničkih gasova u atmosferi na nivo koji će spriječiti opasno antropogeno djelovanje na klimatski sistem;</w:t>
      </w:r>
    </w:p>
    <w:p>
      <w:pPr>
        <w:numPr>
          <w:ilvl w:val="0"/>
          <w:numId w:val="4238"/>
        </w:numPr>
        <w:spacing w:before="60" w:after="0" w:line="240"/>
        <w:ind w:right="0" w:left="720" w:hanging="36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Pariški sporazum o klimatskim promjenama (eng. </w:t>
      </w:r>
      <w:r>
        <w:rPr>
          <w:rFonts w:ascii="Calibri" w:hAnsi="Calibri" w:cs="Calibri" w:eastAsia="Calibri"/>
          <w:i/>
          <w:color w:val="auto"/>
          <w:spacing w:val="0"/>
          <w:position w:val="0"/>
          <w:sz w:val="20"/>
          <w:shd w:fill="auto" w:val="clear"/>
        </w:rPr>
        <w:t xml:space="preserve">Paris Agreement</w:t>
      </w:r>
      <w:r>
        <w:rPr>
          <w:rFonts w:ascii="Calibri" w:hAnsi="Calibri" w:cs="Calibri" w:eastAsia="Calibri"/>
          <w:color w:val="auto"/>
          <w:spacing w:val="0"/>
          <w:position w:val="0"/>
          <w:sz w:val="20"/>
          <w:shd w:fill="auto" w:val="clear"/>
        </w:rPr>
        <w:t xml:space="preserve">) postignut u4.11.2016. godine u okviru dio UNFCCC-a, </w:t>
      </w:r>
      <w:r>
        <w:rPr>
          <w:rFonts w:ascii="Calibri" w:hAnsi="Calibri" w:cs="Calibri" w:eastAsia="Calibri"/>
          <w:color w:val="auto"/>
          <w:spacing w:val="0"/>
          <w:position w:val="0"/>
          <w:sz w:val="20"/>
          <w:shd w:fill="auto" w:val="clear"/>
        </w:rPr>
        <w:t xml:space="preserve">čiji cilj je ograničavanje rasta prosječne globalne temperature na „znatno manje“ od 2°C, osiguranje snabdijevanja hranom, ali i jačanje kapaciteta država da se bore s posljedicama klimatskih promjena, razvoj novih „zelenih“ tehnologija i pomaganje slabijim, ekonomski manje razvijenim članicama u ostvarenju svojih nacionalnih planova o smanjenju emisija. Glavne značajke Pariškog sporazuma uključuju: smanjenje globalnih emisija stakleničkih plinova s dugoročnim ciljem smanjenja rasta globalne temperature ispod 2°C iznad pred-industrijskih vrijednosti; dinamički i transparentni mehanizam s ciljem poduzimanja ambicioznih aktivnosti u kratkom vremenu s razvojem adekvatnih modela finansiranja s klimatskim promjenama povezanih aktivnosti. Sporazum stimuliše i individualne i kolektivne aktivnosti u svrhu prilagođavanja na efekte klimatskih promjena u cilju povećanja otpornosti i smanjenjem ranjivosti. Sporazum predviđa i značajnu ulogu gradova, civilnog društva, privatnog sektora i ostalih sudionika. Pariški sporazum o klimatskim promjenama je najvažniji međunarodni sporazum koji daje smjernice za prilagođavanje. </w:t>
      </w:r>
    </w:p>
    <w:p>
      <w:pPr>
        <w:spacing w:before="60" w:after="0" w:line="240"/>
        <w:ind w:right="0" w:left="72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Predsjedništvo Bosne i Hercegovine, na svojoj 32. redovnoj sjednici održanoj 20. decembra 2016. godine, donijelo je </w:t>
      </w:r>
      <w:r>
        <w:rPr>
          <w:rFonts w:ascii="Calibri" w:hAnsi="Calibri" w:cs="Calibri" w:eastAsia="Calibri"/>
          <w:i/>
          <w:color w:val="auto"/>
          <w:spacing w:val="0"/>
          <w:position w:val="0"/>
          <w:sz w:val="20"/>
          <w:shd w:fill="auto" w:val="clear"/>
        </w:rPr>
        <w:t xml:space="preserve">Odluku o ratifikaciji Pariškog sporazuma uz Okvirnu konvenciju Ujedinjenih naroda o klimatskim promjenama (</w:t>
      </w:r>
      <w:r>
        <w:rPr>
          <w:rFonts w:ascii="Calibri" w:hAnsi="Calibri" w:cs="Calibri" w:eastAsia="Calibri"/>
          <w:color w:val="auto"/>
          <w:spacing w:val="0"/>
          <w:position w:val="0"/>
          <w:sz w:val="20"/>
          <w:shd w:fill="auto" w:val="clear"/>
        </w:rPr>
        <w:t xml:space="preserve">Sl. glasnik BiH – Me</w:t>
      </w:r>
      <w:r>
        <w:rPr>
          <w:rFonts w:ascii="Calibri" w:hAnsi="Calibri" w:cs="Calibri" w:eastAsia="Calibri"/>
          <w:color w:val="auto"/>
          <w:spacing w:val="0"/>
          <w:position w:val="0"/>
          <w:sz w:val="20"/>
          <w:shd w:fill="auto" w:val="clear"/>
        </w:rPr>
        <w:t xml:space="preserve">đunarodni ugovori, br </w:t>
      </w:r>
      <w:r>
        <w:rPr>
          <w:rFonts w:ascii="Calibri" w:hAnsi="Calibri" w:cs="Calibri" w:eastAsia="Calibri"/>
          <w:color w:val="auto"/>
          <w:spacing w:val="0"/>
          <w:position w:val="0"/>
          <w:sz w:val="20"/>
          <w:shd w:fill="auto" w:val="clear"/>
        </w:rPr>
        <w:t xml:space="preserve">½017).</w:t>
      </w:r>
    </w:p>
    <w:p>
      <w:pPr>
        <w:numPr>
          <w:ilvl w:val="0"/>
          <w:numId w:val="4240"/>
        </w:numPr>
        <w:spacing w:before="120" w:after="0" w:line="240"/>
        <w:ind w:right="0" w:left="1080" w:hanging="360"/>
        <w:jc w:val="both"/>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Relevantna regulativa i dokumenti Evropske unije</w:t>
      </w:r>
    </w:p>
    <w:p>
      <w:pPr>
        <w:spacing w:before="60" w:after="12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Glavni legislativni dokumenti koji reguliraju razvoj energetskog sektora na nivou Evropske unije su:</w:t>
      </w:r>
    </w:p>
    <w:tbl>
      <w:tblPr/>
      <w:tblGrid>
        <w:gridCol w:w="9508"/>
      </w:tblGrid>
      <w:tr>
        <w:trPr>
          <w:trHeight w:val="1" w:hRule="atLeast"/>
          <w:jc w:val="left"/>
        </w:trPr>
        <w:tc>
          <w:tcPr>
            <w:tcW w:w="95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60" w:after="0" w:line="240"/>
              <w:ind w:right="0" w:left="0" w:firstLine="0"/>
              <w:jc w:val="both"/>
              <w:rPr>
                <w:rFonts w:ascii="Calibri" w:hAnsi="Calibri" w:cs="Calibri" w:eastAsia="Calibri"/>
                <w:color w:val="auto"/>
                <w:spacing w:val="0"/>
                <w:position w:val="0"/>
                <w:sz w:val="18"/>
                <w:shd w:fill="auto" w:val="clear"/>
              </w:rPr>
            </w:pPr>
            <w:r>
              <w:rPr>
                <w:rFonts w:ascii="Calibri" w:hAnsi="Calibri" w:cs="Calibri" w:eastAsia="Calibri"/>
                <w:b/>
                <w:color w:val="auto"/>
                <w:spacing w:val="0"/>
                <w:position w:val="0"/>
                <w:sz w:val="18"/>
                <w:shd w:fill="auto" w:val="clear"/>
              </w:rPr>
              <w:t xml:space="preserve">Prijedlog Evropske energetske politike</w:t>
            </w:r>
            <w:r>
              <w:rPr>
                <w:rFonts w:ascii="Calibri" w:hAnsi="Calibri" w:cs="Calibri" w:eastAsia="Calibri"/>
                <w:color w:val="auto"/>
                <w:spacing w:val="0"/>
                <w:position w:val="0"/>
                <w:sz w:val="18"/>
                <w:shd w:fill="auto" w:val="clear"/>
              </w:rPr>
              <w:t xml:space="preserve"> (engl. </w:t>
            </w:r>
            <w:r>
              <w:rPr>
                <w:rFonts w:ascii="Calibri" w:hAnsi="Calibri" w:cs="Calibri" w:eastAsia="Calibri"/>
                <w:i/>
                <w:color w:val="auto"/>
                <w:spacing w:val="0"/>
                <w:position w:val="0"/>
                <w:sz w:val="18"/>
                <w:shd w:fill="auto" w:val="clear"/>
              </w:rPr>
              <w:t xml:space="preserve">The proposal for European Energy Policy</w:t>
            </w:r>
            <w:r>
              <w:rPr>
                <w:rFonts w:ascii="Calibri" w:hAnsi="Calibri" w:cs="Calibri" w:eastAsia="Calibri"/>
                <w:color w:val="auto"/>
                <w:spacing w:val="0"/>
                <w:position w:val="0"/>
                <w:sz w:val="18"/>
                <w:shd w:fill="auto" w:val="clear"/>
              </w:rPr>
              <w:t xml:space="preserve">) iz januara 2007. godine, koji je postavio slijede</w:t>
            </w:r>
            <w:r>
              <w:rPr>
                <w:rFonts w:ascii="Calibri" w:hAnsi="Calibri" w:cs="Calibri" w:eastAsia="Calibri"/>
                <w:color w:val="auto"/>
                <w:spacing w:val="0"/>
                <w:position w:val="0"/>
                <w:sz w:val="18"/>
                <w:shd w:fill="auto" w:val="clear"/>
              </w:rPr>
              <w:t xml:space="preserve">će glavne zahtjeve do 2020. godine: smanjenje emisije stakleničkih plinova iz razvijenih zemalja za 20%; povećanje energetske efikasnosti za 20%; povećanje udjela obnovljivih izvora energije na 20%; i povećanje udjela biogoriva u prometu na 10%. Ovi ciljevi su zatim ažurirani u skladu s Okvirom za klimatsku i energetsku politiku do 2030. godine:  na: smanjenje stakleničkih plinova za barem 40%; povećanje udjela energije iz obnovljivih izvora na barem 32%; i povećanje energetske efikasnosti za barem 32,5%.</w:t>
            </w:r>
          </w:p>
          <w:p>
            <w:pPr>
              <w:spacing w:before="40" w:after="0" w:line="240"/>
              <w:ind w:right="0" w:left="0" w:firstLine="0"/>
              <w:jc w:val="both"/>
              <w:rPr>
                <w:rFonts w:ascii="Calibri" w:hAnsi="Calibri" w:cs="Calibri" w:eastAsia="Calibri"/>
                <w:color w:val="auto"/>
                <w:spacing w:val="0"/>
                <w:position w:val="0"/>
                <w:sz w:val="18"/>
                <w:shd w:fill="auto" w:val="clear"/>
              </w:rPr>
            </w:pPr>
            <w:r>
              <w:rPr>
                <w:rFonts w:ascii="Calibri" w:hAnsi="Calibri" w:cs="Calibri" w:eastAsia="Calibri"/>
                <w:b/>
                <w:color w:val="auto"/>
                <w:spacing w:val="0"/>
                <w:position w:val="0"/>
                <w:sz w:val="18"/>
                <w:shd w:fill="auto" w:val="clear"/>
              </w:rPr>
              <w:t xml:space="preserve">Okvir za klimatsku i energetsku politiku u razdoblju 2020. – 2030</w:t>
            </w:r>
            <w:r>
              <w:rPr>
                <w:rFonts w:ascii="Calibri" w:hAnsi="Calibri" w:cs="Calibri" w:eastAsia="Calibri"/>
                <w:color w:val="auto"/>
                <w:spacing w:val="0"/>
                <w:position w:val="0"/>
                <w:sz w:val="18"/>
                <w:shd w:fill="auto" w:val="clear"/>
              </w:rPr>
              <w:t xml:space="preserve">. (engl. </w:t>
            </w:r>
            <w:r>
              <w:rPr>
                <w:rFonts w:ascii="Calibri" w:hAnsi="Calibri" w:cs="Calibri" w:eastAsia="Calibri"/>
                <w:i/>
                <w:color w:val="auto"/>
                <w:spacing w:val="0"/>
                <w:position w:val="0"/>
                <w:sz w:val="18"/>
                <w:shd w:fill="auto" w:val="clear"/>
              </w:rPr>
              <w:t xml:space="preserve">A policy framework for climate and energy in the period from 2020 to 2030, 2014</w:t>
            </w:r>
            <w:r>
              <w:rPr>
                <w:rFonts w:ascii="Calibri" w:hAnsi="Calibri" w:cs="Calibri" w:eastAsia="Calibri"/>
                <w:color w:val="auto"/>
                <w:spacing w:val="0"/>
                <w:position w:val="0"/>
                <w:sz w:val="18"/>
                <w:shd w:fill="auto" w:val="clear"/>
              </w:rPr>
              <w:t xml:space="preserve">), januar 2014. godine; </w:t>
            </w:r>
          </w:p>
          <w:p>
            <w:pPr>
              <w:spacing w:before="40" w:after="0" w:line="240"/>
              <w:ind w:right="0" w:left="0" w:firstLine="0"/>
              <w:jc w:val="both"/>
              <w:rPr>
                <w:rFonts w:ascii="Calibri" w:hAnsi="Calibri" w:cs="Calibri" w:eastAsia="Calibri"/>
                <w:color w:val="auto"/>
                <w:spacing w:val="0"/>
                <w:position w:val="0"/>
                <w:sz w:val="18"/>
                <w:shd w:fill="auto" w:val="clear"/>
              </w:rPr>
            </w:pPr>
            <w:r>
              <w:rPr>
                <w:rFonts w:ascii="Calibri" w:hAnsi="Calibri" w:cs="Calibri" w:eastAsia="Calibri"/>
                <w:b/>
                <w:color w:val="auto"/>
                <w:spacing w:val="0"/>
                <w:position w:val="0"/>
                <w:sz w:val="18"/>
                <w:shd w:fill="auto" w:val="clear"/>
              </w:rPr>
              <w:t xml:space="preserve">Čista energija za sve Evropljane</w:t>
            </w:r>
            <w:r>
              <w:rPr>
                <w:rFonts w:ascii="Calibri" w:hAnsi="Calibri" w:cs="Calibri" w:eastAsia="Calibri"/>
                <w:color w:val="auto"/>
                <w:spacing w:val="0"/>
                <w:position w:val="0"/>
                <w:sz w:val="18"/>
                <w:shd w:fill="auto" w:val="clear"/>
              </w:rPr>
              <w:t xml:space="preserve"> (engl. </w:t>
            </w:r>
            <w:r>
              <w:rPr>
                <w:rFonts w:ascii="Calibri" w:hAnsi="Calibri" w:cs="Calibri" w:eastAsia="Calibri"/>
                <w:i/>
                <w:color w:val="auto"/>
                <w:spacing w:val="0"/>
                <w:position w:val="0"/>
                <w:sz w:val="18"/>
                <w:shd w:fill="auto" w:val="clear"/>
              </w:rPr>
              <w:t xml:space="preserve">Clean Energy For All Europeans</w:t>
            </w:r>
            <w:r>
              <w:rPr>
                <w:rFonts w:ascii="Calibri" w:hAnsi="Calibri" w:cs="Calibri" w:eastAsia="Calibri"/>
                <w:color w:val="auto"/>
                <w:spacing w:val="0"/>
                <w:position w:val="0"/>
                <w:sz w:val="18"/>
                <w:shd w:fill="auto" w:val="clear"/>
              </w:rPr>
              <w:t xml:space="preserve">), novembar 2016. godine; </w:t>
            </w:r>
          </w:p>
          <w:p>
            <w:pPr>
              <w:spacing w:before="40" w:after="0" w:line="240"/>
              <w:ind w:right="0" w:left="0" w:firstLine="0"/>
              <w:jc w:val="both"/>
              <w:rPr>
                <w:rFonts w:ascii="Calibri" w:hAnsi="Calibri" w:cs="Calibri" w:eastAsia="Calibri"/>
                <w:color w:val="auto"/>
                <w:spacing w:val="0"/>
                <w:position w:val="0"/>
                <w:sz w:val="18"/>
                <w:shd w:fill="auto" w:val="clear"/>
              </w:rPr>
            </w:pPr>
            <w:r>
              <w:rPr>
                <w:rFonts w:ascii="Calibri" w:hAnsi="Calibri" w:cs="Calibri" w:eastAsia="Calibri"/>
                <w:b/>
                <w:color w:val="auto"/>
                <w:spacing w:val="0"/>
                <w:position w:val="0"/>
                <w:sz w:val="18"/>
                <w:shd w:fill="auto" w:val="clear"/>
              </w:rPr>
              <w:t xml:space="preserve">Čist planet za sve, Dugoročna Evropska strateška vizija za uspješnu, modernu, konkurentu i klimatski neutralnu ekonomiju</w:t>
            </w:r>
            <w:r>
              <w:rPr>
                <w:rFonts w:ascii="Calibri" w:hAnsi="Calibri" w:cs="Calibri" w:eastAsia="Calibri"/>
                <w:color w:val="auto"/>
                <w:spacing w:val="0"/>
                <w:position w:val="0"/>
                <w:sz w:val="18"/>
                <w:shd w:fill="auto" w:val="clear"/>
              </w:rPr>
              <w:t xml:space="preserve"> (A Clean Planet for all, A European strategic long-term vision for a prosperous, modern, competitive and climate neutral economy 2018), novembar 2018. god.</w:t>
            </w:r>
          </w:p>
          <w:p>
            <w:pPr>
              <w:spacing w:before="60" w:after="0" w:line="240"/>
              <w:ind w:right="0" w:left="0" w:firstLine="0"/>
              <w:jc w:val="both"/>
              <w:rPr>
                <w:rFonts w:ascii="Calibri" w:hAnsi="Calibri" w:cs="Calibri" w:eastAsia="Calibri"/>
                <w:b/>
                <w:color w:val="auto"/>
                <w:spacing w:val="0"/>
                <w:position w:val="0"/>
                <w:sz w:val="18"/>
                <w:shd w:fill="auto" w:val="clear"/>
              </w:rPr>
            </w:pPr>
            <w:r>
              <w:rPr>
                <w:rFonts w:ascii="Calibri" w:hAnsi="Calibri" w:cs="Calibri" w:eastAsia="Calibri"/>
                <w:b/>
                <w:color w:val="auto"/>
                <w:spacing w:val="0"/>
                <w:position w:val="0"/>
                <w:sz w:val="18"/>
                <w:shd w:fill="auto" w:val="clear"/>
              </w:rPr>
              <w:t xml:space="preserve">Direktive Evropske unije kojima se regulira podru</w:t>
            </w:r>
            <w:r>
              <w:rPr>
                <w:rFonts w:ascii="Calibri" w:hAnsi="Calibri" w:cs="Calibri" w:eastAsia="Calibri"/>
                <w:b/>
                <w:color w:val="auto"/>
                <w:spacing w:val="0"/>
                <w:position w:val="0"/>
                <w:sz w:val="18"/>
                <w:shd w:fill="auto" w:val="clear"/>
              </w:rPr>
              <w:t xml:space="preserve">čje korištenja obnovljivih izvora energije:</w:t>
            </w:r>
          </w:p>
          <w:p>
            <w:pPr>
              <w:numPr>
                <w:ilvl w:val="0"/>
                <w:numId w:val="4246"/>
              </w:numPr>
              <w:spacing w:before="40" w:after="0" w:line="240"/>
              <w:ind w:right="0" w:left="357"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Direktiva o promociji elektri</w:t>
            </w:r>
            <w:r>
              <w:rPr>
                <w:rFonts w:ascii="Calibri" w:hAnsi="Calibri" w:cs="Calibri" w:eastAsia="Calibri"/>
                <w:color w:val="auto"/>
                <w:spacing w:val="0"/>
                <w:position w:val="0"/>
                <w:sz w:val="18"/>
                <w:shd w:fill="auto" w:val="clear"/>
              </w:rPr>
              <w:t xml:space="preserve">čne energije iz obnovljivih izvora (engl. </w:t>
            </w:r>
            <w:r>
              <w:rPr>
                <w:rFonts w:ascii="Calibri" w:hAnsi="Calibri" w:cs="Calibri" w:eastAsia="Calibri"/>
                <w:i/>
                <w:color w:val="auto"/>
                <w:spacing w:val="0"/>
                <w:position w:val="0"/>
                <w:sz w:val="18"/>
                <w:shd w:fill="auto" w:val="clear"/>
              </w:rPr>
              <w:t xml:space="preserve">Directive 2001/77/EC on Promotion of the Electricity Produced from Renewable Energy Sources in the International Electricity Market</w:t>
            </w:r>
            <w:r>
              <w:rPr>
                <w:rFonts w:ascii="Calibri" w:hAnsi="Calibri" w:cs="Calibri" w:eastAsia="Calibri"/>
                <w:color w:val="auto"/>
                <w:spacing w:val="0"/>
                <w:position w:val="0"/>
                <w:sz w:val="18"/>
                <w:shd w:fill="auto" w:val="clear"/>
              </w:rPr>
              <w:t xml:space="preserve">), septembar 2001. godine;</w:t>
            </w:r>
          </w:p>
          <w:p>
            <w:pPr>
              <w:numPr>
                <w:ilvl w:val="0"/>
                <w:numId w:val="4246"/>
              </w:numPr>
              <w:spacing w:before="40" w:after="0" w:line="240"/>
              <w:ind w:right="0" w:left="357"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Saopštenje o alternativnim gorivima za korištenje u putnom saobra</w:t>
            </w:r>
            <w:r>
              <w:rPr>
                <w:rFonts w:ascii="Calibri" w:hAnsi="Calibri" w:cs="Calibri" w:eastAsia="Calibri"/>
                <w:color w:val="auto"/>
                <w:spacing w:val="0"/>
                <w:position w:val="0"/>
                <w:sz w:val="18"/>
                <w:shd w:fill="auto" w:val="clear"/>
              </w:rPr>
              <w:t xml:space="preserve">ćaju i skupu mjera za stimulisanje korištenja biogoriva (engl. </w:t>
            </w:r>
            <w:r>
              <w:rPr>
                <w:rFonts w:ascii="Calibri" w:hAnsi="Calibri" w:cs="Calibri" w:eastAsia="Calibri"/>
                <w:i/>
                <w:color w:val="auto"/>
                <w:spacing w:val="0"/>
                <w:position w:val="0"/>
                <w:sz w:val="18"/>
                <w:shd w:fill="auto" w:val="clear"/>
              </w:rPr>
              <w:t xml:space="preserve">Communication on Alternative fuels for Road Transportation and on a Set of Measures to Promote the Use of Biofuels</w:t>
            </w:r>
            <w:r>
              <w:rPr>
                <w:rFonts w:ascii="Calibri" w:hAnsi="Calibri" w:cs="Calibri" w:eastAsia="Calibri"/>
                <w:color w:val="auto"/>
                <w:spacing w:val="0"/>
                <w:position w:val="0"/>
                <w:sz w:val="18"/>
                <w:shd w:fill="auto" w:val="clear"/>
              </w:rPr>
              <w:t xml:space="preserve">), novembar 2001. godine;</w:t>
            </w:r>
          </w:p>
          <w:p>
            <w:pPr>
              <w:numPr>
                <w:ilvl w:val="0"/>
                <w:numId w:val="4246"/>
              </w:numPr>
              <w:spacing w:before="40" w:after="0" w:line="240"/>
              <w:ind w:right="0" w:left="357"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Direktiva o promociji korištenja biogoriva u saobra</w:t>
            </w:r>
            <w:r>
              <w:rPr>
                <w:rFonts w:ascii="Calibri" w:hAnsi="Calibri" w:cs="Calibri" w:eastAsia="Calibri"/>
                <w:color w:val="auto"/>
                <w:spacing w:val="0"/>
                <w:position w:val="0"/>
                <w:sz w:val="18"/>
                <w:shd w:fill="auto" w:val="clear"/>
              </w:rPr>
              <w:t xml:space="preserve">ćaju (engl. </w:t>
            </w:r>
            <w:r>
              <w:rPr>
                <w:rFonts w:ascii="Calibri" w:hAnsi="Calibri" w:cs="Calibri" w:eastAsia="Calibri"/>
                <w:i/>
                <w:color w:val="auto"/>
                <w:spacing w:val="0"/>
                <w:position w:val="0"/>
                <w:sz w:val="18"/>
                <w:shd w:fill="auto" w:val="clear"/>
              </w:rPr>
              <w:t xml:space="preserve">Directive 2003/30/EC on Promotion of the Use of Biofuels for Transport</w:t>
            </w:r>
            <w:r>
              <w:rPr>
                <w:rFonts w:ascii="Calibri" w:hAnsi="Calibri" w:cs="Calibri" w:eastAsia="Calibri"/>
                <w:color w:val="auto"/>
                <w:spacing w:val="0"/>
                <w:position w:val="0"/>
                <w:sz w:val="18"/>
                <w:shd w:fill="auto" w:val="clear"/>
              </w:rPr>
              <w:t xml:space="preserve">), maj 2003.godine;</w:t>
            </w:r>
          </w:p>
          <w:p>
            <w:pPr>
              <w:numPr>
                <w:ilvl w:val="0"/>
                <w:numId w:val="4246"/>
              </w:numPr>
              <w:spacing w:before="40" w:after="0" w:line="240"/>
              <w:ind w:right="0" w:left="357"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Direktiva o promociji korištenja obnovljivih izvora energije, koja dopunjuje i naknadno ukida Direktive 2001/77/EC i 2003/30/EC (engl. </w:t>
            </w:r>
            <w:r>
              <w:rPr>
                <w:rFonts w:ascii="Calibri" w:hAnsi="Calibri" w:cs="Calibri" w:eastAsia="Calibri"/>
                <w:i/>
                <w:color w:val="auto"/>
                <w:spacing w:val="0"/>
                <w:position w:val="0"/>
                <w:sz w:val="18"/>
                <w:shd w:fill="auto" w:val="clear"/>
              </w:rPr>
              <w:t xml:space="preserve">Directive 2009/28/EC on the Promotion of the Use of Energy from Renewable Sources and Amending and sSbsequently Repealing Directives 2001/77/EC and 2003/30/EC</w:t>
            </w:r>
            <w:r>
              <w:rPr>
                <w:rFonts w:ascii="Calibri" w:hAnsi="Calibri" w:cs="Calibri" w:eastAsia="Calibri"/>
                <w:color w:val="auto"/>
                <w:spacing w:val="0"/>
                <w:position w:val="0"/>
                <w:sz w:val="18"/>
                <w:shd w:fill="auto" w:val="clear"/>
              </w:rPr>
              <w:t xml:space="preserve">), april 2009. godine;</w:t>
            </w:r>
          </w:p>
          <w:p>
            <w:pPr>
              <w:numPr>
                <w:ilvl w:val="0"/>
                <w:numId w:val="4246"/>
              </w:numPr>
              <w:spacing w:before="40" w:after="40" w:line="240"/>
              <w:ind w:right="0" w:left="357"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Direktiva o promociji upotrebe energije iz obnovljivih izvora – modifikacije (engl. </w:t>
            </w:r>
            <w:r>
              <w:rPr>
                <w:rFonts w:ascii="Calibri" w:hAnsi="Calibri" w:cs="Calibri" w:eastAsia="Calibri"/>
                <w:i/>
                <w:color w:val="auto"/>
                <w:spacing w:val="0"/>
                <w:position w:val="0"/>
                <w:sz w:val="18"/>
                <w:shd w:fill="auto" w:val="clear"/>
              </w:rPr>
              <w:t xml:space="preserve">Directive (EU) 2018/2001 on the promotion of the use of energy from renewable sources – recast</w:t>
            </w:r>
            <w:r>
              <w:rPr>
                <w:rFonts w:ascii="Calibri" w:hAnsi="Calibri" w:cs="Calibri" w:eastAsia="Calibri"/>
                <w:color w:val="auto"/>
                <w:spacing w:val="0"/>
                <w:position w:val="0"/>
                <w:sz w:val="18"/>
                <w:shd w:fill="auto" w:val="clear"/>
              </w:rPr>
              <w:t xml:space="preserve">), decembar 2018.godine</w:t>
            </w:r>
          </w:p>
          <w:p>
            <w:pPr>
              <w:spacing w:before="60" w:after="0" w:line="240"/>
              <w:ind w:right="0" w:left="0" w:firstLine="0"/>
              <w:jc w:val="both"/>
              <w:rPr>
                <w:rFonts w:ascii="Calibri" w:hAnsi="Calibri" w:cs="Calibri" w:eastAsia="Calibri"/>
                <w:b/>
                <w:color w:val="auto"/>
                <w:spacing w:val="0"/>
                <w:position w:val="0"/>
                <w:sz w:val="18"/>
                <w:shd w:fill="auto" w:val="clear"/>
              </w:rPr>
            </w:pPr>
            <w:r>
              <w:rPr>
                <w:rFonts w:ascii="Calibri" w:hAnsi="Calibri" w:cs="Calibri" w:eastAsia="Calibri"/>
                <w:b/>
                <w:color w:val="auto"/>
                <w:spacing w:val="0"/>
                <w:position w:val="0"/>
                <w:sz w:val="18"/>
                <w:shd w:fill="auto" w:val="clear"/>
              </w:rPr>
              <w:t xml:space="preserve">Direktive Evropske unije koje direktno ili indirektno reguliraju podru</w:t>
            </w:r>
            <w:r>
              <w:rPr>
                <w:rFonts w:ascii="Calibri" w:hAnsi="Calibri" w:cs="Calibri" w:eastAsia="Calibri"/>
                <w:b/>
                <w:color w:val="auto"/>
                <w:spacing w:val="0"/>
                <w:position w:val="0"/>
                <w:sz w:val="18"/>
                <w:shd w:fill="auto" w:val="clear"/>
              </w:rPr>
              <w:t xml:space="preserve">čje energetske ufikasnosti su:</w:t>
            </w:r>
          </w:p>
          <w:p>
            <w:pPr>
              <w:numPr>
                <w:ilvl w:val="0"/>
                <w:numId w:val="4249"/>
              </w:numPr>
              <w:spacing w:before="40" w:after="0" w:line="240"/>
              <w:ind w:right="0" w:left="357"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Direktiva o ograni</w:t>
            </w:r>
            <w:r>
              <w:rPr>
                <w:rFonts w:ascii="Calibri" w:hAnsi="Calibri" w:cs="Calibri" w:eastAsia="Calibri"/>
                <w:color w:val="auto"/>
                <w:spacing w:val="0"/>
                <w:position w:val="0"/>
                <w:sz w:val="18"/>
                <w:shd w:fill="auto" w:val="clear"/>
              </w:rPr>
              <w:t xml:space="preserve">čavanju emisija ugljendioksida kroz povećanje energetske efikasnosti (engl. </w:t>
            </w:r>
            <w:r>
              <w:rPr>
                <w:rFonts w:ascii="Calibri" w:hAnsi="Calibri" w:cs="Calibri" w:eastAsia="Calibri"/>
                <w:i/>
                <w:color w:val="auto"/>
                <w:spacing w:val="0"/>
                <w:position w:val="0"/>
                <w:sz w:val="18"/>
                <w:shd w:fill="auto" w:val="clear"/>
              </w:rPr>
              <w:t xml:space="preserve">Directive 93/76/EEC to Limit Carbon Dioxide Emissions by Improving Energy Efficiency</w:t>
            </w:r>
            <w:r>
              <w:rPr>
                <w:rFonts w:ascii="Calibri" w:hAnsi="Calibri" w:cs="Calibri" w:eastAsia="Calibri"/>
                <w:color w:val="auto"/>
                <w:spacing w:val="0"/>
                <w:position w:val="0"/>
                <w:sz w:val="18"/>
                <w:shd w:fill="auto" w:val="clear"/>
              </w:rPr>
              <w:t xml:space="preserve">), maj 1993. godine;</w:t>
            </w:r>
          </w:p>
          <w:p>
            <w:pPr>
              <w:numPr>
                <w:ilvl w:val="0"/>
                <w:numId w:val="4249"/>
              </w:numPr>
              <w:spacing w:before="40" w:after="0" w:line="240"/>
              <w:ind w:right="0" w:left="357"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Direktiva o uspostavi sistema trgovanja dozvolama za emitovanje stakleni</w:t>
            </w:r>
            <w:r>
              <w:rPr>
                <w:rFonts w:ascii="Calibri" w:hAnsi="Calibri" w:cs="Calibri" w:eastAsia="Calibri"/>
                <w:color w:val="auto"/>
                <w:spacing w:val="0"/>
                <w:position w:val="0"/>
                <w:sz w:val="18"/>
                <w:shd w:fill="auto" w:val="clear"/>
              </w:rPr>
              <w:t xml:space="preserve">čkih plinova unutar EU (engl. </w:t>
            </w:r>
            <w:r>
              <w:rPr>
                <w:rFonts w:ascii="Calibri" w:hAnsi="Calibri" w:cs="Calibri" w:eastAsia="Calibri"/>
                <w:i/>
                <w:color w:val="auto"/>
                <w:spacing w:val="0"/>
                <w:position w:val="0"/>
                <w:sz w:val="18"/>
                <w:shd w:fill="auto" w:val="clear"/>
              </w:rPr>
              <w:t xml:space="preserve">Directive 2003/87/EC for Establishing a Scheme for Greenhouse Gas Emission Allowance Trading within the Community</w:t>
            </w:r>
            <w:r>
              <w:rPr>
                <w:rFonts w:ascii="Calibri" w:hAnsi="Calibri" w:cs="Calibri" w:eastAsia="Calibri"/>
                <w:color w:val="auto"/>
                <w:spacing w:val="0"/>
                <w:position w:val="0"/>
                <w:sz w:val="18"/>
                <w:shd w:fill="auto" w:val="clear"/>
              </w:rPr>
              <w:t xml:space="preserve">), novembar 2003. god.;</w:t>
            </w:r>
          </w:p>
          <w:p>
            <w:pPr>
              <w:numPr>
                <w:ilvl w:val="0"/>
                <w:numId w:val="4249"/>
              </w:numPr>
              <w:spacing w:before="40" w:after="0" w:line="240"/>
              <w:ind w:right="0" w:left="357"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Direktiva o energetskoj efikasnosti zgrada – modifikacija (engl. </w:t>
            </w:r>
            <w:r>
              <w:rPr>
                <w:rFonts w:ascii="Calibri" w:hAnsi="Calibri" w:cs="Calibri" w:eastAsia="Calibri"/>
                <w:i/>
                <w:color w:val="auto"/>
                <w:spacing w:val="0"/>
                <w:position w:val="0"/>
                <w:sz w:val="18"/>
                <w:shd w:fill="auto" w:val="clear"/>
              </w:rPr>
              <w:t xml:space="preserve">Directive 2010/31/EU on the Energy Performance of Buildings</w:t>
            </w:r>
            <w:r>
              <w:rPr>
                <w:rFonts w:ascii="Calibri" w:hAnsi="Calibri" w:cs="Calibri" w:eastAsia="Calibri"/>
                <w:color w:val="auto"/>
                <w:spacing w:val="0"/>
                <w:position w:val="0"/>
                <w:sz w:val="18"/>
                <w:shd w:fill="auto" w:val="clear"/>
              </w:rPr>
              <w:t xml:space="preserve">), maj 2010. godine;</w:t>
            </w:r>
          </w:p>
          <w:p>
            <w:pPr>
              <w:numPr>
                <w:ilvl w:val="0"/>
                <w:numId w:val="4249"/>
              </w:numPr>
              <w:spacing w:before="40" w:after="0" w:line="240"/>
              <w:ind w:right="0" w:left="357"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Direktiva o energetskoj efikasnosti, izmjeni direktiva 2009/125/EZ i 2010/30/EU i stavljanju izvan snage direktiva 2004/8/EZ i 2006/32/EZ (engl. </w:t>
            </w:r>
            <w:r>
              <w:rPr>
                <w:rFonts w:ascii="Calibri" w:hAnsi="Calibri" w:cs="Calibri" w:eastAsia="Calibri"/>
                <w:i/>
                <w:color w:val="auto"/>
                <w:spacing w:val="0"/>
                <w:position w:val="0"/>
                <w:sz w:val="18"/>
                <w:shd w:fill="auto" w:val="clear"/>
              </w:rPr>
              <w:t xml:space="preserve">Directive 2012/27/EU on Energy Efficiency, amending Directives 2009/125/EC and 2010/30/EU and repealing Directives 2004/8/EC and 2006/32/EC</w:t>
            </w:r>
            <w:r>
              <w:rPr>
                <w:rFonts w:ascii="Calibri" w:hAnsi="Calibri" w:cs="Calibri" w:eastAsia="Calibri"/>
                <w:color w:val="auto"/>
                <w:spacing w:val="0"/>
                <w:position w:val="0"/>
                <w:sz w:val="18"/>
                <w:shd w:fill="auto" w:val="clear"/>
              </w:rPr>
              <w:t xml:space="preserve">), oktobar 2012. godine;</w:t>
            </w:r>
          </w:p>
          <w:p>
            <w:pPr>
              <w:numPr>
                <w:ilvl w:val="0"/>
                <w:numId w:val="4249"/>
              </w:numPr>
              <w:spacing w:before="40" w:after="0" w:line="240"/>
              <w:ind w:right="0" w:left="357"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Direktiva o izmjeni Direktive 2010/31/EU o energetskim svojstvima zgrada i Direktive 2012/27/EU o energetskoj efikasnosti (engl. </w:t>
            </w:r>
            <w:r>
              <w:rPr>
                <w:rFonts w:ascii="Calibri" w:hAnsi="Calibri" w:cs="Calibri" w:eastAsia="Calibri"/>
                <w:i/>
                <w:color w:val="auto"/>
                <w:spacing w:val="0"/>
                <w:position w:val="0"/>
                <w:sz w:val="18"/>
                <w:shd w:fill="auto" w:val="clear"/>
              </w:rPr>
              <w:t xml:space="preserve">Directive (EU) 2018/844 amending Directive 2010/31/EU on the energy performance of buildings and Directive 2012/27/EU on energy efficiency</w:t>
            </w:r>
            <w:r>
              <w:rPr>
                <w:rFonts w:ascii="Calibri" w:hAnsi="Calibri" w:cs="Calibri" w:eastAsia="Calibri"/>
                <w:color w:val="auto"/>
                <w:spacing w:val="0"/>
                <w:position w:val="0"/>
                <w:sz w:val="18"/>
                <w:shd w:fill="auto" w:val="clear"/>
              </w:rPr>
              <w:t xml:space="preserve">), maj 2018. godine;</w:t>
            </w:r>
          </w:p>
          <w:p>
            <w:pPr>
              <w:numPr>
                <w:ilvl w:val="0"/>
                <w:numId w:val="4249"/>
              </w:numPr>
              <w:spacing w:before="40" w:after="0" w:line="240"/>
              <w:ind w:right="0" w:left="357"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Direktiva o izmjeni Direktive 2012/27/EU o energetskoj efikasnosti (engl. </w:t>
            </w:r>
            <w:r>
              <w:rPr>
                <w:rFonts w:ascii="Calibri" w:hAnsi="Calibri" w:cs="Calibri" w:eastAsia="Calibri"/>
                <w:i/>
                <w:color w:val="auto"/>
                <w:spacing w:val="0"/>
                <w:position w:val="0"/>
                <w:sz w:val="18"/>
                <w:shd w:fill="auto" w:val="clear"/>
              </w:rPr>
              <w:t xml:space="preserve">Directive (EU)2018/2002 amending Directive 2012/27/EU on Energy Efficiency</w:t>
            </w:r>
            <w:r>
              <w:rPr>
                <w:rFonts w:ascii="Calibri" w:hAnsi="Calibri" w:cs="Calibri" w:eastAsia="Calibri"/>
                <w:color w:val="auto"/>
                <w:spacing w:val="0"/>
                <w:position w:val="0"/>
                <w:sz w:val="18"/>
                <w:shd w:fill="auto" w:val="clear"/>
              </w:rPr>
              <w:t xml:space="preserve">), decembar 2018. godine;</w:t>
            </w:r>
          </w:p>
          <w:p>
            <w:pPr>
              <w:numPr>
                <w:ilvl w:val="0"/>
                <w:numId w:val="4249"/>
              </w:numPr>
              <w:spacing w:before="40" w:after="0" w:line="240"/>
              <w:ind w:right="0" w:left="357"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Direktiva o izmjeni Direktive 2010/31/EU o energetskim performansama zgrada i Direktive 2012/27/EU o energetskoj efikasnosti (engl. </w:t>
            </w:r>
            <w:r>
              <w:rPr>
                <w:rFonts w:ascii="Calibri" w:hAnsi="Calibri" w:cs="Calibri" w:eastAsia="Calibri"/>
                <w:i/>
                <w:color w:val="auto"/>
                <w:spacing w:val="0"/>
                <w:position w:val="0"/>
                <w:sz w:val="18"/>
                <w:shd w:fill="auto" w:val="clear"/>
              </w:rPr>
              <w:t xml:space="preserve">Directive amending Directive 2010/31/EU on the Energy Performance of Buildings and Directive 2012/27/EU on Energy Efficiency</w:t>
            </w:r>
            <w:r>
              <w:rPr>
                <w:rFonts w:ascii="Calibri" w:hAnsi="Calibri" w:cs="Calibri" w:eastAsia="Calibri"/>
                <w:color w:val="auto"/>
                <w:spacing w:val="0"/>
                <w:position w:val="0"/>
                <w:sz w:val="18"/>
                <w:shd w:fill="auto" w:val="clear"/>
              </w:rPr>
              <w:t xml:space="preserve">), may 2018.godine;</w:t>
            </w:r>
          </w:p>
          <w:p>
            <w:pPr>
              <w:numPr>
                <w:ilvl w:val="0"/>
                <w:numId w:val="4249"/>
              </w:numPr>
              <w:spacing w:before="40" w:after="40" w:line="240"/>
              <w:ind w:right="0" w:left="357"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Uredba Evropske komisije 2019/2014 </w:t>
            </w:r>
            <w:r>
              <w:rPr>
                <w:rFonts w:ascii="Calibri" w:hAnsi="Calibri" w:cs="Calibri" w:eastAsia="Calibri"/>
                <w:color w:val="auto"/>
                <w:spacing w:val="0"/>
                <w:position w:val="0"/>
                <w:sz w:val="18"/>
                <w:shd w:fill="auto" w:val="clear"/>
              </w:rPr>
              <w:t xml:space="preserve">оd 11. o</w:t>
            </w:r>
            <w:r>
              <w:rPr>
                <w:rFonts w:ascii="Calibri" w:hAnsi="Calibri" w:cs="Calibri" w:eastAsia="Calibri"/>
                <w:color w:val="auto"/>
                <w:spacing w:val="0"/>
                <w:position w:val="0"/>
                <w:sz w:val="18"/>
                <w:shd w:fill="auto" w:val="clear"/>
              </w:rPr>
              <w:t xml:space="preserve">žujka 2019. o dopuni Uredbe (EU)2017/1369 Europskog parlamenta i Vijeća u pogledu označivanja energetske učinkovitosti kućanskih aparata (perilica rublja i kućanskih perilica, rashladnih uređaja.</w:t>
            </w:r>
          </w:p>
          <w:p>
            <w:pPr>
              <w:spacing w:before="0" w:after="0" w:line="240"/>
              <w:ind w:right="0" w:left="0" w:firstLine="0"/>
              <w:jc w:val="both"/>
              <w:rPr>
                <w:rFonts w:ascii="Calibri" w:hAnsi="Calibri" w:cs="Calibri" w:eastAsia="Calibri"/>
                <w:color w:val="auto"/>
                <w:spacing w:val="0"/>
                <w:position w:val="0"/>
              </w:rPr>
            </w:pPr>
          </w:p>
        </w:tc>
      </w:tr>
    </w:tbl>
    <w:p>
      <w:pPr>
        <w:spacing w:before="60" w:after="0" w:line="240"/>
        <w:ind w:right="0" w:left="0" w:firstLine="0"/>
        <w:jc w:val="both"/>
        <w:rPr>
          <w:rFonts w:ascii="Calibri" w:hAnsi="Calibri" w:cs="Calibri" w:eastAsia="Calibri"/>
          <w:color w:val="auto"/>
          <w:spacing w:val="0"/>
          <w:position w:val="0"/>
          <w:sz w:val="20"/>
          <w:shd w:fill="auto" w:val="clear"/>
        </w:rPr>
      </w:pPr>
    </w:p>
    <w:p>
      <w:pPr>
        <w:numPr>
          <w:ilvl w:val="0"/>
          <w:numId w:val="4254"/>
        </w:numPr>
        <w:spacing w:before="120" w:after="120" w:line="240"/>
        <w:ind w:right="0" w:left="1077" w:hanging="357"/>
        <w:jc w:val="both"/>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Zakonodavni okvir i regulativa Bosne i Hercegovine i Federacije BiH</w:t>
      </w:r>
    </w:p>
    <w:tbl>
      <w:tblPr/>
      <w:tblGrid>
        <w:gridCol w:w="9508"/>
      </w:tblGrid>
      <w:tr>
        <w:trPr>
          <w:trHeight w:val="1" w:hRule="atLeast"/>
          <w:jc w:val="left"/>
        </w:trPr>
        <w:tc>
          <w:tcPr>
            <w:tcW w:w="95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60" w:after="0" w:line="240"/>
              <w:ind w:right="0" w:left="0" w:firstLine="0"/>
              <w:jc w:val="both"/>
              <w:rPr>
                <w:rFonts w:ascii="Calibri" w:hAnsi="Calibri" w:cs="Calibri" w:eastAsia="Calibri"/>
                <w:b/>
                <w:color w:val="auto"/>
                <w:spacing w:val="0"/>
                <w:position w:val="0"/>
                <w:sz w:val="18"/>
                <w:shd w:fill="auto" w:val="clear"/>
              </w:rPr>
            </w:pPr>
            <w:r>
              <w:rPr>
                <w:rFonts w:ascii="Calibri" w:hAnsi="Calibri" w:cs="Calibri" w:eastAsia="Calibri"/>
                <w:b/>
                <w:color w:val="auto"/>
                <w:spacing w:val="0"/>
                <w:position w:val="0"/>
                <w:sz w:val="18"/>
                <w:shd w:fill="auto" w:val="clear"/>
              </w:rPr>
              <w:t xml:space="preserve">Strateški dokumenti  usvojeni od strane Vije</w:t>
            </w:r>
            <w:r>
              <w:rPr>
                <w:rFonts w:ascii="Calibri" w:hAnsi="Calibri" w:cs="Calibri" w:eastAsia="Calibri"/>
                <w:b/>
                <w:color w:val="auto"/>
                <w:spacing w:val="0"/>
                <w:position w:val="0"/>
                <w:sz w:val="18"/>
                <w:shd w:fill="auto" w:val="clear"/>
              </w:rPr>
              <w:t xml:space="preserve">ća  ministara BiH</w:t>
            </w:r>
          </w:p>
          <w:p>
            <w:pPr>
              <w:numPr>
                <w:ilvl w:val="0"/>
                <w:numId w:val="4257"/>
              </w:numPr>
              <w:spacing w:before="0" w:after="0" w:line="240"/>
              <w:ind w:right="0" w:left="357"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Nacionalni plan smanjenja emisija za Bosnu i Hercegovinu (NERP BiH), usvojen 30. decembra 2015.godine;</w:t>
            </w:r>
          </w:p>
          <w:p>
            <w:pPr>
              <w:numPr>
                <w:ilvl w:val="0"/>
                <w:numId w:val="4257"/>
              </w:numPr>
              <w:spacing w:before="0" w:after="0" w:line="240"/>
              <w:ind w:right="0" w:left="357"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Akcioni plan za korištenje obnovljive energije u Bosni i Hercegovini (NREAP BiH),  usvojen 30. marta 2016. godine;</w:t>
            </w:r>
          </w:p>
          <w:p>
            <w:pPr>
              <w:numPr>
                <w:ilvl w:val="0"/>
                <w:numId w:val="4257"/>
              </w:numPr>
              <w:spacing w:before="0" w:after="0" w:line="240"/>
              <w:ind w:right="0" w:left="357"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Okvirna energetska strategija BiH do 2035. godine, usvojena 29.08.2018. godine;</w:t>
            </w:r>
          </w:p>
          <w:p>
            <w:pPr>
              <w:spacing w:before="60" w:after="0" w:line="240"/>
              <w:ind w:right="0" w:left="0" w:firstLine="0"/>
              <w:jc w:val="both"/>
              <w:rPr>
                <w:rFonts w:ascii="Calibri" w:hAnsi="Calibri" w:cs="Calibri" w:eastAsia="Calibri"/>
                <w:b/>
                <w:color w:val="auto"/>
                <w:spacing w:val="0"/>
                <w:position w:val="0"/>
                <w:sz w:val="18"/>
                <w:shd w:fill="auto" w:val="clear"/>
              </w:rPr>
            </w:pPr>
            <w:r>
              <w:rPr>
                <w:rFonts w:ascii="Calibri" w:hAnsi="Calibri" w:cs="Calibri" w:eastAsia="Calibri"/>
                <w:b/>
                <w:color w:val="auto"/>
                <w:spacing w:val="0"/>
                <w:position w:val="0"/>
                <w:sz w:val="18"/>
                <w:shd w:fill="auto" w:val="clear"/>
              </w:rPr>
              <w:t xml:space="preserve">Pravni okvir u Bosni u Hercegovini</w:t>
            </w:r>
          </w:p>
          <w:p>
            <w:pPr>
              <w:numPr>
                <w:ilvl w:val="0"/>
                <w:numId w:val="4259"/>
              </w:numPr>
              <w:spacing w:before="0" w:after="0" w:line="240"/>
              <w:ind w:right="0" w:left="357"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Zakon o prijenosu, regulatoru i operateru sustava elektri</w:t>
            </w:r>
            <w:r>
              <w:rPr>
                <w:rFonts w:ascii="Calibri" w:hAnsi="Calibri" w:cs="Calibri" w:eastAsia="Calibri"/>
                <w:color w:val="auto"/>
                <w:spacing w:val="0"/>
                <w:position w:val="0"/>
                <w:sz w:val="18"/>
                <w:shd w:fill="auto" w:val="clear"/>
              </w:rPr>
              <w:t xml:space="preserve">čne energije u BiH (Sl. glasnik BiH, br. 07/02, 13/03, 76/09; 1711);</w:t>
            </w:r>
          </w:p>
          <w:p>
            <w:pPr>
              <w:numPr>
                <w:ilvl w:val="0"/>
                <w:numId w:val="4259"/>
              </w:numPr>
              <w:spacing w:before="0" w:after="0" w:line="240"/>
              <w:ind w:right="0" w:left="357"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Zakon o osnivanju Kompanije za prijenos elektri</w:t>
            </w:r>
            <w:r>
              <w:rPr>
                <w:rFonts w:ascii="Calibri" w:hAnsi="Calibri" w:cs="Calibri" w:eastAsia="Calibri"/>
                <w:color w:val="auto"/>
                <w:spacing w:val="0"/>
                <w:position w:val="0"/>
                <w:sz w:val="18"/>
                <w:shd w:fill="auto" w:val="clear"/>
              </w:rPr>
              <w:t xml:space="preserve">čne energije u BiH (S. glasnik BiH, br. 35/04, 76/09);</w:t>
            </w:r>
          </w:p>
          <w:p>
            <w:pPr>
              <w:numPr>
                <w:ilvl w:val="0"/>
                <w:numId w:val="4259"/>
              </w:numPr>
              <w:spacing w:before="0" w:after="0" w:line="240"/>
              <w:ind w:right="0" w:left="357"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Zakon o osnivanju Nezavisnog operatera sustava za prijenosni sistem u BiH (Sl. glasnik BiH, br. 35/04);</w:t>
            </w:r>
          </w:p>
          <w:p>
            <w:pPr>
              <w:numPr>
                <w:ilvl w:val="0"/>
                <w:numId w:val="4259"/>
              </w:numPr>
              <w:spacing w:before="0" w:after="0" w:line="240"/>
              <w:ind w:right="0" w:left="357"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Tipologija stambenih zgrada Bosne i Hercegovine , 2016.god.;</w:t>
            </w:r>
          </w:p>
          <w:p>
            <w:pPr>
              <w:numPr>
                <w:ilvl w:val="0"/>
                <w:numId w:val="4259"/>
              </w:numPr>
              <w:spacing w:before="0" w:after="0" w:line="240"/>
              <w:ind w:right="0" w:left="357"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Tipologija javnih zgrada u Bosni i Hercegovini, 2018.god..</w:t>
            </w:r>
          </w:p>
          <w:p>
            <w:pPr>
              <w:spacing w:before="60" w:after="0" w:line="240"/>
              <w:ind w:right="0" w:left="0" w:firstLine="0"/>
              <w:jc w:val="both"/>
              <w:rPr>
                <w:rFonts w:ascii="Calibri" w:hAnsi="Calibri" w:cs="Calibri" w:eastAsia="Calibri"/>
                <w:b/>
                <w:color w:val="auto"/>
                <w:spacing w:val="0"/>
                <w:position w:val="0"/>
                <w:sz w:val="18"/>
                <w:shd w:fill="auto" w:val="clear"/>
              </w:rPr>
            </w:pPr>
            <w:r>
              <w:rPr>
                <w:rFonts w:ascii="Calibri" w:hAnsi="Calibri" w:cs="Calibri" w:eastAsia="Calibri"/>
                <w:b/>
                <w:color w:val="auto"/>
                <w:spacing w:val="0"/>
                <w:position w:val="0"/>
                <w:sz w:val="18"/>
                <w:shd w:fill="auto" w:val="clear"/>
              </w:rPr>
              <w:t xml:space="preserve">Pravni okvir u Federaciji Bosne i Hercegovine (FBiH)</w:t>
            </w:r>
          </w:p>
          <w:p>
            <w:pPr>
              <w:numPr>
                <w:ilvl w:val="0"/>
                <w:numId w:val="4261"/>
              </w:numPr>
              <w:spacing w:before="0" w:after="0" w:line="240"/>
              <w:ind w:right="0" w:left="357"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Zakon o elektri</w:t>
            </w:r>
            <w:r>
              <w:rPr>
                <w:rFonts w:ascii="Calibri" w:hAnsi="Calibri" w:cs="Calibri" w:eastAsia="Calibri"/>
                <w:color w:val="auto"/>
                <w:spacing w:val="0"/>
                <w:position w:val="0"/>
                <w:sz w:val="18"/>
                <w:shd w:fill="auto" w:val="clear"/>
              </w:rPr>
              <w:t xml:space="preserve">čnoj energiji  (Sl. novine FBiH, br. 66/13, 94/15, 54/19); </w:t>
            </w:r>
          </w:p>
          <w:p>
            <w:pPr>
              <w:numPr>
                <w:ilvl w:val="0"/>
                <w:numId w:val="4261"/>
              </w:numPr>
              <w:spacing w:before="0" w:after="0" w:line="240"/>
              <w:ind w:right="0" w:left="357"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Zakon o korištenju obnovljivih izvora energije i efikasne kogeneracije (Sl. novine FBiH, br. 70/13, 5/14);</w:t>
            </w:r>
          </w:p>
          <w:p>
            <w:pPr>
              <w:numPr>
                <w:ilvl w:val="0"/>
                <w:numId w:val="4261"/>
              </w:numPr>
              <w:spacing w:before="0" w:after="0" w:line="240"/>
              <w:ind w:right="0" w:left="357"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Zakon o naftnim derivatima (Sl. novine FBiH, br. 52/14);</w:t>
            </w:r>
          </w:p>
          <w:p>
            <w:pPr>
              <w:numPr>
                <w:ilvl w:val="0"/>
                <w:numId w:val="4261"/>
              </w:numPr>
              <w:spacing w:before="0" w:after="0" w:line="240"/>
              <w:ind w:right="0" w:left="357"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Zakon o energijskoj efikasnosti u Federaciji BiH (Sl. novine FBiH, br. 22/17);</w:t>
            </w:r>
          </w:p>
          <w:p>
            <w:pPr>
              <w:numPr>
                <w:ilvl w:val="0"/>
                <w:numId w:val="4261"/>
              </w:numPr>
              <w:spacing w:before="0" w:after="0" w:line="240"/>
              <w:ind w:right="0" w:left="357"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Pravilnik o minimalnim zahtjevima za energijskim karakteristikama zgrada (Sl. novine FBiH, br. 81/19);</w:t>
            </w:r>
          </w:p>
          <w:p>
            <w:pPr>
              <w:numPr>
                <w:ilvl w:val="0"/>
                <w:numId w:val="4261"/>
              </w:numPr>
              <w:spacing w:before="0" w:after="0" w:line="240"/>
              <w:ind w:right="0" w:left="357"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Prilozi pravilnika o minimalnim zahtjevima za energijskim karakteristikama zgrada (Sl. novine FBiH, br. 85/19);</w:t>
            </w:r>
          </w:p>
          <w:p>
            <w:pPr>
              <w:numPr>
                <w:ilvl w:val="0"/>
                <w:numId w:val="4261"/>
              </w:numPr>
              <w:spacing w:before="0" w:after="0" w:line="240"/>
              <w:ind w:right="0" w:left="357"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Uredba o provo</w:t>
            </w:r>
            <w:r>
              <w:rPr>
                <w:rFonts w:ascii="Calibri" w:hAnsi="Calibri" w:cs="Calibri" w:eastAsia="Calibri"/>
                <w:color w:val="auto"/>
                <w:spacing w:val="0"/>
                <w:position w:val="0"/>
                <w:sz w:val="18"/>
                <w:shd w:fill="auto" w:val="clear"/>
              </w:rPr>
              <w:t xml:space="preserve">đenju energijskih audita i izdavanju energijskog certifikata (Sl. novine FBiH, br. 87/18);</w:t>
            </w:r>
          </w:p>
          <w:p>
            <w:pPr>
              <w:numPr>
                <w:ilvl w:val="0"/>
                <w:numId w:val="4261"/>
              </w:numPr>
              <w:spacing w:before="0" w:after="0" w:line="240"/>
              <w:ind w:right="0" w:left="357"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Uredba o uslovima za davanje i oduzimanje ovlaštenja za obavljanje energijskih audita i energijsko certificiranje zgrada (Sl. novine FBiH, br. 87/18);</w:t>
            </w:r>
          </w:p>
          <w:p>
            <w:pPr>
              <w:numPr>
                <w:ilvl w:val="0"/>
                <w:numId w:val="4261"/>
              </w:numPr>
              <w:spacing w:before="0" w:after="0" w:line="240"/>
              <w:ind w:right="0" w:left="357"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Pravilnik o informacionom sistemu energijske efikasnosti Federacije BiH, uklj. Metodologiju za mjerenje i verifikaciju ušteda energije metodom odozdo prema gore (Sl. novine FBiH, br. 02/19).</w:t>
            </w:r>
          </w:p>
          <w:p>
            <w:pPr>
              <w:spacing w:before="60" w:after="0" w:line="240"/>
              <w:ind w:right="0" w:left="0" w:firstLine="0"/>
              <w:jc w:val="both"/>
              <w:rPr>
                <w:rFonts w:ascii="Calibri" w:hAnsi="Calibri" w:cs="Calibri" w:eastAsia="Calibri"/>
                <w:b/>
                <w:color w:val="auto"/>
                <w:spacing w:val="0"/>
                <w:position w:val="0"/>
                <w:sz w:val="18"/>
                <w:shd w:fill="auto" w:val="clear"/>
              </w:rPr>
            </w:pPr>
            <w:r>
              <w:rPr>
                <w:rFonts w:ascii="Calibri" w:hAnsi="Calibri" w:cs="Calibri" w:eastAsia="Calibri"/>
                <w:b/>
                <w:color w:val="auto"/>
                <w:spacing w:val="0"/>
                <w:position w:val="0"/>
                <w:sz w:val="18"/>
                <w:shd w:fill="auto" w:val="clear"/>
              </w:rPr>
              <w:t xml:space="preserve">Pravni okvir u Tuzlanskom kantonu</w:t>
            </w:r>
          </w:p>
          <w:p>
            <w:pPr>
              <w:numPr>
                <w:ilvl w:val="0"/>
                <w:numId w:val="4263"/>
              </w:numPr>
              <w:spacing w:before="0" w:after="120" w:line="240"/>
              <w:ind w:right="0" w:left="357" w:hanging="357"/>
              <w:jc w:val="both"/>
              <w:rPr>
                <w:rFonts w:ascii="Calibri" w:hAnsi="Calibri" w:cs="Calibri" w:eastAsia="Calibri"/>
                <w:spacing w:val="0"/>
                <w:position w:val="0"/>
              </w:rPr>
            </w:pPr>
            <w:r>
              <w:rPr>
                <w:rFonts w:ascii="Calibri" w:hAnsi="Calibri" w:cs="Calibri" w:eastAsia="Calibri"/>
                <w:color w:val="000000"/>
                <w:spacing w:val="0"/>
                <w:position w:val="0"/>
                <w:sz w:val="18"/>
                <w:shd w:fill="FFFFFF" w:val="clear"/>
              </w:rPr>
              <w:t xml:space="preserve">Zakon o prostornom ure</w:t>
            </w:r>
            <w:r>
              <w:rPr>
                <w:rFonts w:ascii="Calibri" w:hAnsi="Calibri" w:cs="Calibri" w:eastAsia="Calibri"/>
                <w:color w:val="000000"/>
                <w:spacing w:val="0"/>
                <w:position w:val="0"/>
                <w:sz w:val="18"/>
                <w:shd w:fill="FFFFFF" w:val="clear"/>
              </w:rPr>
              <w:t xml:space="preserve">đenju i građenju TK (Sl. novine TK, br. 06/11, 04/13, 15/13, 02/16)</w:t>
            </w:r>
          </w:p>
        </w:tc>
      </w:tr>
    </w:tbl>
    <w:p>
      <w:pPr>
        <w:numPr>
          <w:ilvl w:val="0"/>
          <w:numId w:val="4263"/>
        </w:numPr>
        <w:spacing w:before="120" w:after="120" w:line="240"/>
        <w:ind w:right="0" w:left="1077" w:hanging="357"/>
        <w:jc w:val="both"/>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Strateški dokumenti Op</w:t>
      </w:r>
      <w:r>
        <w:rPr>
          <w:rFonts w:ascii="Calibri" w:hAnsi="Calibri" w:cs="Calibri" w:eastAsia="Calibri"/>
          <w:b/>
          <w:color w:val="auto"/>
          <w:spacing w:val="0"/>
          <w:position w:val="0"/>
          <w:sz w:val="22"/>
          <w:shd w:fill="auto" w:val="clear"/>
        </w:rPr>
        <w:t xml:space="preserve">ćine Doboj Istok</w:t>
      </w:r>
    </w:p>
    <w:tbl>
      <w:tblPr/>
      <w:tblGrid>
        <w:gridCol w:w="9508"/>
      </w:tblGrid>
      <w:tr>
        <w:trPr>
          <w:trHeight w:val="1" w:hRule="atLeast"/>
          <w:jc w:val="left"/>
        </w:trPr>
        <w:tc>
          <w:tcPr>
            <w:tcW w:w="95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4263"/>
              </w:numPr>
              <w:spacing w:before="40" w:after="0" w:line="240"/>
              <w:ind w:right="0" w:left="357" w:hanging="357"/>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Strategija integriranog razvoja Op</w:t>
            </w:r>
            <w:r>
              <w:rPr>
                <w:rFonts w:ascii="Calibri" w:hAnsi="Calibri" w:cs="Calibri" w:eastAsia="Calibri"/>
                <w:color w:val="auto"/>
                <w:spacing w:val="0"/>
                <w:position w:val="0"/>
                <w:sz w:val="18"/>
                <w:shd w:fill="auto" w:val="clear"/>
              </w:rPr>
              <w:t xml:space="preserve">ćine Doboj Istok 2011-2020; </w:t>
            </w:r>
          </w:p>
        </w:tc>
      </w:tr>
    </w:tbl>
    <w:p>
      <w:pPr>
        <w:numPr>
          <w:ilvl w:val="0"/>
          <w:numId w:val="4263"/>
        </w:numPr>
        <w:spacing w:before="120" w:after="120" w:line="240"/>
        <w:ind w:right="0" w:left="1077" w:hanging="357"/>
        <w:jc w:val="both"/>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Zakonski okviri i strateške podloge za klimatsko planiranje EU, BiH i FBiH</w:t>
      </w:r>
    </w:p>
    <w:tbl>
      <w:tblPr/>
      <w:tblGrid>
        <w:gridCol w:w="9508"/>
      </w:tblGrid>
      <w:tr>
        <w:trPr>
          <w:trHeight w:val="1" w:hRule="atLeast"/>
          <w:jc w:val="left"/>
        </w:trPr>
        <w:tc>
          <w:tcPr>
            <w:tcW w:w="95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4263"/>
              </w:numPr>
              <w:spacing w:before="40" w:after="0" w:line="240"/>
              <w:ind w:right="0" w:left="357"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Strategija prilago</w:t>
            </w:r>
            <w:r>
              <w:rPr>
                <w:rFonts w:ascii="Calibri" w:hAnsi="Calibri" w:cs="Calibri" w:eastAsia="Calibri"/>
                <w:color w:val="auto"/>
                <w:spacing w:val="0"/>
                <w:position w:val="0"/>
                <w:sz w:val="18"/>
                <w:shd w:fill="auto" w:val="clear"/>
              </w:rPr>
              <w:t xml:space="preserve">đavanja klimatskim promjenama Evropske Unije;</w:t>
            </w:r>
          </w:p>
          <w:p>
            <w:pPr>
              <w:numPr>
                <w:ilvl w:val="0"/>
                <w:numId w:val="4263"/>
              </w:numPr>
              <w:spacing w:before="40" w:after="0" w:line="240"/>
              <w:ind w:right="0" w:left="357"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Konvencija Ujedinjenih naroda o promjeni klime (engl. United Nations Framework Convention on Climate Change, UNFCCC);</w:t>
            </w:r>
          </w:p>
          <w:p>
            <w:pPr>
              <w:numPr>
                <w:ilvl w:val="0"/>
                <w:numId w:val="4263"/>
              </w:numPr>
              <w:spacing w:before="40" w:after="0" w:line="240"/>
              <w:ind w:right="0" w:left="357"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Pariški sporazum o klimatskim promjenama koji je na snazi od 4. novembra 2016. godine, potvr</w:t>
            </w:r>
            <w:r>
              <w:rPr>
                <w:rFonts w:ascii="Calibri" w:hAnsi="Calibri" w:cs="Calibri" w:eastAsia="Calibri"/>
                <w:color w:val="auto"/>
                <w:spacing w:val="0"/>
                <w:position w:val="0"/>
                <w:sz w:val="18"/>
                <w:shd w:fill="auto" w:val="clear"/>
              </w:rPr>
              <w:t xml:space="preserve">đen od strane Europske unije 5. oktobra 2016. godine; Odluka Predsjedništva BiH o ratifikaciji je objavljena u Sl. glasniku BiH, br. 1/17);</w:t>
            </w:r>
          </w:p>
          <w:p>
            <w:pPr>
              <w:numPr>
                <w:ilvl w:val="0"/>
                <w:numId w:val="4263"/>
              </w:numPr>
              <w:spacing w:before="40" w:after="0" w:line="240"/>
              <w:ind w:right="0" w:left="357"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13. Globalni cilj održivog razvoja usvojen od strane UN-a u okviru Agende za održivi razvoj 2030 kao dio 17 novih Ciljeva održivog razvoja (eng. Sustainble Development Goals - SDGs);</w:t>
            </w:r>
          </w:p>
          <w:p>
            <w:pPr>
              <w:numPr>
                <w:ilvl w:val="0"/>
                <w:numId w:val="4263"/>
              </w:numPr>
              <w:spacing w:before="40" w:after="0" w:line="240"/>
              <w:ind w:right="0" w:left="357"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Strategija upravljanja vodama Federacije BiH 2010 - 2022. god.;</w:t>
            </w:r>
          </w:p>
          <w:p>
            <w:pPr>
              <w:numPr>
                <w:ilvl w:val="0"/>
                <w:numId w:val="4263"/>
              </w:numPr>
              <w:spacing w:before="40" w:after="0" w:line="240"/>
              <w:ind w:right="0" w:left="357"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Zakon o zaštiti okoliša Federacije BiH (Sl. novine FBiH, br. 33/03);</w:t>
            </w:r>
          </w:p>
          <w:p>
            <w:pPr>
              <w:numPr>
                <w:ilvl w:val="0"/>
                <w:numId w:val="4263"/>
              </w:numPr>
              <w:spacing w:before="40" w:after="0" w:line="240"/>
              <w:ind w:right="0" w:left="357"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Zakon o Fondu za zaštitu okoliša Federacije BiH (Sl. novine FBiH, br. 33/03);</w:t>
            </w:r>
          </w:p>
          <w:p>
            <w:pPr>
              <w:numPr>
                <w:ilvl w:val="0"/>
                <w:numId w:val="4263"/>
              </w:numPr>
              <w:spacing w:before="40" w:after="0" w:line="240"/>
              <w:ind w:right="0" w:left="357"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Zakon o vodama Federacije BiH (Sl. novine FBiH, br. 70/06);</w:t>
            </w:r>
          </w:p>
          <w:p>
            <w:pPr>
              <w:numPr>
                <w:ilvl w:val="0"/>
                <w:numId w:val="4263"/>
              </w:numPr>
              <w:spacing w:before="40" w:after="0" w:line="240"/>
              <w:ind w:right="0" w:left="357"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Zakon o zaštiti prirode Federacije BiH (Sl. novine FBiH, br. 66/13);</w:t>
            </w:r>
          </w:p>
          <w:p>
            <w:pPr>
              <w:numPr>
                <w:ilvl w:val="0"/>
                <w:numId w:val="4263"/>
              </w:numPr>
              <w:spacing w:before="40" w:after="0" w:line="240"/>
              <w:ind w:right="0" w:left="357"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Zakon o upravljanju otpadom Federacije BiH (Sl. novine FBiH, br. 33/03);</w:t>
            </w:r>
          </w:p>
          <w:p>
            <w:pPr>
              <w:numPr>
                <w:ilvl w:val="0"/>
                <w:numId w:val="4263"/>
              </w:numPr>
              <w:spacing w:before="40" w:after="0" w:line="240"/>
              <w:ind w:right="0" w:left="357"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Zakon o izmjenama i dopunama Zakona o upravljanju otpadom Federacije BiH ( Sl. novine FBiH, br. 72/09);</w:t>
            </w:r>
          </w:p>
          <w:p>
            <w:pPr>
              <w:numPr>
                <w:ilvl w:val="0"/>
                <w:numId w:val="4263"/>
              </w:numPr>
              <w:spacing w:before="40" w:after="0" w:line="240"/>
              <w:ind w:right="0" w:left="357"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Zakon o izmjenama i dopunama Zakona o upravljanju otpadom Federacije BiH (Sl. novine FBiH, br. 92/17);</w:t>
            </w:r>
          </w:p>
          <w:p>
            <w:pPr>
              <w:numPr>
                <w:ilvl w:val="0"/>
                <w:numId w:val="4263"/>
              </w:numPr>
              <w:spacing w:before="40" w:after="0" w:line="240"/>
              <w:ind w:right="0" w:left="357"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Zakon o zaštiti zraka  Federacije BiH (Sl. novine FBiH, br. 33/03);</w:t>
            </w:r>
          </w:p>
          <w:p>
            <w:pPr>
              <w:numPr>
                <w:ilvl w:val="0"/>
                <w:numId w:val="4263"/>
              </w:numPr>
              <w:spacing w:before="40" w:after="0" w:line="240"/>
              <w:ind w:right="0" w:left="357"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Zakon o izmjenama i dopunama Zakona o zaštiti zraka Federacije BiH (Sl. novine FBiH, br. 4/10);</w:t>
            </w:r>
          </w:p>
          <w:p>
            <w:pPr>
              <w:numPr>
                <w:ilvl w:val="0"/>
                <w:numId w:val="4263"/>
              </w:numPr>
              <w:spacing w:before="40" w:after="0" w:line="240"/>
              <w:ind w:right="0" w:left="357"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Zakon od zaštiti od buke FBiH (Sl. novine FBiH, br. 110/12);</w:t>
            </w:r>
          </w:p>
          <w:p>
            <w:pPr>
              <w:numPr>
                <w:ilvl w:val="0"/>
                <w:numId w:val="4263"/>
              </w:numPr>
              <w:spacing w:before="40" w:after="0" w:line="240"/>
              <w:ind w:right="0" w:left="357" w:hanging="357"/>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Zakon o prostornom planiranju i korištenju zemljišta na nivou Federacije BiH  (Sl. novine FBiH”, br. 2/06,  72/07, 32/08, 4/10, 13/10 i 45/10 );</w:t>
            </w:r>
          </w:p>
          <w:p>
            <w:pPr>
              <w:numPr>
                <w:ilvl w:val="0"/>
                <w:numId w:val="4263"/>
              </w:numPr>
              <w:spacing w:before="40" w:after="40" w:line="240"/>
              <w:ind w:right="0" w:left="357" w:hanging="357"/>
              <w:jc w:val="both"/>
              <w:rPr>
                <w:rFonts w:ascii="Calibri" w:hAnsi="Calibri" w:cs="Calibri" w:eastAsia="Calibri"/>
                <w:color w:val="auto"/>
                <w:spacing w:val="0"/>
                <w:position w:val="0"/>
              </w:rPr>
            </w:pPr>
            <w:r>
              <w:rPr>
                <w:rFonts w:ascii="Calibri" w:hAnsi="Calibri" w:cs="Calibri" w:eastAsia="Calibri"/>
                <w:color w:val="auto"/>
                <w:spacing w:val="0"/>
                <w:position w:val="0"/>
                <w:sz w:val="18"/>
                <w:shd w:fill="auto" w:val="clear"/>
              </w:rPr>
              <w:t xml:space="preserve">Zakon o gra</w:t>
            </w:r>
            <w:r>
              <w:rPr>
                <w:rFonts w:ascii="Calibri" w:hAnsi="Calibri" w:cs="Calibri" w:eastAsia="Calibri"/>
                <w:color w:val="auto"/>
                <w:spacing w:val="0"/>
                <w:position w:val="0"/>
                <w:sz w:val="18"/>
                <w:shd w:fill="auto" w:val="clear"/>
              </w:rPr>
              <w:t xml:space="preserve">đenju Federacije BiH (Sl. novine FBiH, br. 55/2)</w:t>
            </w:r>
          </w:p>
        </w:tc>
      </w:tr>
    </w:tbl>
    <w:p>
      <w:pPr>
        <w:keepNext w:val="true"/>
        <w:keepLines w:val="true"/>
        <w:numPr>
          <w:ilvl w:val="0"/>
          <w:numId w:val="4263"/>
        </w:numPr>
        <w:spacing w:before="360" w:after="0" w:line="240"/>
        <w:ind w:right="0" w:left="431" w:hanging="431"/>
        <w:jc w:val="both"/>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ZAKLJU</w:t>
      </w:r>
      <w:r>
        <w:rPr>
          <w:rFonts w:ascii="Calibri" w:hAnsi="Calibri" w:cs="Calibri" w:eastAsia="Calibri"/>
          <w:b/>
          <w:color w:val="auto"/>
          <w:spacing w:val="0"/>
          <w:position w:val="0"/>
          <w:sz w:val="28"/>
          <w:shd w:fill="auto" w:val="clear"/>
        </w:rPr>
        <w:t xml:space="preserve">ČAK</w:t>
      </w:r>
    </w:p>
    <w:p>
      <w:pPr>
        <w:spacing w:before="120" w:after="0" w:line="240"/>
        <w:ind w:right="0" w:left="0" w:firstLine="0"/>
        <w:jc w:val="both"/>
        <w:rPr>
          <w:rFonts w:ascii="Calibri" w:hAnsi="Calibri" w:cs="Calibri" w:eastAsia="Calibri"/>
          <w:b/>
          <w:color w:val="auto"/>
          <w:spacing w:val="0"/>
          <w:position w:val="0"/>
          <w:sz w:val="20"/>
          <w:shd w:fill="FFFF00" w:val="clear"/>
        </w:rPr>
      </w:pPr>
      <w:r>
        <w:rPr>
          <w:rFonts w:ascii="Calibri" w:hAnsi="Calibri" w:cs="Calibri" w:eastAsia="Calibri"/>
          <w:color w:val="auto"/>
          <w:spacing w:val="0"/>
          <w:position w:val="0"/>
          <w:sz w:val="20"/>
          <w:shd w:fill="auto" w:val="clear"/>
        </w:rPr>
        <w:t xml:space="preserve">Imaju</w:t>
      </w:r>
      <w:r>
        <w:rPr>
          <w:rFonts w:ascii="Calibri" w:hAnsi="Calibri" w:cs="Calibri" w:eastAsia="Calibri"/>
          <w:color w:val="auto"/>
          <w:spacing w:val="0"/>
          <w:position w:val="0"/>
          <w:sz w:val="20"/>
          <w:shd w:fill="auto" w:val="clear"/>
        </w:rPr>
        <w:t xml:space="preserve">ći u vidu najveće klimatske i energetske probleme sa kojima se općine Doboj Istok suočava, u ovom Akcionom planu, kojim se po prvi put objedinjuju oblasti ublažavanja klimatskih promjena i prilagođavanje njihovim posljedicama, utvrđena je dugoročna vizija održive budućnosti općine. Doboj Istok će </w:t>
      </w:r>
      <w:r>
        <w:rPr>
          <w:rFonts w:ascii="Calibri" w:hAnsi="Calibri" w:cs="Calibri" w:eastAsia="Calibri"/>
          <w:b/>
          <w:color w:val="auto"/>
          <w:spacing w:val="0"/>
          <w:position w:val="0"/>
          <w:sz w:val="20"/>
          <w:shd w:fill="auto" w:val="clear"/>
        </w:rPr>
        <w:t xml:space="preserve">u 2050. godini postati općina energetski održivog razvoja i zdravog okoliša u kojoj se ne koristi ugalj za zagrijavanje zgrada, te općina koja nije ugrožena poplavama, sposobna da se prilagodi i ostalim posljedicama klimatskih promjena. </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Ciljevi postavljeni u ovom Akcionim planom, koji trasiraju put ka ostvarenju vizije, i koji su uskla</w:t>
      </w:r>
      <w:r>
        <w:rPr>
          <w:rFonts w:ascii="Calibri" w:hAnsi="Calibri" w:cs="Calibri" w:eastAsia="Calibri"/>
          <w:color w:val="auto"/>
          <w:spacing w:val="0"/>
          <w:position w:val="0"/>
          <w:sz w:val="20"/>
          <w:shd w:fill="auto" w:val="clear"/>
        </w:rPr>
        <w:t xml:space="preserve">đeni sa ostalim strateškim razvojnim ciljevima općine Doboj Istok, su: </w:t>
      </w:r>
    </w:p>
    <w:p>
      <w:pPr>
        <w:numPr>
          <w:ilvl w:val="0"/>
          <w:numId w:val="4277"/>
        </w:numPr>
        <w:spacing w:before="60" w:after="0" w:line="240"/>
        <w:ind w:right="0" w:left="720" w:hanging="360"/>
        <w:jc w:val="both"/>
        <w:rPr>
          <w:rFonts w:ascii="Calibri" w:hAnsi="Calibri" w:cs="Calibri" w:eastAsia="Calibri"/>
          <w:b/>
          <w:color w:val="auto"/>
          <w:spacing w:val="0"/>
          <w:position w:val="0"/>
          <w:sz w:val="20"/>
          <w:shd w:fill="auto" w:val="clear"/>
        </w:rPr>
      </w:pPr>
      <w:r>
        <w:rPr>
          <w:rFonts w:ascii="Calibri" w:hAnsi="Calibri" w:cs="Calibri" w:eastAsia="Calibri"/>
          <w:b/>
          <w:color w:val="auto"/>
          <w:spacing w:val="0"/>
          <w:position w:val="0"/>
          <w:sz w:val="20"/>
          <w:shd w:fill="auto" w:val="clear"/>
        </w:rPr>
        <w:t xml:space="preserve">smanjenje emisija CO</w:t>
      </w:r>
      <w:r>
        <w:rPr>
          <w:rFonts w:ascii="Calibri" w:hAnsi="Calibri" w:cs="Calibri" w:eastAsia="Calibri"/>
          <w:b/>
          <w:color w:val="auto"/>
          <w:spacing w:val="0"/>
          <w:position w:val="0"/>
          <w:sz w:val="20"/>
          <w:shd w:fill="auto" w:val="clear"/>
          <w:vertAlign w:val="subscript"/>
        </w:rPr>
        <w:t xml:space="preserve">2</w:t>
      </w:r>
      <w:r>
        <w:rPr>
          <w:rFonts w:ascii="Calibri" w:hAnsi="Calibri" w:cs="Calibri" w:eastAsia="Calibri"/>
          <w:b/>
          <w:color w:val="auto"/>
          <w:spacing w:val="0"/>
          <w:position w:val="0"/>
          <w:sz w:val="20"/>
          <w:shd w:fill="auto" w:val="clear"/>
        </w:rPr>
        <w:t xml:space="preserve"> za najmanje 40% do 2030. godine u odnosu na bazni inventar iz 2010. godine; </w:t>
      </w:r>
      <w:r>
        <w:rPr>
          <w:rFonts w:ascii="Calibri" w:hAnsi="Calibri" w:cs="Calibri" w:eastAsia="Calibri"/>
          <w:color w:val="auto"/>
          <w:spacing w:val="0"/>
          <w:position w:val="0"/>
          <w:sz w:val="20"/>
          <w:shd w:fill="auto" w:val="clear"/>
        </w:rPr>
        <w:t xml:space="preserve">i</w:t>
      </w:r>
    </w:p>
    <w:p>
      <w:pPr>
        <w:numPr>
          <w:ilvl w:val="0"/>
          <w:numId w:val="4277"/>
        </w:numPr>
        <w:spacing w:before="0" w:after="0" w:line="276"/>
        <w:ind w:right="0" w:left="720" w:hanging="360"/>
        <w:jc w:val="both"/>
        <w:rPr>
          <w:rFonts w:ascii="Calibri" w:hAnsi="Calibri" w:cs="Calibri" w:eastAsia="Calibri"/>
          <w:b/>
          <w:color w:val="auto"/>
          <w:spacing w:val="0"/>
          <w:position w:val="0"/>
          <w:sz w:val="20"/>
          <w:shd w:fill="auto" w:val="clear"/>
        </w:rPr>
      </w:pPr>
      <w:r>
        <w:rPr>
          <w:rFonts w:ascii="Calibri" w:hAnsi="Calibri" w:cs="Calibri" w:eastAsia="Calibri"/>
          <w:b/>
          <w:color w:val="auto"/>
          <w:spacing w:val="0"/>
          <w:position w:val="0"/>
          <w:sz w:val="20"/>
          <w:shd w:fill="auto" w:val="clear"/>
        </w:rPr>
        <w:t xml:space="preserve">smanjen broj nesre</w:t>
      </w:r>
      <w:r>
        <w:rPr>
          <w:rFonts w:ascii="Calibri" w:hAnsi="Calibri" w:cs="Calibri" w:eastAsia="Calibri"/>
          <w:b/>
          <w:color w:val="auto"/>
          <w:spacing w:val="0"/>
          <w:position w:val="0"/>
          <w:sz w:val="20"/>
          <w:shd w:fill="auto" w:val="clear"/>
        </w:rPr>
        <w:t xml:space="preserve">ća koje ugrožavaju život i zdravlje ljudi te dovode do velikih materijalnih šteta usljed elementarnih i drugih nepogoda za 80% do 2030. godine.</w:t>
      </w:r>
    </w:p>
    <w:p>
      <w:pPr>
        <w:spacing w:before="60" w:after="0" w:line="240"/>
        <w:ind w:right="0" w:left="0" w:firstLine="0"/>
        <w:jc w:val="both"/>
        <w:rPr>
          <w:rFonts w:ascii="Calibri" w:hAnsi="Calibri" w:cs="Calibri" w:eastAsia="Calibri"/>
          <w:color w:val="auto"/>
          <w:spacing w:val="0"/>
          <w:position w:val="0"/>
          <w:sz w:val="20"/>
          <w:shd w:fill="FFFF00" w:val="clear"/>
        </w:rPr>
      </w:pPr>
      <w:r>
        <w:rPr>
          <w:rFonts w:ascii="Calibri" w:hAnsi="Calibri" w:cs="Calibri" w:eastAsia="Calibri"/>
          <w:color w:val="auto"/>
          <w:spacing w:val="0"/>
          <w:position w:val="0"/>
          <w:sz w:val="20"/>
          <w:shd w:fill="auto" w:val="clear"/>
        </w:rPr>
        <w:t xml:space="preserve">Pore</w:t>
      </w:r>
      <w:r>
        <w:rPr>
          <w:rFonts w:ascii="Calibri" w:hAnsi="Calibri" w:cs="Calibri" w:eastAsia="Calibri"/>
          <w:color w:val="auto"/>
          <w:spacing w:val="0"/>
          <w:position w:val="0"/>
          <w:sz w:val="20"/>
          <w:shd w:fill="auto" w:val="clear"/>
        </w:rPr>
        <w:t xml:space="preserve">đenje emisija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iz baznog i kontrolnog inventara jasno pokazuje da su u periodu od bazne 2010. do kontrolne 2020. godine na području općine Doboj Istok uloženi značajni napori na smanjenju potrošnje energije u svim razmatranim sektorima, a time i na smanjenju emisija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Provedeni proračuni i analize takođe pokazuju da su postavljeni ciljevi realni, te da ih Općina Doboj Istok može bez problema dostići realizacijom planiranih mjera. Za dostizanje prvog cilja, Akcionim planom je predviđena realizacija 9 mjera usmjerenih na smanjenje potrošnje energije te na smanjenje pripadajućih emisija CO</w:t>
      </w:r>
      <w:r>
        <w:rPr>
          <w:rFonts w:ascii="Calibri" w:hAnsi="Calibri" w:cs="Calibri" w:eastAsia="Calibri"/>
          <w:color w:val="auto"/>
          <w:spacing w:val="0"/>
          <w:position w:val="0"/>
          <w:sz w:val="20"/>
          <w:shd w:fill="auto" w:val="clear"/>
          <w:vertAlign w:val="subscript"/>
        </w:rPr>
        <w:t xml:space="preserve">2</w:t>
      </w:r>
      <w:r>
        <w:rPr>
          <w:rFonts w:ascii="Calibri" w:hAnsi="Calibri" w:cs="Calibri" w:eastAsia="Calibri"/>
          <w:color w:val="auto"/>
          <w:spacing w:val="0"/>
          <w:position w:val="0"/>
          <w:sz w:val="20"/>
          <w:shd w:fill="auto" w:val="clear"/>
        </w:rPr>
        <w:t xml:space="preserve"> iz svih razmatranih sektora finalne energetske potrošnje. Za dostizanje drugog cilja, Akcionim planom je predviđena realizacija 17 mjera usmjerenih na jačanje kapaciteta općine za prilagođavanje postojećim i budućim posljedicama klimatskih promjena. </w:t>
      </w:r>
    </w:p>
    <w:p>
      <w:pPr>
        <w:spacing w:before="60" w:after="0" w:line="240"/>
        <w:ind w:right="0" w:left="0" w:firstLine="0"/>
        <w:jc w:val="both"/>
        <w:rPr>
          <w:rFonts w:ascii="Calibri" w:hAnsi="Calibri" w:cs="Calibri" w:eastAsia="Calibri"/>
          <w:color w:val="auto"/>
          <w:spacing w:val="0"/>
          <w:position w:val="0"/>
          <w:sz w:val="20"/>
          <w:shd w:fill="FFFF00" w:val="clear"/>
        </w:rPr>
      </w:pPr>
      <w:r>
        <w:rPr>
          <w:rFonts w:ascii="Calibri" w:hAnsi="Calibri" w:cs="Calibri" w:eastAsia="Calibri"/>
          <w:color w:val="auto"/>
          <w:spacing w:val="0"/>
          <w:position w:val="0"/>
          <w:sz w:val="20"/>
          <w:shd w:fill="auto" w:val="clear"/>
        </w:rPr>
        <w:t xml:space="preserve">Uspostava odgovaraju</w:t>
      </w:r>
      <w:r>
        <w:rPr>
          <w:rFonts w:ascii="Calibri" w:hAnsi="Calibri" w:cs="Calibri" w:eastAsia="Calibri"/>
          <w:color w:val="auto"/>
          <w:spacing w:val="0"/>
          <w:position w:val="0"/>
          <w:sz w:val="20"/>
          <w:shd w:fill="auto" w:val="clear"/>
        </w:rPr>
        <w:t xml:space="preserve">ćeg institucionalnog mehanizma za provođenje, praćenje i kontrolu realizacije planiranih mjera i izvještavanje o postignutim rezultatima i ciljevima, te korištenje financijskih mehanizama koji su na raspolaganju jedinicama lokalne samouprave, predstavljaju dodatnu garanciju za dostizanje postavljenih ciljeva i ubrzano približavanje postavljenoj viziji. Općina Doboj Istok će ovaj Akcioni plan koristiti kao ključni dokument u procesu planiranja operativnih programa za iduće financijsko razdoblje u oblasti energetske efikasnosti i prilagođavanja klimatskim promjenama. </w:t>
      </w:r>
      <w:r>
        <w:rPr>
          <w:rFonts w:ascii="Calibri" w:hAnsi="Calibri" w:cs="Calibri" w:eastAsia="Calibri"/>
          <w:color w:val="auto"/>
          <w:spacing w:val="0"/>
          <w:position w:val="0"/>
          <w:sz w:val="20"/>
          <w:shd w:fill="FFFF00" w:val="clear"/>
        </w:rPr>
        <w:t xml:space="preserve">  </w:t>
      </w:r>
    </w:p>
    <w:p>
      <w:pPr>
        <w:spacing w:before="6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Koristi od uspješne realizacije ovog Akcionog plana </w:t>
      </w:r>
      <w:r>
        <w:rPr>
          <w:rFonts w:ascii="Calibri" w:hAnsi="Calibri" w:cs="Calibri" w:eastAsia="Calibri"/>
          <w:color w:val="auto"/>
          <w:spacing w:val="0"/>
          <w:position w:val="0"/>
          <w:sz w:val="20"/>
          <w:shd w:fill="auto" w:val="clear"/>
        </w:rPr>
        <w:t xml:space="preserve">će biti višestruke, kako za samu Općinu, tako i za njene stanovnike. Izradom, provođenjem i praćenjem realizacije Akcionog plana Općina Doboj Istok će:</w:t>
      </w:r>
    </w:p>
    <w:p>
      <w:pPr>
        <w:numPr>
          <w:ilvl w:val="0"/>
          <w:numId w:val="4280"/>
        </w:numPr>
        <w:spacing w:before="60" w:after="0" w:line="240"/>
        <w:ind w:right="0" w:left="720" w:hanging="36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demonstrirati svoju opredijeljenost za energetski održiv razvoj grada zasnovan na principima zaštite okoliša, energetske efikasnosti i obnovljivih izvora energije kao temelja održivog razvoja u  21. vijeku;</w:t>
      </w:r>
    </w:p>
    <w:p>
      <w:pPr>
        <w:numPr>
          <w:ilvl w:val="0"/>
          <w:numId w:val="4280"/>
        </w:numPr>
        <w:spacing w:before="0" w:after="0" w:line="240"/>
        <w:ind w:right="0" w:left="714" w:hanging="357"/>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oja</w:t>
      </w:r>
      <w:r>
        <w:rPr>
          <w:rFonts w:ascii="Calibri" w:hAnsi="Calibri" w:cs="Calibri" w:eastAsia="Calibri"/>
          <w:color w:val="auto"/>
          <w:spacing w:val="0"/>
          <w:position w:val="0"/>
          <w:sz w:val="20"/>
          <w:shd w:fill="auto" w:val="clear"/>
        </w:rPr>
        <w:t xml:space="preserve">čati svoje kapacitete za suočavanje sa štetnim uticajima klimatskih promjena;</w:t>
      </w:r>
    </w:p>
    <w:p>
      <w:pPr>
        <w:numPr>
          <w:ilvl w:val="0"/>
          <w:numId w:val="4280"/>
        </w:numPr>
        <w:spacing w:before="0" w:after="0" w:line="240"/>
        <w:ind w:right="0" w:left="714" w:hanging="357"/>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iskoristiti mogu</w:t>
      </w:r>
      <w:r>
        <w:rPr>
          <w:rFonts w:ascii="Calibri" w:hAnsi="Calibri" w:cs="Calibri" w:eastAsia="Calibri"/>
          <w:color w:val="auto"/>
          <w:spacing w:val="0"/>
          <w:position w:val="0"/>
          <w:sz w:val="20"/>
          <w:shd w:fill="auto" w:val="clear"/>
        </w:rPr>
        <w:t xml:space="preserve">ćnosti za privredni i društveni rast koje pruža razvoj niskokarbonskog društva;</w:t>
      </w:r>
    </w:p>
    <w:p>
      <w:pPr>
        <w:numPr>
          <w:ilvl w:val="0"/>
          <w:numId w:val="4280"/>
        </w:numPr>
        <w:spacing w:before="0" w:after="0" w:line="240"/>
        <w:ind w:right="0" w:left="714" w:hanging="357"/>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oja</w:t>
      </w:r>
      <w:r>
        <w:rPr>
          <w:rFonts w:ascii="Calibri" w:hAnsi="Calibri" w:cs="Calibri" w:eastAsia="Calibri"/>
          <w:color w:val="auto"/>
          <w:spacing w:val="0"/>
          <w:position w:val="0"/>
          <w:sz w:val="20"/>
          <w:shd w:fill="auto" w:val="clear"/>
        </w:rPr>
        <w:t xml:space="preserve">čati  temelje energetski održivog razvoja općine Doboj Istok;</w:t>
      </w:r>
    </w:p>
    <w:p>
      <w:pPr>
        <w:numPr>
          <w:ilvl w:val="0"/>
          <w:numId w:val="4280"/>
        </w:numPr>
        <w:spacing w:before="0" w:after="0" w:line="240"/>
        <w:ind w:right="0" w:left="714" w:hanging="357"/>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omogu</w:t>
      </w:r>
      <w:r>
        <w:rPr>
          <w:rFonts w:ascii="Calibri" w:hAnsi="Calibri" w:cs="Calibri" w:eastAsia="Calibri"/>
          <w:color w:val="auto"/>
          <w:spacing w:val="0"/>
          <w:position w:val="0"/>
          <w:sz w:val="20"/>
          <w:shd w:fill="auto" w:val="clear"/>
        </w:rPr>
        <w:t xml:space="preserve">ćiti pristup čistoj energiji za sve građane;</w:t>
      </w:r>
    </w:p>
    <w:p>
      <w:pPr>
        <w:numPr>
          <w:ilvl w:val="0"/>
          <w:numId w:val="4280"/>
        </w:numPr>
        <w:spacing w:before="0" w:after="0" w:line="240"/>
        <w:ind w:right="0" w:left="714" w:hanging="357"/>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uspostaviti nove financijske mehanizme za pokretanje i realizaciju mjera energetske efikasnosti i korištenja obnovljivih izvora energije u op</w:t>
      </w:r>
      <w:r>
        <w:rPr>
          <w:rFonts w:ascii="Calibri" w:hAnsi="Calibri" w:cs="Calibri" w:eastAsia="Calibri"/>
          <w:color w:val="auto"/>
          <w:spacing w:val="0"/>
          <w:position w:val="0"/>
          <w:sz w:val="20"/>
          <w:shd w:fill="auto" w:val="clear"/>
        </w:rPr>
        <w:t xml:space="preserve">ćini Doboj Istok;</w:t>
      </w:r>
    </w:p>
    <w:p>
      <w:pPr>
        <w:numPr>
          <w:ilvl w:val="0"/>
          <w:numId w:val="4280"/>
        </w:numPr>
        <w:spacing w:before="0" w:after="0" w:line="240"/>
        <w:ind w:right="0" w:left="714" w:hanging="357"/>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pove</w:t>
      </w:r>
      <w:r>
        <w:rPr>
          <w:rFonts w:ascii="Calibri" w:hAnsi="Calibri" w:cs="Calibri" w:eastAsia="Calibri"/>
          <w:color w:val="auto"/>
          <w:spacing w:val="0"/>
          <w:position w:val="0"/>
          <w:sz w:val="20"/>
          <w:shd w:fill="auto" w:val="clear"/>
        </w:rPr>
        <w:t xml:space="preserve">ćati kvalitet života svojih građana.</w:t>
      </w:r>
    </w:p>
    <w:p>
      <w:pPr>
        <w:spacing w:before="240" w:after="0" w:line="240"/>
        <w:ind w:right="0" w:left="0" w:firstLine="0"/>
        <w:jc w:val="both"/>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LISTA PRILOGA</w:t>
      </w:r>
    </w:p>
    <w:p>
      <w:pPr>
        <w:spacing w:before="0" w:after="0" w:line="240"/>
        <w:ind w:right="0" w:left="0" w:firstLine="0"/>
        <w:jc w:val="left"/>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Prilog 1 – Rješenja i odluke neophodne za pokretanje procesa izrade Akcionog plana </w:t>
      </w:r>
    </w:p>
    <w:p>
      <w:pPr>
        <w:spacing w:before="0" w:after="0" w:line="240"/>
        <w:ind w:right="0" w:left="0" w:firstLine="0"/>
        <w:jc w:val="left"/>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Prilog 2 – Upitnici za prikupljanje podataka</w:t>
      </w:r>
    </w:p>
    <w:p>
      <w:pPr>
        <w:spacing w:before="0" w:after="0" w:line="240"/>
        <w:ind w:right="0" w:left="0" w:firstLine="0"/>
        <w:jc w:val="left"/>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Prilog 3 – Liste javnih zgrada na podru</w:t>
      </w:r>
      <w:r>
        <w:rPr>
          <w:rFonts w:ascii="Calibri" w:hAnsi="Calibri" w:cs="Calibri" w:eastAsia="Calibri"/>
          <w:color w:val="auto"/>
          <w:spacing w:val="0"/>
          <w:position w:val="0"/>
          <w:sz w:val="20"/>
          <w:shd w:fill="auto" w:val="clear"/>
        </w:rPr>
        <w:t xml:space="preserve">čju Općine Doboj Istok</w:t>
      </w:r>
    </w:p>
    <w:p>
      <w:pPr>
        <w:spacing w:before="0" w:after="0" w:line="240"/>
        <w:ind w:right="0" w:left="0" w:firstLine="0"/>
        <w:jc w:val="left"/>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Prilog 4 – Analiza rezultata ankete - stambeni sektor</w:t>
      </w:r>
    </w:p>
    <w:p>
      <w:pPr>
        <w:spacing w:before="0" w:after="0" w:line="240"/>
        <w:ind w:right="0" w:left="0" w:firstLine="0"/>
        <w:jc w:val="left"/>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Prilog 5 – Lista javnih zgrada u vlasništvu Op</w:t>
      </w:r>
      <w:r>
        <w:rPr>
          <w:rFonts w:ascii="Calibri" w:hAnsi="Calibri" w:cs="Calibri" w:eastAsia="Calibri"/>
          <w:color w:val="auto"/>
          <w:spacing w:val="0"/>
          <w:position w:val="0"/>
          <w:sz w:val="20"/>
          <w:shd w:fill="auto" w:val="clear"/>
        </w:rPr>
        <w:t xml:space="preserve">ćine Doboj Istok sa predloženim mjerama</w:t>
      </w:r>
    </w:p>
    <w:p>
      <w:pPr>
        <w:spacing w:before="0" w:after="0" w:line="240"/>
        <w:ind w:right="0" w:left="0" w:firstLine="0"/>
        <w:jc w:val="left"/>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Prilog 6 – Lista javnih zgrada koje nisu u vlasništvu Op</w:t>
      </w:r>
      <w:r>
        <w:rPr>
          <w:rFonts w:ascii="Calibri" w:hAnsi="Calibri" w:cs="Calibri" w:eastAsia="Calibri"/>
          <w:color w:val="auto"/>
          <w:spacing w:val="0"/>
          <w:position w:val="0"/>
          <w:sz w:val="20"/>
          <w:shd w:fill="auto" w:val="clear"/>
        </w:rPr>
        <w:t xml:space="preserve">ćine Doboj Istok sa predloženim mjerama</w:t>
      </w:r>
    </w:p>
    <w:p>
      <w:pPr>
        <w:spacing w:before="240" w:after="0" w:line="240"/>
        <w:ind w:right="0" w:left="0" w:firstLine="0"/>
        <w:jc w:val="both"/>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LISTA TABELA</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Tabela 31: Prikaz klju</w:t>
      </w:r>
      <w:r>
        <w:rPr>
          <w:rFonts w:ascii="Calibri" w:hAnsi="Calibri" w:cs="Calibri" w:eastAsia="Calibri"/>
          <w:color w:val="0000FF"/>
          <w:spacing w:val="0"/>
          <w:position w:val="0"/>
          <w:sz w:val="20"/>
          <w:u w:val="single"/>
          <w:shd w:fill="auto" w:val="clear"/>
        </w:rPr>
        <w:t xml:space="preserve">čnih faza i aktivnosti u procesu izrade SECAP-a Doboj Istok</w:t>
      </w:r>
      <w:r>
        <w:rPr>
          <w:rFonts w:ascii="Calibri" w:hAnsi="Calibri" w:cs="Calibri" w:eastAsia="Calibri"/>
          <w:color w:val="auto"/>
          <w:spacing w:val="0"/>
          <w:position w:val="0"/>
          <w:sz w:val="20"/>
          <w:shd w:fill="auto" w:val="clear"/>
        </w:rPr>
        <w:tab/>
        <w:t xml:space="preserve">14</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Tabela 32: Emisioni faktori za energente koji se koriste na podru</w:t>
      </w:r>
      <w:r>
        <w:rPr>
          <w:rFonts w:ascii="Calibri" w:hAnsi="Calibri" w:cs="Calibri" w:eastAsia="Calibri"/>
          <w:color w:val="0000FF"/>
          <w:spacing w:val="0"/>
          <w:position w:val="0"/>
          <w:sz w:val="20"/>
          <w:u w:val="single"/>
          <w:shd w:fill="auto" w:val="clear"/>
        </w:rPr>
        <w:t xml:space="preserve">čju općine Doboj Istok</w:t>
      </w:r>
      <w:r>
        <w:rPr>
          <w:rFonts w:ascii="Calibri" w:hAnsi="Calibri" w:cs="Calibri" w:eastAsia="Calibri"/>
          <w:color w:val="auto"/>
          <w:spacing w:val="0"/>
          <w:position w:val="0"/>
          <w:sz w:val="20"/>
          <w:shd w:fill="auto" w:val="clear"/>
        </w:rPr>
        <w:tab/>
        <w:t xml:space="preserve">22</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Tabela 51: Grijana površina javnih zgrada u vlasništvu Op</w:t>
      </w:r>
      <w:r>
        <w:rPr>
          <w:rFonts w:ascii="Calibri" w:hAnsi="Calibri" w:cs="Calibri" w:eastAsia="Calibri"/>
          <w:color w:val="0000FF"/>
          <w:spacing w:val="0"/>
          <w:position w:val="0"/>
          <w:sz w:val="20"/>
          <w:u w:val="single"/>
          <w:shd w:fill="auto" w:val="clear"/>
        </w:rPr>
        <w:t xml:space="preserve">ćine Doboj Istok u baznoj godini</w:t>
      </w:r>
      <w:r>
        <w:rPr>
          <w:rFonts w:ascii="Calibri" w:hAnsi="Calibri" w:cs="Calibri" w:eastAsia="Calibri"/>
          <w:color w:val="auto"/>
          <w:spacing w:val="0"/>
          <w:position w:val="0"/>
          <w:sz w:val="20"/>
          <w:shd w:fill="auto" w:val="clear"/>
        </w:rPr>
        <w:tab/>
        <w:t xml:space="preserve">25</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Tabela 52: Specifi</w:t>
      </w:r>
      <w:r>
        <w:rPr>
          <w:rFonts w:ascii="Calibri" w:hAnsi="Calibri" w:cs="Calibri" w:eastAsia="Calibri"/>
          <w:color w:val="0000FF"/>
          <w:spacing w:val="0"/>
          <w:position w:val="0"/>
          <w:sz w:val="20"/>
          <w:u w:val="single"/>
          <w:shd w:fill="auto" w:val="clear"/>
        </w:rPr>
        <w:t xml:space="preserve">čna godišnja potrebna energija za grijanje javnih zgrada u Bosni i Hercegovini - Qhnd (kWh/m</w:t>
      </w:r>
      <w:r>
        <w:rPr>
          <w:rFonts w:ascii="Calibri" w:hAnsi="Calibri" w:cs="Calibri" w:eastAsia="Calibri"/>
          <w:color w:val="0000FF"/>
          <w:spacing w:val="0"/>
          <w:position w:val="0"/>
          <w:sz w:val="20"/>
          <w:u w:val="single"/>
          <w:shd w:fill="auto" w:val="clear"/>
        </w:rPr>
        <w:t xml:space="preserve">²)</w:t>
      </w:r>
      <w:r>
        <w:rPr>
          <w:rFonts w:ascii="Calibri" w:hAnsi="Calibri" w:cs="Calibri" w:eastAsia="Calibri"/>
          <w:color w:val="auto"/>
          <w:spacing w:val="0"/>
          <w:position w:val="0"/>
          <w:sz w:val="20"/>
          <w:shd w:fill="auto" w:val="clear"/>
        </w:rPr>
        <w:tab/>
        <w:t xml:space="preserve">25</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Tabela 53: Potrebna finalna energija za grijanje javnih zgrada u vlasništvu Op</w:t>
      </w:r>
      <w:r>
        <w:rPr>
          <w:rFonts w:ascii="Calibri" w:hAnsi="Calibri" w:cs="Calibri" w:eastAsia="Calibri"/>
          <w:color w:val="0000FF"/>
          <w:spacing w:val="0"/>
          <w:position w:val="0"/>
          <w:sz w:val="20"/>
          <w:u w:val="single"/>
          <w:shd w:fill="auto" w:val="clear"/>
        </w:rPr>
        <w:t xml:space="preserve">ćine u baznoj godini</w:t>
      </w:r>
      <w:r>
        <w:rPr>
          <w:rFonts w:ascii="Calibri" w:hAnsi="Calibri" w:cs="Calibri" w:eastAsia="Calibri"/>
          <w:color w:val="auto"/>
          <w:spacing w:val="0"/>
          <w:position w:val="0"/>
          <w:sz w:val="20"/>
          <w:shd w:fill="auto" w:val="clear"/>
        </w:rPr>
        <w:tab/>
        <w:t xml:space="preserve">25</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Tabela 54: Godišnje emisije CO</w:t>
      </w:r>
      <w:r>
        <w:rPr>
          <w:rFonts w:ascii="Calibri" w:hAnsi="Calibri" w:cs="Calibri" w:eastAsia="Calibri"/>
          <w:color w:val="0000FF"/>
          <w:spacing w:val="0"/>
          <w:position w:val="0"/>
          <w:sz w:val="20"/>
          <w:u w:val="single"/>
          <w:shd w:fill="auto" w:val="clear"/>
          <w:vertAlign w:val="subscript"/>
        </w:rPr>
        <w:t xml:space="preserve">2</w:t>
      </w:r>
      <w:r>
        <w:rPr>
          <w:rFonts w:ascii="Calibri" w:hAnsi="Calibri" w:cs="Calibri" w:eastAsia="Calibri"/>
          <w:color w:val="0000FF"/>
          <w:spacing w:val="0"/>
          <w:position w:val="0"/>
          <w:sz w:val="20"/>
          <w:u w:val="single"/>
          <w:shd w:fill="auto" w:val="clear"/>
        </w:rPr>
        <w:t xml:space="preserve"> iz podsektora javnih zgrada u vlasništvu Op</w:t>
      </w:r>
      <w:r>
        <w:rPr>
          <w:rFonts w:ascii="Calibri" w:hAnsi="Calibri" w:cs="Calibri" w:eastAsia="Calibri"/>
          <w:color w:val="0000FF"/>
          <w:spacing w:val="0"/>
          <w:position w:val="0"/>
          <w:sz w:val="20"/>
          <w:u w:val="single"/>
          <w:shd w:fill="auto" w:val="clear"/>
        </w:rPr>
        <w:t xml:space="preserve">ćine u baznoj godini</w:t>
      </w:r>
      <w:r>
        <w:rPr>
          <w:rFonts w:ascii="Calibri" w:hAnsi="Calibri" w:cs="Calibri" w:eastAsia="Calibri"/>
          <w:color w:val="auto"/>
          <w:spacing w:val="0"/>
          <w:position w:val="0"/>
          <w:sz w:val="20"/>
          <w:shd w:fill="auto" w:val="clear"/>
        </w:rPr>
        <w:tab/>
        <w:t xml:space="preserve">26</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Tabela 55: Grijana površina javnih zgrada koje nisu u vlasništvu Op</w:t>
      </w:r>
      <w:r>
        <w:rPr>
          <w:rFonts w:ascii="Calibri" w:hAnsi="Calibri" w:cs="Calibri" w:eastAsia="Calibri"/>
          <w:color w:val="0000FF"/>
          <w:spacing w:val="0"/>
          <w:position w:val="0"/>
          <w:sz w:val="20"/>
          <w:u w:val="single"/>
          <w:shd w:fill="auto" w:val="clear"/>
        </w:rPr>
        <w:t xml:space="preserve">ćine u baznoj godini</w:t>
      </w:r>
      <w:r>
        <w:rPr>
          <w:rFonts w:ascii="Calibri" w:hAnsi="Calibri" w:cs="Calibri" w:eastAsia="Calibri"/>
          <w:color w:val="auto"/>
          <w:spacing w:val="0"/>
          <w:position w:val="0"/>
          <w:sz w:val="20"/>
          <w:shd w:fill="auto" w:val="clear"/>
        </w:rPr>
        <w:tab/>
        <w:t xml:space="preserve">27</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Tabela 56: Potrebna finalna energija za grijanje javnih zgrada koje nisu u vlasništvu Op</w:t>
      </w:r>
      <w:r>
        <w:rPr>
          <w:rFonts w:ascii="Calibri" w:hAnsi="Calibri" w:cs="Calibri" w:eastAsia="Calibri"/>
          <w:color w:val="0000FF"/>
          <w:spacing w:val="0"/>
          <w:position w:val="0"/>
          <w:sz w:val="20"/>
          <w:u w:val="single"/>
          <w:shd w:fill="auto" w:val="clear"/>
        </w:rPr>
        <w:t xml:space="preserve">ćine u baznoj godini</w:t>
      </w:r>
      <w:r>
        <w:rPr>
          <w:rFonts w:ascii="Calibri" w:hAnsi="Calibri" w:cs="Calibri" w:eastAsia="Calibri"/>
          <w:color w:val="auto"/>
          <w:spacing w:val="0"/>
          <w:position w:val="0"/>
          <w:sz w:val="20"/>
          <w:shd w:fill="auto" w:val="clear"/>
        </w:rPr>
        <w:tab/>
        <w:t xml:space="preserve">27</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Tabela 57: Godišnje emisije CO</w:t>
      </w:r>
      <w:r>
        <w:rPr>
          <w:rFonts w:ascii="Calibri" w:hAnsi="Calibri" w:cs="Calibri" w:eastAsia="Calibri"/>
          <w:color w:val="0000FF"/>
          <w:spacing w:val="0"/>
          <w:position w:val="0"/>
          <w:sz w:val="20"/>
          <w:u w:val="single"/>
          <w:shd w:fill="auto" w:val="clear"/>
          <w:vertAlign w:val="subscript"/>
        </w:rPr>
        <w:t xml:space="preserve">2</w:t>
      </w:r>
      <w:r>
        <w:rPr>
          <w:rFonts w:ascii="Calibri" w:hAnsi="Calibri" w:cs="Calibri" w:eastAsia="Calibri"/>
          <w:color w:val="0000FF"/>
          <w:spacing w:val="0"/>
          <w:position w:val="0"/>
          <w:sz w:val="20"/>
          <w:u w:val="single"/>
          <w:shd w:fill="auto" w:val="clear"/>
        </w:rPr>
        <w:t xml:space="preserve"> iz podsektora javnih zgrada koje nisu u vlasništvu Op</w:t>
      </w:r>
      <w:r>
        <w:rPr>
          <w:rFonts w:ascii="Calibri" w:hAnsi="Calibri" w:cs="Calibri" w:eastAsia="Calibri"/>
          <w:color w:val="0000FF"/>
          <w:spacing w:val="0"/>
          <w:position w:val="0"/>
          <w:sz w:val="20"/>
          <w:u w:val="single"/>
          <w:shd w:fill="auto" w:val="clear"/>
        </w:rPr>
        <w:t xml:space="preserve">ćine u baznoj godini</w:t>
      </w:r>
      <w:r>
        <w:rPr>
          <w:rFonts w:ascii="Calibri" w:hAnsi="Calibri" w:cs="Calibri" w:eastAsia="Calibri"/>
          <w:color w:val="auto"/>
          <w:spacing w:val="0"/>
          <w:position w:val="0"/>
          <w:sz w:val="20"/>
          <w:shd w:fill="auto" w:val="clear"/>
        </w:rPr>
        <w:tab/>
        <w:t xml:space="preserve">28</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Tabela 58: Korištena grijana površina stambenih zgrada na podru</w:t>
      </w:r>
      <w:r>
        <w:rPr>
          <w:rFonts w:ascii="Calibri" w:hAnsi="Calibri" w:cs="Calibri" w:eastAsia="Calibri"/>
          <w:color w:val="0000FF"/>
          <w:spacing w:val="0"/>
          <w:position w:val="0"/>
          <w:sz w:val="20"/>
          <w:u w:val="single"/>
          <w:shd w:fill="auto" w:val="clear"/>
        </w:rPr>
        <w:t xml:space="preserve">čju općine u baznoj godini</w:t>
      </w:r>
      <w:r>
        <w:rPr>
          <w:rFonts w:ascii="Calibri" w:hAnsi="Calibri" w:cs="Calibri" w:eastAsia="Calibri"/>
          <w:color w:val="auto"/>
          <w:spacing w:val="0"/>
          <w:position w:val="0"/>
          <w:sz w:val="20"/>
          <w:shd w:fill="auto" w:val="clear"/>
        </w:rPr>
        <w:tab/>
        <w:t xml:space="preserve">29</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Tabela 59: Specifi</w:t>
      </w:r>
      <w:r>
        <w:rPr>
          <w:rFonts w:ascii="Calibri" w:hAnsi="Calibri" w:cs="Calibri" w:eastAsia="Calibri"/>
          <w:color w:val="0000FF"/>
          <w:spacing w:val="0"/>
          <w:position w:val="0"/>
          <w:sz w:val="20"/>
          <w:u w:val="single"/>
          <w:shd w:fill="auto" w:val="clear"/>
        </w:rPr>
        <w:t xml:space="preserve">čna godišnja potrebna energija za grijanje stambenih zgrada u Bosni i Hercegovini</w:t>
      </w:r>
      <w:r>
        <w:rPr>
          <w:rFonts w:ascii="Calibri" w:hAnsi="Calibri" w:cs="Calibri" w:eastAsia="Calibri"/>
          <w:color w:val="auto"/>
          <w:spacing w:val="0"/>
          <w:position w:val="0"/>
          <w:sz w:val="20"/>
          <w:shd w:fill="auto" w:val="clear"/>
        </w:rPr>
        <w:tab/>
        <w:t xml:space="preserve">30</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Tabela 510: Potrebna finalna energija za grijanje stambenih zgrada u baznoj godini</w:t>
      </w:r>
      <w:r>
        <w:rPr>
          <w:rFonts w:ascii="Calibri" w:hAnsi="Calibri" w:cs="Calibri" w:eastAsia="Calibri"/>
          <w:color w:val="auto"/>
          <w:spacing w:val="0"/>
          <w:position w:val="0"/>
          <w:sz w:val="20"/>
          <w:shd w:fill="auto" w:val="clear"/>
        </w:rPr>
        <w:tab/>
        <w:t xml:space="preserve">30</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Tabela 511: Godišnje emisije CO</w:t>
      </w:r>
      <w:r>
        <w:rPr>
          <w:rFonts w:ascii="Calibri" w:hAnsi="Calibri" w:cs="Calibri" w:eastAsia="Calibri"/>
          <w:color w:val="0000FF"/>
          <w:spacing w:val="0"/>
          <w:position w:val="0"/>
          <w:sz w:val="20"/>
          <w:u w:val="single"/>
          <w:shd w:fill="auto" w:val="clear"/>
          <w:vertAlign w:val="subscript"/>
        </w:rPr>
        <w:t xml:space="preserve">2</w:t>
      </w:r>
      <w:r>
        <w:rPr>
          <w:rFonts w:ascii="Calibri" w:hAnsi="Calibri" w:cs="Calibri" w:eastAsia="Calibri"/>
          <w:color w:val="0000FF"/>
          <w:spacing w:val="0"/>
          <w:position w:val="0"/>
          <w:sz w:val="20"/>
          <w:u w:val="single"/>
          <w:shd w:fill="auto" w:val="clear"/>
        </w:rPr>
        <w:t xml:space="preserve"> iz podsektora stambenih zgrada u baznoj godini</w:t>
      </w:r>
      <w:r>
        <w:rPr>
          <w:rFonts w:ascii="Calibri" w:hAnsi="Calibri" w:cs="Calibri" w:eastAsia="Calibri"/>
          <w:color w:val="auto"/>
          <w:spacing w:val="0"/>
          <w:position w:val="0"/>
          <w:sz w:val="20"/>
          <w:shd w:fill="auto" w:val="clear"/>
        </w:rPr>
        <w:tab/>
        <w:t xml:space="preserve">30</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Tabela 512: Broj vozila u baznoj godini prema  njihovim kategorijama</w:t>
      </w:r>
      <w:r>
        <w:rPr>
          <w:rFonts w:ascii="Calibri" w:hAnsi="Calibri" w:cs="Calibri" w:eastAsia="Calibri"/>
          <w:color w:val="auto"/>
          <w:spacing w:val="0"/>
          <w:position w:val="0"/>
          <w:sz w:val="20"/>
          <w:shd w:fill="auto" w:val="clear"/>
        </w:rPr>
        <w:tab/>
        <w:t xml:space="preserve">31</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Tabela 513: Broj vozila u baznoj godini prema razmatranim podsektorima sektora saobra</w:t>
      </w:r>
      <w:r>
        <w:rPr>
          <w:rFonts w:ascii="Calibri" w:hAnsi="Calibri" w:cs="Calibri" w:eastAsia="Calibri"/>
          <w:color w:val="0000FF"/>
          <w:spacing w:val="0"/>
          <w:position w:val="0"/>
          <w:sz w:val="20"/>
          <w:u w:val="single"/>
          <w:shd w:fill="auto" w:val="clear"/>
        </w:rPr>
        <w:t xml:space="preserve">ćaja</w:t>
      </w:r>
      <w:r>
        <w:rPr>
          <w:rFonts w:ascii="Calibri" w:hAnsi="Calibri" w:cs="Calibri" w:eastAsia="Calibri"/>
          <w:color w:val="auto"/>
          <w:spacing w:val="0"/>
          <w:position w:val="0"/>
          <w:sz w:val="20"/>
          <w:shd w:fill="auto" w:val="clear"/>
        </w:rPr>
        <w:tab/>
        <w:t xml:space="preserve">31</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Tabela 514: Godišnja potrošnja energije i emisije CO</w:t>
      </w:r>
      <w:r>
        <w:rPr>
          <w:rFonts w:ascii="Calibri" w:hAnsi="Calibri" w:cs="Calibri" w:eastAsia="Calibri"/>
          <w:color w:val="0000FF"/>
          <w:spacing w:val="0"/>
          <w:position w:val="0"/>
          <w:sz w:val="20"/>
          <w:u w:val="single"/>
          <w:shd w:fill="auto" w:val="clear"/>
          <w:vertAlign w:val="subscript"/>
        </w:rPr>
        <w:t xml:space="preserve">2</w:t>
      </w:r>
      <w:r>
        <w:rPr>
          <w:rFonts w:ascii="Calibri" w:hAnsi="Calibri" w:cs="Calibri" w:eastAsia="Calibri"/>
          <w:color w:val="0000FF"/>
          <w:spacing w:val="0"/>
          <w:position w:val="0"/>
          <w:sz w:val="20"/>
          <w:u w:val="single"/>
          <w:shd w:fill="auto" w:val="clear"/>
        </w:rPr>
        <w:t xml:space="preserve"> za vozila u vlasništvu Op</w:t>
      </w:r>
      <w:r>
        <w:rPr>
          <w:rFonts w:ascii="Calibri" w:hAnsi="Calibri" w:cs="Calibri" w:eastAsia="Calibri"/>
          <w:color w:val="0000FF"/>
          <w:spacing w:val="0"/>
          <w:position w:val="0"/>
          <w:sz w:val="20"/>
          <w:u w:val="single"/>
          <w:shd w:fill="auto" w:val="clear"/>
        </w:rPr>
        <w:t xml:space="preserve">ćine u baznoj godini</w:t>
      </w:r>
      <w:r>
        <w:rPr>
          <w:rFonts w:ascii="Calibri" w:hAnsi="Calibri" w:cs="Calibri" w:eastAsia="Calibri"/>
          <w:color w:val="auto"/>
          <w:spacing w:val="0"/>
          <w:position w:val="0"/>
          <w:sz w:val="20"/>
          <w:shd w:fill="auto" w:val="clear"/>
        </w:rPr>
        <w:tab/>
        <w:t xml:space="preserve">32</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Tabela 515: Godišnja potrošnja energije i emisije CO</w:t>
      </w:r>
      <w:r>
        <w:rPr>
          <w:rFonts w:ascii="Calibri" w:hAnsi="Calibri" w:cs="Calibri" w:eastAsia="Calibri"/>
          <w:color w:val="0000FF"/>
          <w:spacing w:val="0"/>
          <w:position w:val="0"/>
          <w:sz w:val="20"/>
          <w:u w:val="single"/>
          <w:shd w:fill="auto" w:val="clear"/>
          <w:vertAlign w:val="subscript"/>
        </w:rPr>
        <w:t xml:space="preserve">2</w:t>
      </w:r>
      <w:r>
        <w:rPr>
          <w:rFonts w:ascii="Calibri" w:hAnsi="Calibri" w:cs="Calibri" w:eastAsia="Calibri"/>
          <w:color w:val="0000FF"/>
          <w:spacing w:val="0"/>
          <w:position w:val="0"/>
          <w:sz w:val="20"/>
          <w:u w:val="single"/>
          <w:shd w:fill="auto" w:val="clear"/>
        </w:rPr>
        <w:t xml:space="preserve"> za podsektor javnog prijevoza u baznoj godini</w:t>
      </w:r>
      <w:r>
        <w:rPr>
          <w:rFonts w:ascii="Calibri" w:hAnsi="Calibri" w:cs="Calibri" w:eastAsia="Calibri"/>
          <w:color w:val="auto"/>
          <w:spacing w:val="0"/>
          <w:position w:val="0"/>
          <w:sz w:val="20"/>
          <w:shd w:fill="auto" w:val="clear"/>
        </w:rPr>
        <w:tab/>
        <w:t xml:space="preserve">32</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Tabela 516: Broj osobnih i komercijalnih vozila u baznoj godini prema ekološkim kategorijama</w:t>
      </w:r>
      <w:r>
        <w:rPr>
          <w:rFonts w:ascii="Calibri" w:hAnsi="Calibri" w:cs="Calibri" w:eastAsia="Calibri"/>
          <w:color w:val="auto"/>
          <w:spacing w:val="0"/>
          <w:position w:val="0"/>
          <w:sz w:val="20"/>
          <w:shd w:fill="auto" w:val="clear"/>
        </w:rPr>
        <w:tab/>
        <w:t xml:space="preserve">33</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Tabela 517: Godišnja potrošnja energije i emisije CO</w:t>
      </w:r>
      <w:r>
        <w:rPr>
          <w:rFonts w:ascii="Calibri" w:hAnsi="Calibri" w:cs="Calibri" w:eastAsia="Calibri"/>
          <w:color w:val="0000FF"/>
          <w:spacing w:val="0"/>
          <w:position w:val="0"/>
          <w:sz w:val="20"/>
          <w:u w:val="single"/>
          <w:shd w:fill="auto" w:val="clear"/>
          <w:vertAlign w:val="subscript"/>
        </w:rPr>
        <w:t xml:space="preserve">2</w:t>
      </w:r>
      <w:r>
        <w:rPr>
          <w:rFonts w:ascii="Calibri" w:hAnsi="Calibri" w:cs="Calibri" w:eastAsia="Calibri"/>
          <w:color w:val="0000FF"/>
          <w:spacing w:val="0"/>
          <w:position w:val="0"/>
          <w:sz w:val="20"/>
          <w:u w:val="single"/>
          <w:shd w:fill="auto" w:val="clear"/>
        </w:rPr>
        <w:t xml:space="preserve"> za podsektor osobnih i komercijalnih vozila u baznoj godini</w:t>
      </w:r>
      <w:r>
        <w:rPr>
          <w:rFonts w:ascii="Calibri" w:hAnsi="Calibri" w:cs="Calibri" w:eastAsia="Calibri"/>
          <w:color w:val="auto"/>
          <w:spacing w:val="0"/>
          <w:position w:val="0"/>
          <w:sz w:val="20"/>
          <w:shd w:fill="auto" w:val="clear"/>
        </w:rPr>
        <w:tab/>
        <w:t xml:space="preserve">33</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Tabela 518: Godišnja potrošnja energije i emisije CO</w:t>
      </w:r>
      <w:r>
        <w:rPr>
          <w:rFonts w:ascii="Calibri" w:hAnsi="Calibri" w:cs="Calibri" w:eastAsia="Calibri"/>
          <w:color w:val="0000FF"/>
          <w:spacing w:val="0"/>
          <w:position w:val="0"/>
          <w:sz w:val="20"/>
          <w:u w:val="single"/>
          <w:shd w:fill="auto" w:val="clear"/>
          <w:vertAlign w:val="subscript"/>
        </w:rPr>
        <w:t xml:space="preserve">2</w:t>
      </w:r>
      <w:r>
        <w:rPr>
          <w:rFonts w:ascii="Calibri" w:hAnsi="Calibri" w:cs="Calibri" w:eastAsia="Calibri"/>
          <w:color w:val="0000FF"/>
          <w:spacing w:val="0"/>
          <w:position w:val="0"/>
          <w:sz w:val="20"/>
          <w:u w:val="single"/>
          <w:shd w:fill="auto" w:val="clear"/>
        </w:rPr>
        <w:t xml:space="preserve">  za sektor javne rasvjete u baznoj godini</w:t>
      </w:r>
      <w:r>
        <w:rPr>
          <w:rFonts w:ascii="Calibri" w:hAnsi="Calibri" w:cs="Calibri" w:eastAsia="Calibri"/>
          <w:color w:val="auto"/>
          <w:spacing w:val="0"/>
          <w:position w:val="0"/>
          <w:sz w:val="20"/>
          <w:shd w:fill="auto" w:val="clear"/>
        </w:rPr>
        <w:tab/>
        <w:t xml:space="preserve">34</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Tabela 519: Godišnja potrošnja energije i emisije CO</w:t>
      </w:r>
      <w:r>
        <w:rPr>
          <w:rFonts w:ascii="Calibri" w:hAnsi="Calibri" w:cs="Calibri" w:eastAsia="Calibri"/>
          <w:color w:val="0000FF"/>
          <w:spacing w:val="0"/>
          <w:position w:val="0"/>
          <w:sz w:val="20"/>
          <w:u w:val="single"/>
          <w:shd w:fill="auto" w:val="clear"/>
          <w:vertAlign w:val="subscript"/>
        </w:rPr>
        <w:t xml:space="preserve">2</w:t>
      </w:r>
      <w:r>
        <w:rPr>
          <w:rFonts w:ascii="Calibri" w:hAnsi="Calibri" w:cs="Calibri" w:eastAsia="Calibri"/>
          <w:color w:val="0000FF"/>
          <w:spacing w:val="0"/>
          <w:position w:val="0"/>
          <w:sz w:val="20"/>
          <w:u w:val="single"/>
          <w:shd w:fill="auto" w:val="clear"/>
        </w:rPr>
        <w:t xml:space="preserve"> za sektor vodosnabdijevanja u baznoj godini</w:t>
      </w:r>
      <w:r>
        <w:rPr>
          <w:rFonts w:ascii="Calibri" w:hAnsi="Calibri" w:cs="Calibri" w:eastAsia="Calibri"/>
          <w:color w:val="auto"/>
          <w:spacing w:val="0"/>
          <w:position w:val="0"/>
          <w:sz w:val="20"/>
          <w:shd w:fill="auto" w:val="clear"/>
        </w:rPr>
        <w:tab/>
        <w:t xml:space="preserve">34</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Tabela 520: Bazni inventar finalne energije za sve razmatrane sektore</w:t>
      </w:r>
      <w:r>
        <w:rPr>
          <w:rFonts w:ascii="Calibri" w:hAnsi="Calibri" w:cs="Calibri" w:eastAsia="Calibri"/>
          <w:color w:val="auto"/>
          <w:spacing w:val="0"/>
          <w:position w:val="0"/>
          <w:sz w:val="20"/>
          <w:shd w:fill="auto" w:val="clear"/>
        </w:rPr>
        <w:tab/>
        <w:t xml:space="preserve">35</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Tabela 521: Bazni inventar emisija CO</w:t>
      </w:r>
      <w:r>
        <w:rPr>
          <w:rFonts w:ascii="Calibri" w:hAnsi="Calibri" w:cs="Calibri" w:eastAsia="Calibri"/>
          <w:color w:val="0000FF"/>
          <w:spacing w:val="0"/>
          <w:position w:val="0"/>
          <w:sz w:val="20"/>
          <w:u w:val="single"/>
          <w:shd w:fill="auto" w:val="clear"/>
          <w:vertAlign w:val="subscript"/>
        </w:rPr>
        <w:t xml:space="preserve">2 </w:t>
      </w:r>
      <w:r>
        <w:rPr>
          <w:rFonts w:ascii="Calibri" w:hAnsi="Calibri" w:cs="Calibri" w:eastAsia="Calibri"/>
          <w:color w:val="0000FF"/>
          <w:spacing w:val="0"/>
          <w:position w:val="0"/>
          <w:sz w:val="20"/>
          <w:u w:val="single"/>
          <w:shd w:fill="auto" w:val="clear"/>
        </w:rPr>
        <w:t xml:space="preserve"> iz svih razmatranih sektora finalne energetske potrošnje</w:t>
      </w:r>
      <w:r>
        <w:rPr>
          <w:rFonts w:ascii="Calibri" w:hAnsi="Calibri" w:cs="Calibri" w:eastAsia="Calibri"/>
          <w:color w:val="auto"/>
          <w:spacing w:val="0"/>
          <w:position w:val="0"/>
          <w:sz w:val="20"/>
          <w:shd w:fill="auto" w:val="clear"/>
        </w:rPr>
        <w:tab/>
        <w:t xml:space="preserve">36</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Tabela 522: Zbirni pregled mjera energetske efikasnosti realiziranih u periodu 2010.–2020. na vanjskoj ovojnici javnih zgrada u vlasništvu Op</w:t>
      </w:r>
      <w:r>
        <w:rPr>
          <w:rFonts w:ascii="Calibri" w:hAnsi="Calibri" w:cs="Calibri" w:eastAsia="Calibri"/>
          <w:color w:val="0000FF"/>
          <w:spacing w:val="0"/>
          <w:position w:val="0"/>
          <w:sz w:val="20"/>
          <w:u w:val="single"/>
          <w:shd w:fill="auto" w:val="clear"/>
        </w:rPr>
        <w:t xml:space="preserve">ćine</w:t>
      </w:r>
      <w:r>
        <w:rPr>
          <w:rFonts w:ascii="Calibri" w:hAnsi="Calibri" w:cs="Calibri" w:eastAsia="Calibri"/>
          <w:color w:val="auto"/>
          <w:spacing w:val="0"/>
          <w:position w:val="0"/>
          <w:sz w:val="20"/>
          <w:shd w:fill="auto" w:val="clear"/>
        </w:rPr>
        <w:tab/>
        <w:t xml:space="preserve">37</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Tabela 523: Zbirni pregled mjera energetske efikasnosti realiziranih u periodu 2010.–2020. na sistemima grijanja javnih zgrada u vlasništvu Op</w:t>
      </w:r>
      <w:r>
        <w:rPr>
          <w:rFonts w:ascii="Calibri" w:hAnsi="Calibri" w:cs="Calibri" w:eastAsia="Calibri"/>
          <w:color w:val="0000FF"/>
          <w:spacing w:val="0"/>
          <w:position w:val="0"/>
          <w:sz w:val="20"/>
          <w:u w:val="single"/>
          <w:shd w:fill="auto" w:val="clear"/>
        </w:rPr>
        <w:t xml:space="preserve">ćine</w:t>
      </w:r>
      <w:r>
        <w:rPr>
          <w:rFonts w:ascii="Calibri" w:hAnsi="Calibri" w:cs="Calibri" w:eastAsia="Calibri"/>
          <w:color w:val="auto"/>
          <w:spacing w:val="0"/>
          <w:position w:val="0"/>
          <w:sz w:val="20"/>
          <w:shd w:fill="auto" w:val="clear"/>
        </w:rPr>
        <w:tab/>
        <w:t xml:space="preserve">38</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Tabela 524: Uštede finalne energije za grijanje javnih zgrada u vlasništvu Op</w:t>
      </w:r>
      <w:r>
        <w:rPr>
          <w:rFonts w:ascii="Calibri" w:hAnsi="Calibri" w:cs="Calibri" w:eastAsia="Calibri"/>
          <w:color w:val="0000FF"/>
          <w:spacing w:val="0"/>
          <w:position w:val="0"/>
          <w:sz w:val="20"/>
          <w:u w:val="single"/>
          <w:shd w:fill="auto" w:val="clear"/>
        </w:rPr>
        <w:t xml:space="preserve">ćine ostvarene u kontrolnoj godini realizacijom mjera energetske efikasnosti</w:t>
      </w:r>
      <w:r>
        <w:rPr>
          <w:rFonts w:ascii="Calibri" w:hAnsi="Calibri" w:cs="Calibri" w:eastAsia="Calibri"/>
          <w:color w:val="auto"/>
          <w:spacing w:val="0"/>
          <w:position w:val="0"/>
          <w:sz w:val="20"/>
          <w:shd w:fill="auto" w:val="clear"/>
        </w:rPr>
        <w:tab/>
        <w:t xml:space="preserve">38</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Tabela 525: Potrebna finalna energija za grijanje novih javnih zgrada u vlasništvu Op</w:t>
      </w:r>
      <w:r>
        <w:rPr>
          <w:rFonts w:ascii="Calibri" w:hAnsi="Calibri" w:cs="Calibri" w:eastAsia="Calibri"/>
          <w:color w:val="0000FF"/>
          <w:spacing w:val="0"/>
          <w:position w:val="0"/>
          <w:sz w:val="20"/>
          <w:u w:val="single"/>
          <w:shd w:fill="auto" w:val="clear"/>
        </w:rPr>
        <w:t xml:space="preserve">ćine, izgrađenih u periodu 20110.-2020.</w:t>
      </w:r>
      <w:r>
        <w:rPr>
          <w:rFonts w:ascii="Calibri" w:hAnsi="Calibri" w:cs="Calibri" w:eastAsia="Calibri"/>
          <w:color w:val="auto"/>
          <w:spacing w:val="0"/>
          <w:position w:val="0"/>
          <w:sz w:val="20"/>
          <w:shd w:fill="auto" w:val="clear"/>
        </w:rPr>
        <w:tab/>
        <w:t xml:space="preserve">38</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Tabela 526: Potrebna finalna energija za grijanje javnih zgrada u vlasništvu Op</w:t>
      </w:r>
      <w:r>
        <w:rPr>
          <w:rFonts w:ascii="Calibri" w:hAnsi="Calibri" w:cs="Calibri" w:eastAsia="Calibri"/>
          <w:color w:val="0000FF"/>
          <w:spacing w:val="0"/>
          <w:position w:val="0"/>
          <w:sz w:val="20"/>
          <w:u w:val="single"/>
          <w:shd w:fill="auto" w:val="clear"/>
        </w:rPr>
        <w:t xml:space="preserve">ćine u kontrolnoj 2020. godini</w:t>
      </w:r>
      <w:r>
        <w:rPr>
          <w:rFonts w:ascii="Calibri" w:hAnsi="Calibri" w:cs="Calibri" w:eastAsia="Calibri"/>
          <w:color w:val="auto"/>
          <w:spacing w:val="0"/>
          <w:position w:val="0"/>
          <w:sz w:val="20"/>
          <w:shd w:fill="auto" w:val="clear"/>
        </w:rPr>
        <w:tab/>
        <w:t xml:space="preserve">39</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Tabela 527: Godišnje emisije CO</w:t>
      </w:r>
      <w:r>
        <w:rPr>
          <w:rFonts w:ascii="Calibri" w:hAnsi="Calibri" w:cs="Calibri" w:eastAsia="Calibri"/>
          <w:color w:val="0000FF"/>
          <w:spacing w:val="0"/>
          <w:position w:val="0"/>
          <w:sz w:val="20"/>
          <w:u w:val="single"/>
          <w:shd w:fill="auto" w:val="clear"/>
          <w:vertAlign w:val="subscript"/>
        </w:rPr>
        <w:t xml:space="preserve">2  </w:t>
      </w:r>
      <w:r>
        <w:rPr>
          <w:rFonts w:ascii="Calibri" w:hAnsi="Calibri" w:cs="Calibri" w:eastAsia="Calibri"/>
          <w:color w:val="0000FF"/>
          <w:spacing w:val="0"/>
          <w:position w:val="0"/>
          <w:sz w:val="20"/>
          <w:u w:val="single"/>
          <w:shd w:fill="auto" w:val="clear"/>
        </w:rPr>
        <w:t xml:space="preserve">iz podsektora javnih zgrada u vlasništvu Op</w:t>
      </w:r>
      <w:r>
        <w:rPr>
          <w:rFonts w:ascii="Calibri" w:hAnsi="Calibri" w:cs="Calibri" w:eastAsia="Calibri"/>
          <w:color w:val="0000FF"/>
          <w:spacing w:val="0"/>
          <w:position w:val="0"/>
          <w:sz w:val="20"/>
          <w:u w:val="single"/>
          <w:shd w:fill="auto" w:val="clear"/>
        </w:rPr>
        <w:t xml:space="preserve">ćine u kontrolnoj 2020. godini</w:t>
      </w:r>
      <w:r>
        <w:rPr>
          <w:rFonts w:ascii="Calibri" w:hAnsi="Calibri" w:cs="Calibri" w:eastAsia="Calibri"/>
          <w:color w:val="auto"/>
          <w:spacing w:val="0"/>
          <w:position w:val="0"/>
          <w:sz w:val="20"/>
          <w:shd w:fill="auto" w:val="clear"/>
        </w:rPr>
        <w:tab/>
        <w:t xml:space="preserve">39</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Tabela 528: Zbirni pregled mjera energetske efikasnosti realiziranih u periodu 2010.–2020. na vanjskoj ovojnici javnih zgrada koje nisu u vlasništvu Op</w:t>
      </w:r>
      <w:r>
        <w:rPr>
          <w:rFonts w:ascii="Calibri" w:hAnsi="Calibri" w:cs="Calibri" w:eastAsia="Calibri"/>
          <w:color w:val="0000FF"/>
          <w:spacing w:val="0"/>
          <w:position w:val="0"/>
          <w:sz w:val="20"/>
          <w:u w:val="single"/>
          <w:shd w:fill="auto" w:val="clear"/>
        </w:rPr>
        <w:t xml:space="preserve">ćine</w:t>
      </w:r>
      <w:r>
        <w:rPr>
          <w:rFonts w:ascii="Calibri" w:hAnsi="Calibri" w:cs="Calibri" w:eastAsia="Calibri"/>
          <w:color w:val="auto"/>
          <w:spacing w:val="0"/>
          <w:position w:val="0"/>
          <w:sz w:val="20"/>
          <w:shd w:fill="auto" w:val="clear"/>
        </w:rPr>
        <w:tab/>
        <w:t xml:space="preserve">40</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Tabela 529: Zbirni pregled mjera energetske efikasnosti realiziranih u periodu 2010.–2020. godina na sistemima grijanja javnih zgrada koje nisu u vlasništvu Op</w:t>
      </w:r>
      <w:r>
        <w:rPr>
          <w:rFonts w:ascii="Calibri" w:hAnsi="Calibri" w:cs="Calibri" w:eastAsia="Calibri"/>
          <w:color w:val="0000FF"/>
          <w:spacing w:val="0"/>
          <w:position w:val="0"/>
          <w:sz w:val="20"/>
          <w:u w:val="single"/>
          <w:shd w:fill="auto" w:val="clear"/>
        </w:rPr>
        <w:t xml:space="preserve">ćine</w:t>
      </w:r>
      <w:r>
        <w:rPr>
          <w:rFonts w:ascii="Calibri" w:hAnsi="Calibri" w:cs="Calibri" w:eastAsia="Calibri"/>
          <w:color w:val="auto"/>
          <w:spacing w:val="0"/>
          <w:position w:val="0"/>
          <w:sz w:val="20"/>
          <w:shd w:fill="auto" w:val="clear"/>
        </w:rPr>
        <w:tab/>
        <w:t xml:space="preserve">40</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Tabela 530: Uštede finalne energije za grijanje javnih zgrada koje nisu u vlasništvu Op</w:t>
      </w:r>
      <w:r>
        <w:rPr>
          <w:rFonts w:ascii="Calibri" w:hAnsi="Calibri" w:cs="Calibri" w:eastAsia="Calibri"/>
          <w:color w:val="0000FF"/>
          <w:spacing w:val="0"/>
          <w:position w:val="0"/>
          <w:sz w:val="20"/>
          <w:u w:val="single"/>
          <w:shd w:fill="auto" w:val="clear"/>
        </w:rPr>
        <w:t xml:space="preserve">ćine ostvarene u kontrolnoj godini realizacijom mjera energetske efikasnosti</w:t>
      </w:r>
      <w:r>
        <w:rPr>
          <w:rFonts w:ascii="Calibri" w:hAnsi="Calibri" w:cs="Calibri" w:eastAsia="Calibri"/>
          <w:color w:val="auto"/>
          <w:spacing w:val="0"/>
          <w:position w:val="0"/>
          <w:sz w:val="20"/>
          <w:shd w:fill="auto" w:val="clear"/>
        </w:rPr>
        <w:tab/>
        <w:t xml:space="preserve">40</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Tabela 531: Potrebna finalna energija za grijanje javnih zgrada koje nisu u vlasništvu Op</w:t>
      </w:r>
      <w:r>
        <w:rPr>
          <w:rFonts w:ascii="Calibri" w:hAnsi="Calibri" w:cs="Calibri" w:eastAsia="Calibri"/>
          <w:color w:val="0000FF"/>
          <w:spacing w:val="0"/>
          <w:position w:val="0"/>
          <w:sz w:val="20"/>
          <w:u w:val="single"/>
          <w:shd w:fill="auto" w:val="clear"/>
        </w:rPr>
        <w:t xml:space="preserve">ćine u kontrolnoj godini</w:t>
      </w:r>
      <w:r>
        <w:rPr>
          <w:rFonts w:ascii="Calibri" w:hAnsi="Calibri" w:cs="Calibri" w:eastAsia="Calibri"/>
          <w:color w:val="auto"/>
          <w:spacing w:val="0"/>
          <w:position w:val="0"/>
          <w:sz w:val="20"/>
          <w:shd w:fill="auto" w:val="clear"/>
        </w:rPr>
        <w:tab/>
        <w:t xml:space="preserve">41</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Tabela 532: Godišnje emisije CO</w:t>
      </w:r>
      <w:r>
        <w:rPr>
          <w:rFonts w:ascii="Calibri" w:hAnsi="Calibri" w:cs="Calibri" w:eastAsia="Calibri"/>
          <w:color w:val="0000FF"/>
          <w:spacing w:val="0"/>
          <w:position w:val="0"/>
          <w:sz w:val="20"/>
          <w:u w:val="single"/>
          <w:shd w:fill="auto" w:val="clear"/>
          <w:vertAlign w:val="subscript"/>
        </w:rPr>
        <w:t xml:space="preserve">2</w:t>
      </w:r>
      <w:r>
        <w:rPr>
          <w:rFonts w:ascii="Calibri" w:hAnsi="Calibri" w:cs="Calibri" w:eastAsia="Calibri"/>
          <w:color w:val="0000FF"/>
          <w:spacing w:val="0"/>
          <w:position w:val="0"/>
          <w:sz w:val="20"/>
          <w:u w:val="single"/>
          <w:shd w:fill="auto" w:val="clear"/>
        </w:rPr>
        <w:t xml:space="preserve"> iz podsektora javnih zgrada koje nisu u vlasništvu Op</w:t>
      </w:r>
      <w:r>
        <w:rPr>
          <w:rFonts w:ascii="Calibri" w:hAnsi="Calibri" w:cs="Calibri" w:eastAsia="Calibri"/>
          <w:color w:val="0000FF"/>
          <w:spacing w:val="0"/>
          <w:position w:val="0"/>
          <w:sz w:val="20"/>
          <w:u w:val="single"/>
          <w:shd w:fill="auto" w:val="clear"/>
        </w:rPr>
        <w:t xml:space="preserve">ćine u kontrolnoj godini</w:t>
      </w:r>
      <w:r>
        <w:rPr>
          <w:rFonts w:ascii="Calibri" w:hAnsi="Calibri" w:cs="Calibri" w:eastAsia="Calibri"/>
          <w:color w:val="auto"/>
          <w:spacing w:val="0"/>
          <w:position w:val="0"/>
          <w:sz w:val="20"/>
          <w:shd w:fill="auto" w:val="clear"/>
        </w:rPr>
        <w:tab/>
        <w:t xml:space="preserve">41</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Tabela 533: Zbirni pregled mjera energetske efikasnosti na sistemima grijanja stambenih jedinica iz anketnog uzorka u periodu 2010. - 2020.</w:t>
      </w:r>
      <w:r>
        <w:rPr>
          <w:rFonts w:ascii="Calibri" w:hAnsi="Calibri" w:cs="Calibri" w:eastAsia="Calibri"/>
          <w:color w:val="auto"/>
          <w:spacing w:val="0"/>
          <w:position w:val="0"/>
          <w:sz w:val="20"/>
          <w:shd w:fill="auto" w:val="clear"/>
        </w:rPr>
        <w:tab/>
        <w:t xml:space="preserve">42</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Tabela 534: Zbirni pregled mjera energetske efikasnosti na ovojnici stambenih jedinica iz anketnog uzorka u periodu 2010.-2020.</w:t>
      </w:r>
      <w:r>
        <w:rPr>
          <w:rFonts w:ascii="Calibri" w:hAnsi="Calibri" w:cs="Calibri" w:eastAsia="Calibri"/>
          <w:color w:val="auto"/>
          <w:spacing w:val="0"/>
          <w:position w:val="0"/>
          <w:sz w:val="20"/>
          <w:shd w:fill="auto" w:val="clear"/>
        </w:rPr>
        <w:tab/>
        <w:t xml:space="preserve">42</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Tabela 535: Ušteda finalne energije za grijanje stambenih zgrada ostvarene u kontrolnoj 2020. godini realizacijom mjera energetske efikasnosti</w:t>
      </w:r>
      <w:r>
        <w:rPr>
          <w:rFonts w:ascii="Calibri" w:hAnsi="Calibri" w:cs="Calibri" w:eastAsia="Calibri"/>
          <w:color w:val="auto"/>
          <w:spacing w:val="0"/>
          <w:position w:val="0"/>
          <w:sz w:val="20"/>
          <w:shd w:fill="auto" w:val="clear"/>
        </w:rPr>
        <w:tab/>
        <w:t xml:space="preserve">42</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Tabela 536: Potrebna finalna energija za grijanje stambenih zgrada u kontrolnoj 2020. godini</w:t>
      </w:r>
      <w:r>
        <w:rPr>
          <w:rFonts w:ascii="Calibri" w:hAnsi="Calibri" w:cs="Calibri" w:eastAsia="Calibri"/>
          <w:color w:val="auto"/>
          <w:spacing w:val="0"/>
          <w:position w:val="0"/>
          <w:sz w:val="20"/>
          <w:shd w:fill="auto" w:val="clear"/>
        </w:rPr>
        <w:tab/>
        <w:t xml:space="preserve">43</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Tabela 537: Godišnje emisije CO</w:t>
      </w:r>
      <w:r>
        <w:rPr>
          <w:rFonts w:ascii="Calibri" w:hAnsi="Calibri" w:cs="Calibri" w:eastAsia="Calibri"/>
          <w:color w:val="0000FF"/>
          <w:spacing w:val="0"/>
          <w:position w:val="0"/>
          <w:sz w:val="20"/>
          <w:u w:val="single"/>
          <w:shd w:fill="auto" w:val="clear"/>
          <w:vertAlign w:val="subscript"/>
        </w:rPr>
        <w:t xml:space="preserve">2</w:t>
      </w:r>
      <w:r>
        <w:rPr>
          <w:rFonts w:ascii="Calibri" w:hAnsi="Calibri" w:cs="Calibri" w:eastAsia="Calibri"/>
          <w:color w:val="0000FF"/>
          <w:spacing w:val="0"/>
          <w:position w:val="0"/>
          <w:sz w:val="20"/>
          <w:u w:val="single"/>
          <w:shd w:fill="auto" w:val="clear"/>
        </w:rPr>
        <w:t xml:space="preserve"> iz podsektora stambenih zgrada u kontrolnoj 2020. godini</w:t>
      </w:r>
      <w:r>
        <w:rPr>
          <w:rFonts w:ascii="Calibri" w:hAnsi="Calibri" w:cs="Calibri" w:eastAsia="Calibri"/>
          <w:color w:val="auto"/>
          <w:spacing w:val="0"/>
          <w:position w:val="0"/>
          <w:sz w:val="20"/>
          <w:shd w:fill="auto" w:val="clear"/>
        </w:rPr>
        <w:tab/>
        <w:t xml:space="preserve">43</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Tabela 538: Broj vozila u kontrolnoj 2020. godini prema njihovim kategorijama</w:t>
      </w:r>
      <w:r>
        <w:rPr>
          <w:rFonts w:ascii="Calibri" w:hAnsi="Calibri" w:cs="Calibri" w:eastAsia="Calibri"/>
          <w:color w:val="auto"/>
          <w:spacing w:val="0"/>
          <w:position w:val="0"/>
          <w:sz w:val="20"/>
          <w:shd w:fill="auto" w:val="clear"/>
        </w:rPr>
        <w:tab/>
        <w:t xml:space="preserve">44</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Tabela 539: Broj vozila u kontrolnoj 2020. godini prema razmatranim podsektorima</w:t>
      </w:r>
      <w:r>
        <w:rPr>
          <w:rFonts w:ascii="Calibri" w:hAnsi="Calibri" w:cs="Calibri" w:eastAsia="Calibri"/>
          <w:color w:val="auto"/>
          <w:spacing w:val="0"/>
          <w:position w:val="0"/>
          <w:sz w:val="20"/>
          <w:shd w:fill="auto" w:val="clear"/>
        </w:rPr>
        <w:tab/>
        <w:t xml:space="preserve">44</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Tabela 540: Potrošnja energije i emisije CO</w:t>
      </w:r>
      <w:r>
        <w:rPr>
          <w:rFonts w:ascii="Calibri" w:hAnsi="Calibri" w:cs="Calibri" w:eastAsia="Calibri"/>
          <w:color w:val="0000FF"/>
          <w:spacing w:val="0"/>
          <w:position w:val="0"/>
          <w:sz w:val="20"/>
          <w:u w:val="single"/>
          <w:shd w:fill="auto" w:val="clear"/>
          <w:vertAlign w:val="subscript"/>
        </w:rPr>
        <w:t xml:space="preserve">2</w:t>
      </w:r>
      <w:r>
        <w:rPr>
          <w:rFonts w:ascii="Calibri" w:hAnsi="Calibri" w:cs="Calibri" w:eastAsia="Calibri"/>
          <w:color w:val="0000FF"/>
          <w:spacing w:val="0"/>
          <w:position w:val="0"/>
          <w:sz w:val="20"/>
          <w:u w:val="single"/>
          <w:shd w:fill="auto" w:val="clear"/>
        </w:rPr>
        <w:t xml:space="preserve"> po energentima za vozila u vlasništvu Op</w:t>
      </w:r>
      <w:r>
        <w:rPr>
          <w:rFonts w:ascii="Calibri" w:hAnsi="Calibri" w:cs="Calibri" w:eastAsia="Calibri"/>
          <w:color w:val="0000FF"/>
          <w:spacing w:val="0"/>
          <w:position w:val="0"/>
          <w:sz w:val="20"/>
          <w:u w:val="single"/>
          <w:shd w:fill="auto" w:val="clear"/>
        </w:rPr>
        <w:t xml:space="preserve">ćine Doboj Istok u 2020. godini</w:t>
      </w:r>
      <w:r>
        <w:rPr>
          <w:rFonts w:ascii="Calibri" w:hAnsi="Calibri" w:cs="Calibri" w:eastAsia="Calibri"/>
          <w:color w:val="auto"/>
          <w:spacing w:val="0"/>
          <w:position w:val="0"/>
          <w:sz w:val="20"/>
          <w:shd w:fill="auto" w:val="clear"/>
        </w:rPr>
        <w:tab/>
        <w:t xml:space="preserve">45</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Tabela 541: Ukupna godišnja potrošnja energije i emisije CO</w:t>
      </w:r>
      <w:r>
        <w:rPr>
          <w:rFonts w:ascii="Calibri" w:hAnsi="Calibri" w:cs="Calibri" w:eastAsia="Calibri"/>
          <w:color w:val="0000FF"/>
          <w:spacing w:val="0"/>
          <w:position w:val="0"/>
          <w:sz w:val="20"/>
          <w:u w:val="single"/>
          <w:shd w:fill="auto" w:val="clear"/>
          <w:vertAlign w:val="subscript"/>
        </w:rPr>
        <w:t xml:space="preserve">2</w:t>
      </w:r>
      <w:r>
        <w:rPr>
          <w:rFonts w:ascii="Calibri" w:hAnsi="Calibri" w:cs="Calibri" w:eastAsia="Calibri"/>
          <w:color w:val="0000FF"/>
          <w:spacing w:val="0"/>
          <w:position w:val="0"/>
          <w:sz w:val="20"/>
          <w:u w:val="single"/>
          <w:shd w:fill="auto" w:val="clear"/>
        </w:rPr>
        <w:t xml:space="preserve"> za podsektor javnog prijevoza u kontrolnoj godini</w:t>
      </w:r>
      <w:r>
        <w:rPr>
          <w:rFonts w:ascii="Calibri" w:hAnsi="Calibri" w:cs="Calibri" w:eastAsia="Calibri"/>
          <w:color w:val="auto"/>
          <w:spacing w:val="0"/>
          <w:position w:val="0"/>
          <w:sz w:val="20"/>
          <w:shd w:fill="auto" w:val="clear"/>
        </w:rPr>
        <w:tab/>
        <w:t xml:space="preserve">45</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Tabela 542: Broj osobnih i komercijalnih vozila u kontrolnoj godini prema ekološkim kategorijama</w:t>
      </w:r>
      <w:r>
        <w:rPr>
          <w:rFonts w:ascii="Calibri" w:hAnsi="Calibri" w:cs="Calibri" w:eastAsia="Calibri"/>
          <w:color w:val="auto"/>
          <w:spacing w:val="0"/>
          <w:position w:val="0"/>
          <w:sz w:val="20"/>
          <w:shd w:fill="auto" w:val="clear"/>
        </w:rPr>
        <w:tab/>
        <w:t xml:space="preserve">46</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Tabela 543: Potrošnja energije i emisije CO</w:t>
      </w:r>
      <w:r>
        <w:rPr>
          <w:rFonts w:ascii="Calibri" w:hAnsi="Calibri" w:cs="Calibri" w:eastAsia="Calibri"/>
          <w:color w:val="0000FF"/>
          <w:spacing w:val="0"/>
          <w:position w:val="0"/>
          <w:sz w:val="20"/>
          <w:u w:val="single"/>
          <w:shd w:fill="auto" w:val="clear"/>
          <w:vertAlign w:val="subscript"/>
        </w:rPr>
        <w:t xml:space="preserve">2</w:t>
      </w:r>
      <w:r>
        <w:rPr>
          <w:rFonts w:ascii="Calibri" w:hAnsi="Calibri" w:cs="Calibri" w:eastAsia="Calibri"/>
          <w:color w:val="0000FF"/>
          <w:spacing w:val="0"/>
          <w:position w:val="0"/>
          <w:sz w:val="20"/>
          <w:u w:val="single"/>
          <w:shd w:fill="auto" w:val="clear"/>
        </w:rPr>
        <w:t xml:space="preserve"> prema pojedinim gorivima za osobna i komercijalna vozila u kontrolnoj 2020. godini</w:t>
      </w:r>
      <w:r>
        <w:rPr>
          <w:rFonts w:ascii="Calibri" w:hAnsi="Calibri" w:cs="Calibri" w:eastAsia="Calibri"/>
          <w:color w:val="auto"/>
          <w:spacing w:val="0"/>
          <w:position w:val="0"/>
          <w:sz w:val="20"/>
          <w:shd w:fill="auto" w:val="clear"/>
        </w:rPr>
        <w:tab/>
        <w:t xml:space="preserve">46</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Tabela 544 : Ukupna godišnja potrošnja energije i emisije CO</w:t>
      </w:r>
      <w:r>
        <w:rPr>
          <w:rFonts w:ascii="Calibri" w:hAnsi="Calibri" w:cs="Calibri" w:eastAsia="Calibri"/>
          <w:color w:val="0000FF"/>
          <w:spacing w:val="0"/>
          <w:position w:val="0"/>
          <w:sz w:val="20"/>
          <w:u w:val="single"/>
          <w:shd w:fill="auto" w:val="clear"/>
          <w:vertAlign w:val="subscript"/>
        </w:rPr>
        <w:t xml:space="preserve">2</w:t>
      </w:r>
      <w:r>
        <w:rPr>
          <w:rFonts w:ascii="Calibri" w:hAnsi="Calibri" w:cs="Calibri" w:eastAsia="Calibri"/>
          <w:color w:val="0000FF"/>
          <w:spacing w:val="0"/>
          <w:position w:val="0"/>
          <w:sz w:val="20"/>
          <w:u w:val="single"/>
          <w:shd w:fill="auto" w:val="clear"/>
        </w:rPr>
        <w:t xml:space="preserve">  za sektor javne rasvjete u kontrolnoj 2020. godini</w:t>
      </w:r>
      <w:r>
        <w:rPr>
          <w:rFonts w:ascii="Calibri" w:hAnsi="Calibri" w:cs="Calibri" w:eastAsia="Calibri"/>
          <w:color w:val="auto"/>
          <w:spacing w:val="0"/>
          <w:position w:val="0"/>
          <w:sz w:val="20"/>
          <w:shd w:fill="auto" w:val="clear"/>
        </w:rPr>
        <w:tab/>
        <w:t xml:space="preserve">47</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Tabela 545: Ukupna godišnja potrošnja energije i emisije CO</w:t>
      </w:r>
      <w:r>
        <w:rPr>
          <w:rFonts w:ascii="Calibri" w:hAnsi="Calibri" w:cs="Calibri" w:eastAsia="Calibri"/>
          <w:color w:val="0000FF"/>
          <w:spacing w:val="0"/>
          <w:position w:val="0"/>
          <w:sz w:val="20"/>
          <w:u w:val="single"/>
          <w:shd w:fill="auto" w:val="clear"/>
          <w:vertAlign w:val="subscript"/>
        </w:rPr>
        <w:t xml:space="preserve">2</w:t>
      </w:r>
      <w:r>
        <w:rPr>
          <w:rFonts w:ascii="Calibri" w:hAnsi="Calibri" w:cs="Calibri" w:eastAsia="Calibri"/>
          <w:color w:val="0000FF"/>
          <w:spacing w:val="0"/>
          <w:position w:val="0"/>
          <w:sz w:val="20"/>
          <w:u w:val="single"/>
          <w:shd w:fill="auto" w:val="clear"/>
        </w:rPr>
        <w:t xml:space="preserve">  za sektor vodosnabdijevanja u kontrolnoj godini</w:t>
      </w:r>
      <w:r>
        <w:rPr>
          <w:rFonts w:ascii="Calibri" w:hAnsi="Calibri" w:cs="Calibri" w:eastAsia="Calibri"/>
          <w:color w:val="auto"/>
          <w:spacing w:val="0"/>
          <w:position w:val="0"/>
          <w:sz w:val="20"/>
          <w:shd w:fill="auto" w:val="clear"/>
        </w:rPr>
        <w:tab/>
        <w:t xml:space="preserve">48</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Tabela 546: Kontrolni inventar finalne energije za sve razmatranem sektore</w:t>
      </w:r>
      <w:r>
        <w:rPr>
          <w:rFonts w:ascii="Calibri" w:hAnsi="Calibri" w:cs="Calibri" w:eastAsia="Calibri"/>
          <w:color w:val="auto"/>
          <w:spacing w:val="0"/>
          <w:position w:val="0"/>
          <w:sz w:val="20"/>
          <w:shd w:fill="auto" w:val="clear"/>
        </w:rPr>
        <w:tab/>
        <w:t xml:space="preserve">48</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Tabela 547: Kontrolni inventar emisija CO</w:t>
      </w:r>
      <w:r>
        <w:rPr>
          <w:rFonts w:ascii="Calibri" w:hAnsi="Calibri" w:cs="Calibri" w:eastAsia="Calibri"/>
          <w:color w:val="0000FF"/>
          <w:spacing w:val="0"/>
          <w:position w:val="0"/>
          <w:sz w:val="20"/>
          <w:u w:val="single"/>
          <w:shd w:fill="auto" w:val="clear"/>
          <w:vertAlign w:val="subscript"/>
        </w:rPr>
        <w:t xml:space="preserve">2</w:t>
      </w:r>
      <w:r>
        <w:rPr>
          <w:rFonts w:ascii="Calibri" w:hAnsi="Calibri" w:cs="Calibri" w:eastAsia="Calibri"/>
          <w:color w:val="0000FF"/>
          <w:spacing w:val="0"/>
          <w:position w:val="0"/>
          <w:sz w:val="20"/>
          <w:u w:val="single"/>
          <w:shd w:fill="auto" w:val="clear"/>
        </w:rPr>
        <w:t xml:space="preserve"> iz svih razmatranih sektora finalne potrošnje energije</w:t>
      </w:r>
      <w:r>
        <w:rPr>
          <w:rFonts w:ascii="Calibri" w:hAnsi="Calibri" w:cs="Calibri" w:eastAsia="Calibri"/>
          <w:color w:val="auto"/>
          <w:spacing w:val="0"/>
          <w:position w:val="0"/>
          <w:sz w:val="20"/>
          <w:shd w:fill="auto" w:val="clear"/>
        </w:rPr>
        <w:tab/>
        <w:t xml:space="preserve">50</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Tabela 548: Pore</w:t>
      </w:r>
      <w:r>
        <w:rPr>
          <w:rFonts w:ascii="Calibri" w:hAnsi="Calibri" w:cs="Calibri" w:eastAsia="Calibri"/>
          <w:color w:val="0000FF"/>
          <w:spacing w:val="0"/>
          <w:position w:val="0"/>
          <w:sz w:val="20"/>
          <w:u w:val="single"/>
          <w:shd w:fill="auto" w:val="clear"/>
        </w:rPr>
        <w:t xml:space="preserve">đenje ukupne potrošnje finalne energije i potrošnje po sektorima u baznoj i kontrolnoj godini</w:t>
      </w:r>
      <w:r>
        <w:rPr>
          <w:rFonts w:ascii="Calibri" w:hAnsi="Calibri" w:cs="Calibri" w:eastAsia="Calibri"/>
          <w:color w:val="auto"/>
          <w:spacing w:val="0"/>
          <w:position w:val="0"/>
          <w:sz w:val="20"/>
          <w:shd w:fill="auto" w:val="clear"/>
        </w:rPr>
        <w:tab/>
        <w:t xml:space="preserve">51</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Tabela 549: Pore</w:t>
      </w:r>
      <w:r>
        <w:rPr>
          <w:rFonts w:ascii="Calibri" w:hAnsi="Calibri" w:cs="Calibri" w:eastAsia="Calibri"/>
          <w:color w:val="0000FF"/>
          <w:spacing w:val="0"/>
          <w:position w:val="0"/>
          <w:sz w:val="20"/>
          <w:u w:val="single"/>
          <w:shd w:fill="auto" w:val="clear"/>
        </w:rPr>
        <w:t xml:space="preserve">đenje ukupnih emisija CO</w:t>
      </w:r>
      <w:r>
        <w:rPr>
          <w:rFonts w:ascii="Calibri" w:hAnsi="Calibri" w:cs="Calibri" w:eastAsia="Calibri"/>
          <w:color w:val="0000FF"/>
          <w:spacing w:val="0"/>
          <w:position w:val="0"/>
          <w:sz w:val="20"/>
          <w:u w:val="single"/>
          <w:shd w:fill="auto" w:val="clear"/>
          <w:vertAlign w:val="subscript"/>
        </w:rPr>
        <w:t xml:space="preserve">2</w:t>
      </w:r>
      <w:r>
        <w:rPr>
          <w:rFonts w:ascii="Calibri" w:hAnsi="Calibri" w:cs="Calibri" w:eastAsia="Calibri"/>
          <w:color w:val="0000FF"/>
          <w:spacing w:val="0"/>
          <w:position w:val="0"/>
          <w:sz w:val="20"/>
          <w:u w:val="single"/>
          <w:shd w:fill="auto" w:val="clear"/>
        </w:rPr>
        <w:t xml:space="preserve"> i emisija iz razmatranih sektora u baznoj i kontrolnoj godini</w:t>
      </w:r>
      <w:r>
        <w:rPr>
          <w:rFonts w:ascii="Calibri" w:hAnsi="Calibri" w:cs="Calibri" w:eastAsia="Calibri"/>
          <w:color w:val="auto"/>
          <w:spacing w:val="0"/>
          <w:position w:val="0"/>
          <w:sz w:val="20"/>
          <w:shd w:fill="auto" w:val="clear"/>
        </w:rPr>
        <w:tab/>
        <w:t xml:space="preserve">52</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Tabela 550: Pore</w:t>
      </w:r>
      <w:r>
        <w:rPr>
          <w:rFonts w:ascii="Calibri" w:hAnsi="Calibri" w:cs="Calibri" w:eastAsia="Calibri"/>
          <w:color w:val="0000FF"/>
          <w:spacing w:val="0"/>
          <w:position w:val="0"/>
          <w:sz w:val="20"/>
          <w:u w:val="single"/>
          <w:shd w:fill="auto" w:val="clear"/>
        </w:rPr>
        <w:t xml:space="preserve">đenje ukupne potrošnje finalne energije i energije iz razmatranih energenata u baznoj i kontrolnoj godini</w:t>
      </w:r>
      <w:r>
        <w:rPr>
          <w:rFonts w:ascii="Calibri" w:hAnsi="Calibri" w:cs="Calibri" w:eastAsia="Calibri"/>
          <w:color w:val="auto"/>
          <w:spacing w:val="0"/>
          <w:position w:val="0"/>
          <w:sz w:val="20"/>
          <w:shd w:fill="auto" w:val="clear"/>
        </w:rPr>
        <w:tab/>
        <w:t xml:space="preserve">54</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Tabela 551: Pore</w:t>
      </w:r>
      <w:r>
        <w:rPr>
          <w:rFonts w:ascii="Calibri" w:hAnsi="Calibri" w:cs="Calibri" w:eastAsia="Calibri"/>
          <w:color w:val="0000FF"/>
          <w:spacing w:val="0"/>
          <w:position w:val="0"/>
          <w:sz w:val="20"/>
          <w:u w:val="single"/>
          <w:shd w:fill="auto" w:val="clear"/>
        </w:rPr>
        <w:t xml:space="preserve">đenje ukupnih emisija CO</w:t>
      </w:r>
      <w:r>
        <w:rPr>
          <w:rFonts w:ascii="Calibri" w:hAnsi="Calibri" w:cs="Calibri" w:eastAsia="Calibri"/>
          <w:color w:val="0000FF"/>
          <w:spacing w:val="0"/>
          <w:position w:val="0"/>
          <w:sz w:val="20"/>
          <w:u w:val="single"/>
          <w:shd w:fill="auto" w:val="clear"/>
          <w:vertAlign w:val="subscript"/>
        </w:rPr>
        <w:t xml:space="preserve">2</w:t>
      </w:r>
      <w:r>
        <w:rPr>
          <w:rFonts w:ascii="Calibri" w:hAnsi="Calibri" w:cs="Calibri" w:eastAsia="Calibri"/>
          <w:color w:val="0000FF"/>
          <w:spacing w:val="0"/>
          <w:position w:val="0"/>
          <w:sz w:val="20"/>
          <w:u w:val="single"/>
          <w:shd w:fill="auto" w:val="clear"/>
        </w:rPr>
        <w:t xml:space="preserve"> i emisija iz razmatranih energenata u baznoj i kontrolnoj godini</w:t>
      </w:r>
      <w:r>
        <w:rPr>
          <w:rFonts w:ascii="Calibri" w:hAnsi="Calibri" w:cs="Calibri" w:eastAsia="Calibri"/>
          <w:color w:val="auto"/>
          <w:spacing w:val="0"/>
          <w:position w:val="0"/>
          <w:sz w:val="20"/>
          <w:shd w:fill="auto" w:val="clear"/>
        </w:rPr>
        <w:tab/>
        <w:t xml:space="preserve">55</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Tabela 552: Projekcija godišnje potrošnje energije i emisija CO</w:t>
      </w:r>
      <w:r>
        <w:rPr>
          <w:rFonts w:ascii="Calibri" w:hAnsi="Calibri" w:cs="Calibri" w:eastAsia="Calibri"/>
          <w:color w:val="0000FF"/>
          <w:spacing w:val="0"/>
          <w:position w:val="0"/>
          <w:sz w:val="20"/>
          <w:u w:val="single"/>
          <w:shd w:fill="auto" w:val="clear"/>
          <w:vertAlign w:val="subscript"/>
        </w:rPr>
        <w:t xml:space="preserve">2 </w:t>
      </w:r>
      <w:r>
        <w:rPr>
          <w:rFonts w:ascii="Calibri" w:hAnsi="Calibri" w:cs="Calibri" w:eastAsia="Calibri"/>
          <w:color w:val="0000FF"/>
          <w:spacing w:val="0"/>
          <w:position w:val="0"/>
          <w:sz w:val="20"/>
          <w:u w:val="single"/>
          <w:shd w:fill="auto" w:val="clear"/>
        </w:rPr>
        <w:t xml:space="preserve">do 2030. godine u podsektorima javnih zgrada za scenario bez dodatnih mjera</w:t>
      </w:r>
      <w:r>
        <w:rPr>
          <w:rFonts w:ascii="Calibri" w:hAnsi="Calibri" w:cs="Calibri" w:eastAsia="Calibri"/>
          <w:color w:val="auto"/>
          <w:spacing w:val="0"/>
          <w:position w:val="0"/>
          <w:sz w:val="20"/>
          <w:shd w:fill="auto" w:val="clear"/>
        </w:rPr>
        <w:tab/>
        <w:t xml:space="preserve">57</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Tabela 553: Projekcija godišnje potrošnje energije i emisija CO</w:t>
      </w:r>
      <w:r>
        <w:rPr>
          <w:rFonts w:ascii="Calibri" w:hAnsi="Calibri" w:cs="Calibri" w:eastAsia="Calibri"/>
          <w:color w:val="0000FF"/>
          <w:spacing w:val="0"/>
          <w:position w:val="0"/>
          <w:sz w:val="20"/>
          <w:u w:val="single"/>
          <w:shd w:fill="auto" w:val="clear"/>
          <w:vertAlign w:val="subscript"/>
        </w:rPr>
        <w:t xml:space="preserve">2</w:t>
      </w:r>
      <w:r>
        <w:rPr>
          <w:rFonts w:ascii="Calibri" w:hAnsi="Calibri" w:cs="Calibri" w:eastAsia="Calibri"/>
          <w:color w:val="0000FF"/>
          <w:spacing w:val="0"/>
          <w:position w:val="0"/>
          <w:sz w:val="20"/>
          <w:u w:val="single"/>
          <w:shd w:fill="auto" w:val="clear"/>
        </w:rPr>
        <w:t xml:space="preserve"> do 2030. godine u podsektoru stambenih zgrada za scenario bez dodatnih mjera Op</w:t>
      </w:r>
      <w:r>
        <w:rPr>
          <w:rFonts w:ascii="Calibri" w:hAnsi="Calibri" w:cs="Calibri" w:eastAsia="Calibri"/>
          <w:color w:val="0000FF"/>
          <w:spacing w:val="0"/>
          <w:position w:val="0"/>
          <w:sz w:val="20"/>
          <w:u w:val="single"/>
          <w:shd w:fill="auto" w:val="clear"/>
        </w:rPr>
        <w:t xml:space="preserve">ćine</w:t>
      </w:r>
      <w:r>
        <w:rPr>
          <w:rFonts w:ascii="Calibri" w:hAnsi="Calibri" w:cs="Calibri" w:eastAsia="Calibri"/>
          <w:color w:val="auto"/>
          <w:spacing w:val="0"/>
          <w:position w:val="0"/>
          <w:sz w:val="20"/>
          <w:shd w:fill="auto" w:val="clear"/>
        </w:rPr>
        <w:tab/>
        <w:t xml:space="preserve">57</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Tabela 554: Projekcija godišnje potrošnje energije i emisija CO</w:t>
      </w:r>
      <w:r>
        <w:rPr>
          <w:rFonts w:ascii="Calibri" w:hAnsi="Calibri" w:cs="Calibri" w:eastAsia="Calibri"/>
          <w:color w:val="0000FF"/>
          <w:spacing w:val="0"/>
          <w:position w:val="0"/>
          <w:sz w:val="20"/>
          <w:u w:val="single"/>
          <w:shd w:fill="auto" w:val="clear"/>
          <w:vertAlign w:val="subscript"/>
        </w:rPr>
        <w:t xml:space="preserve">2</w:t>
      </w:r>
      <w:r>
        <w:rPr>
          <w:rFonts w:ascii="Calibri" w:hAnsi="Calibri" w:cs="Calibri" w:eastAsia="Calibri"/>
          <w:color w:val="0000FF"/>
          <w:spacing w:val="0"/>
          <w:position w:val="0"/>
          <w:sz w:val="20"/>
          <w:u w:val="single"/>
          <w:shd w:fill="auto" w:val="clear"/>
        </w:rPr>
        <w:t xml:space="preserve"> do 2030. godine u sektoru saobra</w:t>
      </w:r>
      <w:r>
        <w:rPr>
          <w:rFonts w:ascii="Calibri" w:hAnsi="Calibri" w:cs="Calibri" w:eastAsia="Calibri"/>
          <w:color w:val="0000FF"/>
          <w:spacing w:val="0"/>
          <w:position w:val="0"/>
          <w:sz w:val="20"/>
          <w:u w:val="single"/>
          <w:shd w:fill="auto" w:val="clear"/>
        </w:rPr>
        <w:t xml:space="preserve">ćaja za scenario bez dodatnih mjera Općine</w:t>
      </w:r>
      <w:r>
        <w:rPr>
          <w:rFonts w:ascii="Calibri" w:hAnsi="Calibri" w:cs="Calibri" w:eastAsia="Calibri"/>
          <w:color w:val="auto"/>
          <w:spacing w:val="0"/>
          <w:position w:val="0"/>
          <w:sz w:val="20"/>
          <w:shd w:fill="auto" w:val="clear"/>
        </w:rPr>
        <w:tab/>
        <w:t xml:space="preserve">57</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Tabela 555</w:t>
      </w:r>
      <w:r>
        <w:rPr>
          <w:rFonts w:ascii="Calibri" w:hAnsi="Calibri" w:cs="Calibri" w:eastAsia="Calibri"/>
          <w:b/>
          <w:color w:val="0000FF"/>
          <w:spacing w:val="0"/>
          <w:position w:val="0"/>
          <w:sz w:val="20"/>
          <w:u w:val="single"/>
          <w:shd w:fill="auto" w:val="clear"/>
        </w:rPr>
        <w:t xml:space="preserve">: </w:t>
      </w:r>
      <w:r>
        <w:rPr>
          <w:rFonts w:ascii="Calibri" w:hAnsi="Calibri" w:cs="Calibri" w:eastAsia="Calibri"/>
          <w:color w:val="0000FF"/>
          <w:spacing w:val="0"/>
          <w:position w:val="0"/>
          <w:sz w:val="20"/>
          <w:u w:val="single"/>
          <w:shd w:fill="auto" w:val="clear"/>
        </w:rPr>
        <w:t xml:space="preserve"> Projekcija godišnje potrošnje energije i emisija CO</w:t>
      </w:r>
      <w:r>
        <w:rPr>
          <w:rFonts w:ascii="Calibri" w:hAnsi="Calibri" w:cs="Calibri" w:eastAsia="Calibri"/>
          <w:color w:val="0000FF"/>
          <w:spacing w:val="0"/>
          <w:position w:val="0"/>
          <w:sz w:val="20"/>
          <w:u w:val="single"/>
          <w:shd w:fill="auto" w:val="clear"/>
          <w:vertAlign w:val="subscript"/>
        </w:rPr>
        <w:t xml:space="preserve">2</w:t>
      </w:r>
      <w:r>
        <w:rPr>
          <w:rFonts w:ascii="Calibri" w:hAnsi="Calibri" w:cs="Calibri" w:eastAsia="Calibri"/>
          <w:color w:val="0000FF"/>
          <w:spacing w:val="0"/>
          <w:position w:val="0"/>
          <w:sz w:val="20"/>
          <w:u w:val="single"/>
          <w:shd w:fill="auto" w:val="clear"/>
        </w:rPr>
        <w:t xml:space="preserve"> do 2030. godine u sektoru javne rasvjete za scenario bez</w:t>
      </w:r>
      <w:r>
        <w:rPr>
          <w:rFonts w:ascii="Calibri" w:hAnsi="Calibri" w:cs="Calibri" w:eastAsia="Calibri"/>
          <w:b/>
          <w:color w:val="0000FF"/>
          <w:spacing w:val="0"/>
          <w:position w:val="0"/>
          <w:sz w:val="20"/>
          <w:u w:val="single"/>
          <w:shd w:fill="auto" w:val="clear"/>
        </w:rPr>
        <w:t xml:space="preserve"> </w:t>
      </w:r>
      <w:r>
        <w:rPr>
          <w:rFonts w:ascii="Calibri" w:hAnsi="Calibri" w:cs="Calibri" w:eastAsia="Calibri"/>
          <w:color w:val="0000FF"/>
          <w:spacing w:val="0"/>
          <w:position w:val="0"/>
          <w:sz w:val="20"/>
          <w:u w:val="single"/>
          <w:shd w:fill="auto" w:val="clear"/>
        </w:rPr>
        <w:t xml:space="preserve">dodatnih mjera Op</w:t>
      </w:r>
      <w:r>
        <w:rPr>
          <w:rFonts w:ascii="Calibri" w:hAnsi="Calibri" w:cs="Calibri" w:eastAsia="Calibri"/>
          <w:color w:val="0000FF"/>
          <w:spacing w:val="0"/>
          <w:position w:val="0"/>
          <w:sz w:val="20"/>
          <w:u w:val="single"/>
          <w:shd w:fill="auto" w:val="clear"/>
        </w:rPr>
        <w:t xml:space="preserve">ćine</w:t>
      </w:r>
      <w:r>
        <w:rPr>
          <w:rFonts w:ascii="Calibri" w:hAnsi="Calibri" w:cs="Calibri" w:eastAsia="Calibri"/>
          <w:color w:val="auto"/>
          <w:spacing w:val="0"/>
          <w:position w:val="0"/>
          <w:sz w:val="20"/>
          <w:shd w:fill="auto" w:val="clear"/>
        </w:rPr>
        <w:tab/>
        <w:t xml:space="preserve">58</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Tabela 556: Projekcija godišnje potrošnje energije i emisija CO</w:t>
      </w:r>
      <w:r>
        <w:rPr>
          <w:rFonts w:ascii="Calibri" w:hAnsi="Calibri" w:cs="Calibri" w:eastAsia="Calibri"/>
          <w:color w:val="0000FF"/>
          <w:spacing w:val="0"/>
          <w:position w:val="0"/>
          <w:sz w:val="20"/>
          <w:u w:val="single"/>
          <w:shd w:fill="auto" w:val="clear"/>
          <w:vertAlign w:val="subscript"/>
        </w:rPr>
        <w:t xml:space="preserve">2</w:t>
      </w:r>
      <w:r>
        <w:rPr>
          <w:rFonts w:ascii="Calibri" w:hAnsi="Calibri" w:cs="Calibri" w:eastAsia="Calibri"/>
          <w:color w:val="0000FF"/>
          <w:spacing w:val="0"/>
          <w:position w:val="0"/>
          <w:sz w:val="20"/>
          <w:u w:val="single"/>
          <w:shd w:fill="auto" w:val="clear"/>
        </w:rPr>
        <w:t xml:space="preserve"> do 2030. godine u sektoru vodosnabdijevanja za scenario bez dodatnih mjera Op</w:t>
      </w:r>
      <w:r>
        <w:rPr>
          <w:rFonts w:ascii="Calibri" w:hAnsi="Calibri" w:cs="Calibri" w:eastAsia="Calibri"/>
          <w:color w:val="0000FF"/>
          <w:spacing w:val="0"/>
          <w:position w:val="0"/>
          <w:sz w:val="20"/>
          <w:u w:val="single"/>
          <w:shd w:fill="auto" w:val="clear"/>
        </w:rPr>
        <w:t xml:space="preserve">ćine</w:t>
      </w:r>
      <w:r>
        <w:rPr>
          <w:rFonts w:ascii="Calibri" w:hAnsi="Calibri" w:cs="Calibri" w:eastAsia="Calibri"/>
          <w:color w:val="auto"/>
          <w:spacing w:val="0"/>
          <w:position w:val="0"/>
          <w:sz w:val="20"/>
          <w:shd w:fill="auto" w:val="clear"/>
        </w:rPr>
        <w:tab/>
        <w:t xml:space="preserve">58</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Tabela 557: Zbirna projekcija godišnjih emisija CO</w:t>
      </w:r>
      <w:r>
        <w:rPr>
          <w:rFonts w:ascii="Calibri" w:hAnsi="Calibri" w:cs="Calibri" w:eastAsia="Calibri"/>
          <w:color w:val="0000FF"/>
          <w:spacing w:val="0"/>
          <w:position w:val="0"/>
          <w:sz w:val="20"/>
          <w:u w:val="single"/>
          <w:shd w:fill="auto" w:val="clear"/>
          <w:vertAlign w:val="subscript"/>
        </w:rPr>
        <w:t xml:space="preserve">2</w:t>
      </w:r>
      <w:r>
        <w:rPr>
          <w:rFonts w:ascii="Calibri" w:hAnsi="Calibri" w:cs="Calibri" w:eastAsia="Calibri"/>
          <w:color w:val="0000FF"/>
          <w:spacing w:val="0"/>
          <w:position w:val="0"/>
          <w:sz w:val="20"/>
          <w:u w:val="single"/>
          <w:shd w:fill="auto" w:val="clear"/>
        </w:rPr>
        <w:t xml:space="preserve"> do 2030. godine u svim sektorima za scenario bez dodatnih mjera Op</w:t>
      </w:r>
      <w:r>
        <w:rPr>
          <w:rFonts w:ascii="Calibri" w:hAnsi="Calibri" w:cs="Calibri" w:eastAsia="Calibri"/>
          <w:color w:val="0000FF"/>
          <w:spacing w:val="0"/>
          <w:position w:val="0"/>
          <w:sz w:val="20"/>
          <w:u w:val="single"/>
          <w:shd w:fill="auto" w:val="clear"/>
        </w:rPr>
        <w:t xml:space="preserve">ćine</w:t>
      </w:r>
      <w:r>
        <w:rPr>
          <w:rFonts w:ascii="Calibri" w:hAnsi="Calibri" w:cs="Calibri" w:eastAsia="Calibri"/>
          <w:color w:val="auto"/>
          <w:spacing w:val="0"/>
          <w:position w:val="0"/>
          <w:sz w:val="20"/>
          <w:shd w:fill="auto" w:val="clear"/>
        </w:rPr>
        <w:tab/>
        <w:t xml:space="preserve">59</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Tabela 558: Mjere energetske efikasnosti Op</w:t>
      </w:r>
      <w:r>
        <w:rPr>
          <w:rFonts w:ascii="Calibri" w:hAnsi="Calibri" w:cs="Calibri" w:eastAsia="Calibri"/>
          <w:color w:val="0000FF"/>
          <w:spacing w:val="0"/>
          <w:position w:val="0"/>
          <w:sz w:val="20"/>
          <w:u w:val="single"/>
          <w:shd w:fill="auto" w:val="clear"/>
        </w:rPr>
        <w:t xml:space="preserve">ćine Doboj Istok za postizanje postavljenog cilja smanjenja emisija CO</w:t>
      </w:r>
      <w:r>
        <w:rPr>
          <w:rFonts w:ascii="Calibri" w:hAnsi="Calibri" w:cs="Calibri" w:eastAsia="Calibri"/>
          <w:color w:val="0000FF"/>
          <w:spacing w:val="0"/>
          <w:position w:val="0"/>
          <w:sz w:val="20"/>
          <w:u w:val="single"/>
          <w:shd w:fill="auto" w:val="clear"/>
          <w:vertAlign w:val="subscript"/>
        </w:rPr>
        <w:t xml:space="preserve">2</w:t>
      </w:r>
      <w:r>
        <w:rPr>
          <w:rFonts w:ascii="Calibri" w:hAnsi="Calibri" w:cs="Calibri" w:eastAsia="Calibri"/>
          <w:color w:val="0000FF"/>
          <w:spacing w:val="0"/>
          <w:position w:val="0"/>
          <w:sz w:val="20"/>
          <w:u w:val="single"/>
          <w:shd w:fill="auto" w:val="clear"/>
        </w:rPr>
        <w:t xml:space="preserve"> do 2030. godine</w:t>
      </w:r>
      <w:r>
        <w:rPr>
          <w:rFonts w:ascii="Calibri" w:hAnsi="Calibri" w:cs="Calibri" w:eastAsia="Calibri"/>
          <w:color w:val="auto"/>
          <w:spacing w:val="0"/>
          <w:position w:val="0"/>
          <w:sz w:val="20"/>
          <w:shd w:fill="auto" w:val="clear"/>
        </w:rPr>
        <w:tab/>
        <w:t xml:space="preserve">60</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Tabela 559: Financijski okvir i efekti realizacije planiranih mjera za ublažavanje posljedica klimatskih promjena</w:t>
      </w:r>
      <w:r>
        <w:rPr>
          <w:rFonts w:ascii="Calibri" w:hAnsi="Calibri" w:cs="Calibri" w:eastAsia="Calibri"/>
          <w:color w:val="auto"/>
          <w:spacing w:val="0"/>
          <w:position w:val="0"/>
          <w:sz w:val="20"/>
          <w:shd w:fill="auto" w:val="clear"/>
        </w:rPr>
        <w:tab/>
        <w:t xml:space="preserve">68</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Tabela 560: Dinamika realizacije mjera za ublažavanje posljedica klimatskih promjena</w:t>
      </w:r>
      <w:r>
        <w:rPr>
          <w:rFonts w:ascii="Calibri" w:hAnsi="Calibri" w:cs="Calibri" w:eastAsia="Calibri"/>
          <w:color w:val="auto"/>
          <w:spacing w:val="0"/>
          <w:position w:val="0"/>
          <w:sz w:val="20"/>
          <w:shd w:fill="auto" w:val="clear"/>
        </w:rPr>
        <w:tab/>
        <w:t xml:space="preserve">69</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Tabela 561: Projekcije godišnje potrošnje finalne energije i emisija CO</w:t>
      </w:r>
      <w:r>
        <w:rPr>
          <w:rFonts w:ascii="Calibri" w:hAnsi="Calibri" w:cs="Calibri" w:eastAsia="Calibri"/>
          <w:color w:val="0000FF"/>
          <w:spacing w:val="0"/>
          <w:position w:val="0"/>
          <w:sz w:val="20"/>
          <w:u w:val="single"/>
          <w:shd w:fill="auto" w:val="clear"/>
          <w:vertAlign w:val="subscript"/>
        </w:rPr>
        <w:t xml:space="preserve">2</w:t>
      </w:r>
      <w:r>
        <w:rPr>
          <w:rFonts w:ascii="Calibri" w:hAnsi="Calibri" w:cs="Calibri" w:eastAsia="Calibri"/>
          <w:color w:val="0000FF"/>
          <w:spacing w:val="0"/>
          <w:position w:val="0"/>
          <w:sz w:val="20"/>
          <w:u w:val="single"/>
          <w:shd w:fill="auto" w:val="clear"/>
        </w:rPr>
        <w:t xml:space="preserve"> do 2030. godine za scenario sa planiranim mjerama -  podsektori javnih zgrada</w:t>
      </w:r>
      <w:r>
        <w:rPr>
          <w:rFonts w:ascii="Calibri" w:hAnsi="Calibri" w:cs="Calibri" w:eastAsia="Calibri"/>
          <w:color w:val="auto"/>
          <w:spacing w:val="0"/>
          <w:position w:val="0"/>
          <w:sz w:val="20"/>
          <w:shd w:fill="auto" w:val="clear"/>
        </w:rPr>
        <w:tab/>
        <w:t xml:space="preserve">70</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Tabela 562: Projekcije godišnje potrošnje finalne energije i emisija CO</w:t>
      </w:r>
      <w:r>
        <w:rPr>
          <w:rFonts w:ascii="Calibri" w:hAnsi="Calibri" w:cs="Calibri" w:eastAsia="Calibri"/>
          <w:color w:val="0000FF"/>
          <w:spacing w:val="0"/>
          <w:position w:val="0"/>
          <w:sz w:val="20"/>
          <w:u w:val="single"/>
          <w:shd w:fill="auto" w:val="clear"/>
          <w:vertAlign w:val="subscript"/>
        </w:rPr>
        <w:t xml:space="preserve">2</w:t>
      </w:r>
      <w:r>
        <w:rPr>
          <w:rFonts w:ascii="Calibri" w:hAnsi="Calibri" w:cs="Calibri" w:eastAsia="Calibri"/>
          <w:color w:val="0000FF"/>
          <w:spacing w:val="0"/>
          <w:position w:val="0"/>
          <w:sz w:val="20"/>
          <w:u w:val="single"/>
          <w:shd w:fill="auto" w:val="clear"/>
        </w:rPr>
        <w:t xml:space="preserve"> do 2030. godine za scenario sa planiranim mjerama - podsektor stambenih zgrada</w:t>
      </w:r>
      <w:r>
        <w:rPr>
          <w:rFonts w:ascii="Calibri" w:hAnsi="Calibri" w:cs="Calibri" w:eastAsia="Calibri"/>
          <w:color w:val="auto"/>
          <w:spacing w:val="0"/>
          <w:position w:val="0"/>
          <w:sz w:val="20"/>
          <w:shd w:fill="auto" w:val="clear"/>
        </w:rPr>
        <w:tab/>
        <w:t xml:space="preserve">70</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Tabela 563: Projekcije godišnje potrošnje finalne energije i emisija CO</w:t>
      </w:r>
      <w:r>
        <w:rPr>
          <w:rFonts w:ascii="Calibri" w:hAnsi="Calibri" w:cs="Calibri" w:eastAsia="Calibri"/>
          <w:color w:val="0000FF"/>
          <w:spacing w:val="0"/>
          <w:position w:val="0"/>
          <w:sz w:val="20"/>
          <w:u w:val="single"/>
          <w:shd w:fill="auto" w:val="clear"/>
          <w:vertAlign w:val="subscript"/>
        </w:rPr>
        <w:t xml:space="preserve">2</w:t>
      </w:r>
      <w:r>
        <w:rPr>
          <w:rFonts w:ascii="Calibri" w:hAnsi="Calibri" w:cs="Calibri" w:eastAsia="Calibri"/>
          <w:color w:val="0000FF"/>
          <w:spacing w:val="0"/>
          <w:position w:val="0"/>
          <w:sz w:val="20"/>
          <w:u w:val="single"/>
          <w:shd w:fill="auto" w:val="clear"/>
        </w:rPr>
        <w:t xml:space="preserve"> do 2030. godine za scenario sa planiranim mjerama - sektor saobra</w:t>
      </w:r>
      <w:r>
        <w:rPr>
          <w:rFonts w:ascii="Calibri" w:hAnsi="Calibri" w:cs="Calibri" w:eastAsia="Calibri"/>
          <w:color w:val="0000FF"/>
          <w:spacing w:val="0"/>
          <w:position w:val="0"/>
          <w:sz w:val="20"/>
          <w:u w:val="single"/>
          <w:shd w:fill="auto" w:val="clear"/>
        </w:rPr>
        <w:t xml:space="preserve">ćaja</w:t>
      </w:r>
      <w:r>
        <w:rPr>
          <w:rFonts w:ascii="Calibri" w:hAnsi="Calibri" w:cs="Calibri" w:eastAsia="Calibri"/>
          <w:color w:val="auto"/>
          <w:spacing w:val="0"/>
          <w:position w:val="0"/>
          <w:sz w:val="20"/>
          <w:shd w:fill="auto" w:val="clear"/>
        </w:rPr>
        <w:tab/>
        <w:t xml:space="preserve">70</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Tabela 564: Projekcije godišnje potrošnje finalne energije i emisija CO</w:t>
      </w:r>
      <w:r>
        <w:rPr>
          <w:rFonts w:ascii="Calibri" w:hAnsi="Calibri" w:cs="Calibri" w:eastAsia="Calibri"/>
          <w:color w:val="0000FF"/>
          <w:spacing w:val="0"/>
          <w:position w:val="0"/>
          <w:sz w:val="20"/>
          <w:u w:val="single"/>
          <w:shd w:fill="auto" w:val="clear"/>
          <w:vertAlign w:val="subscript"/>
        </w:rPr>
        <w:t xml:space="preserve">2</w:t>
      </w:r>
      <w:r>
        <w:rPr>
          <w:rFonts w:ascii="Calibri" w:hAnsi="Calibri" w:cs="Calibri" w:eastAsia="Calibri"/>
          <w:color w:val="0000FF"/>
          <w:spacing w:val="0"/>
          <w:position w:val="0"/>
          <w:sz w:val="20"/>
          <w:u w:val="single"/>
          <w:shd w:fill="auto" w:val="clear"/>
        </w:rPr>
        <w:t xml:space="preserve"> do 2030. godine za scenario sa planiranim mjerama – sektor javne rasvjete</w:t>
      </w:r>
      <w:r>
        <w:rPr>
          <w:rFonts w:ascii="Calibri" w:hAnsi="Calibri" w:cs="Calibri" w:eastAsia="Calibri"/>
          <w:color w:val="auto"/>
          <w:spacing w:val="0"/>
          <w:position w:val="0"/>
          <w:sz w:val="20"/>
          <w:shd w:fill="auto" w:val="clear"/>
        </w:rPr>
        <w:tab/>
        <w:t xml:space="preserve">71</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Tabela 565: Projekcije godišnje potrošnje finalne energije i emisija CO</w:t>
      </w:r>
      <w:r>
        <w:rPr>
          <w:rFonts w:ascii="Calibri" w:hAnsi="Calibri" w:cs="Calibri" w:eastAsia="Calibri"/>
          <w:color w:val="0000FF"/>
          <w:spacing w:val="0"/>
          <w:position w:val="0"/>
          <w:sz w:val="20"/>
          <w:u w:val="single"/>
          <w:shd w:fill="auto" w:val="clear"/>
          <w:vertAlign w:val="subscript"/>
        </w:rPr>
        <w:t xml:space="preserve">2</w:t>
      </w:r>
      <w:r>
        <w:rPr>
          <w:rFonts w:ascii="Calibri" w:hAnsi="Calibri" w:cs="Calibri" w:eastAsia="Calibri"/>
          <w:color w:val="0000FF"/>
          <w:spacing w:val="0"/>
          <w:position w:val="0"/>
          <w:sz w:val="20"/>
          <w:u w:val="single"/>
          <w:shd w:fill="auto" w:val="clear"/>
        </w:rPr>
        <w:t xml:space="preserve"> do 2030. godine za scenario sa planiranim mjerama – sektor vodosnabdijevanja</w:t>
      </w:r>
      <w:r>
        <w:rPr>
          <w:rFonts w:ascii="Calibri" w:hAnsi="Calibri" w:cs="Calibri" w:eastAsia="Calibri"/>
          <w:color w:val="auto"/>
          <w:spacing w:val="0"/>
          <w:position w:val="0"/>
          <w:sz w:val="20"/>
          <w:shd w:fill="auto" w:val="clear"/>
        </w:rPr>
        <w:tab/>
        <w:t xml:space="preserve">71</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Tabela 566: Uporedni prikaz ukupnog baznog inventara emisija CO</w:t>
      </w:r>
      <w:r>
        <w:rPr>
          <w:rFonts w:ascii="Calibri" w:hAnsi="Calibri" w:cs="Calibri" w:eastAsia="Calibri"/>
          <w:color w:val="0000FF"/>
          <w:spacing w:val="0"/>
          <w:position w:val="0"/>
          <w:sz w:val="20"/>
          <w:u w:val="single"/>
          <w:shd w:fill="auto" w:val="clear"/>
          <w:vertAlign w:val="subscript"/>
        </w:rPr>
        <w:t xml:space="preserve">2</w:t>
      </w:r>
      <w:r>
        <w:rPr>
          <w:rFonts w:ascii="Calibri" w:hAnsi="Calibri" w:cs="Calibri" w:eastAsia="Calibri"/>
          <w:color w:val="0000FF"/>
          <w:spacing w:val="0"/>
          <w:position w:val="0"/>
          <w:sz w:val="20"/>
          <w:u w:val="single"/>
          <w:shd w:fill="auto" w:val="clear"/>
        </w:rPr>
        <w:t xml:space="preserve"> i projekcije inventara emisija u 2030. godini za scenario sa planiranim mjerama</w:t>
      </w:r>
      <w:r>
        <w:rPr>
          <w:rFonts w:ascii="Calibri" w:hAnsi="Calibri" w:cs="Calibri" w:eastAsia="Calibri"/>
          <w:color w:val="auto"/>
          <w:spacing w:val="0"/>
          <w:position w:val="0"/>
          <w:sz w:val="20"/>
          <w:shd w:fill="auto" w:val="clear"/>
        </w:rPr>
        <w:tab/>
        <w:t xml:space="preserve">72</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Tabela 567: Procentualno u</w:t>
      </w:r>
      <w:r>
        <w:rPr>
          <w:rFonts w:ascii="Calibri" w:hAnsi="Calibri" w:cs="Calibri" w:eastAsia="Calibri"/>
          <w:color w:val="0000FF"/>
          <w:spacing w:val="0"/>
          <w:position w:val="0"/>
          <w:sz w:val="20"/>
          <w:u w:val="single"/>
          <w:shd w:fill="auto" w:val="clear"/>
        </w:rPr>
        <w:t xml:space="preserve">češće razmatranih sektora i podsektora u ukupnom smanjenju emisija u 2030. za scenario sa planiranim mjerama</w:t>
      </w:r>
      <w:r>
        <w:rPr>
          <w:rFonts w:ascii="Calibri" w:hAnsi="Calibri" w:cs="Calibri" w:eastAsia="Calibri"/>
          <w:color w:val="auto"/>
          <w:spacing w:val="0"/>
          <w:position w:val="0"/>
          <w:sz w:val="20"/>
          <w:shd w:fill="auto" w:val="clear"/>
        </w:rPr>
        <w:tab/>
        <w:t xml:space="preserve">72</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3"/>
          <w:position w:val="0"/>
          <w:sz w:val="20"/>
          <w:u w:val="single"/>
          <w:shd w:fill="auto" w:val="clear"/>
        </w:rPr>
        <w:t xml:space="preserve">Tabela 61</w:t>
      </w:r>
      <w:r>
        <w:rPr>
          <w:rFonts w:ascii="Calibri" w:hAnsi="Calibri" w:cs="Calibri" w:eastAsia="Calibri"/>
          <w:color w:val="0000FF"/>
          <w:spacing w:val="0"/>
          <w:position w:val="0"/>
          <w:sz w:val="20"/>
          <w:u w:val="single"/>
          <w:shd w:fill="auto" w:val="clear"/>
        </w:rPr>
        <w:t xml:space="preserve">: Srednje mjese</w:t>
      </w:r>
      <w:r>
        <w:rPr>
          <w:rFonts w:ascii="Calibri" w:hAnsi="Calibri" w:cs="Calibri" w:eastAsia="Calibri"/>
          <w:color w:val="0000FF"/>
          <w:spacing w:val="0"/>
          <w:position w:val="0"/>
          <w:sz w:val="20"/>
          <w:u w:val="single"/>
          <w:shd w:fill="auto" w:val="clear"/>
        </w:rPr>
        <w:t xml:space="preserve">čne i godišnje temperature zraka (</w:t>
      </w:r>
      <w:r>
        <w:rPr>
          <w:rFonts w:ascii="Calibri" w:hAnsi="Calibri" w:cs="Calibri" w:eastAsia="Calibri"/>
          <w:color w:val="0000FF"/>
          <w:spacing w:val="0"/>
          <w:position w:val="0"/>
          <w:sz w:val="20"/>
          <w:u w:val="single"/>
          <w:shd w:fill="auto" w:val="clear"/>
          <w:vertAlign w:val="superscript"/>
        </w:rPr>
        <w:t xml:space="preserve">o</w:t>
      </w:r>
      <w:r>
        <w:rPr>
          <w:rFonts w:ascii="Calibri" w:hAnsi="Calibri" w:cs="Calibri" w:eastAsia="Calibri"/>
          <w:color w:val="0000FF"/>
          <w:spacing w:val="0"/>
          <w:position w:val="0"/>
          <w:sz w:val="20"/>
          <w:u w:val="single"/>
          <w:shd w:fill="auto" w:val="clear"/>
        </w:rPr>
        <w:t xml:space="preserve">C</w:t>
      </w:r>
      <w:r>
        <w:rPr>
          <w:rFonts w:ascii="Calibri" w:hAnsi="Calibri" w:cs="Calibri" w:eastAsia="Calibri"/>
          <w:color w:val="0000FF"/>
          <w:spacing w:val="0"/>
          <w:position w:val="0"/>
          <w:sz w:val="20"/>
          <w:u w:val="single"/>
          <w:shd w:fill="auto" w:val="clear"/>
          <w:vertAlign w:val="superscript"/>
        </w:rPr>
        <w:t xml:space="preserve"> </w:t>
      </w:r>
      <w:r>
        <w:rPr>
          <w:rFonts w:ascii="Calibri" w:hAnsi="Calibri" w:cs="Calibri" w:eastAsia="Calibri"/>
          <w:color w:val="0000FF"/>
          <w:spacing w:val="0"/>
          <w:position w:val="0"/>
          <w:sz w:val="20"/>
          <w:u w:val="single"/>
          <w:shd w:fill="auto" w:val="clear"/>
        </w:rPr>
        <w:t xml:space="preserve">) na području općine Doboj Istok</w:t>
      </w:r>
      <w:r>
        <w:rPr>
          <w:rFonts w:ascii="Calibri" w:hAnsi="Calibri" w:cs="Calibri" w:eastAsia="Calibri"/>
          <w:color w:val="auto"/>
          <w:spacing w:val="0"/>
          <w:position w:val="0"/>
          <w:sz w:val="20"/>
          <w:shd w:fill="auto" w:val="clear"/>
        </w:rPr>
        <w:tab/>
        <w:t xml:space="preserve">75</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Tabela 62: Karakteristike identificiranih opasnosti od posljedica klimatskih promjena na podru</w:t>
      </w:r>
      <w:r>
        <w:rPr>
          <w:rFonts w:ascii="Calibri" w:hAnsi="Calibri" w:cs="Calibri" w:eastAsia="Calibri"/>
          <w:color w:val="0000FF"/>
          <w:spacing w:val="0"/>
          <w:position w:val="0"/>
          <w:sz w:val="20"/>
          <w:u w:val="single"/>
          <w:shd w:fill="auto" w:val="clear"/>
        </w:rPr>
        <w:t xml:space="preserve">čju općine Doboj istok</w:t>
      </w:r>
      <w:r>
        <w:rPr>
          <w:rFonts w:ascii="Calibri" w:hAnsi="Calibri" w:cs="Calibri" w:eastAsia="Calibri"/>
          <w:color w:val="auto"/>
          <w:spacing w:val="0"/>
          <w:position w:val="0"/>
          <w:sz w:val="20"/>
          <w:shd w:fill="auto" w:val="clear"/>
        </w:rPr>
        <w:tab/>
        <w:t xml:space="preserve">80</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Tabela 63: Analiza ugroženosti socioekonomskih i prirodnih sektora na podru</w:t>
      </w:r>
      <w:r>
        <w:rPr>
          <w:rFonts w:ascii="Calibri" w:hAnsi="Calibri" w:cs="Calibri" w:eastAsia="Calibri"/>
          <w:color w:val="0000FF"/>
          <w:spacing w:val="0"/>
          <w:position w:val="0"/>
          <w:sz w:val="20"/>
          <w:u w:val="single"/>
          <w:shd w:fill="auto" w:val="clear"/>
        </w:rPr>
        <w:t xml:space="preserve">čju općine Doboj Istok od opasnosti prouzrokovanih klimatskim promjenama</w:t>
      </w:r>
      <w:r>
        <w:rPr>
          <w:rFonts w:ascii="Calibri" w:hAnsi="Calibri" w:cs="Calibri" w:eastAsia="Calibri"/>
          <w:color w:val="auto"/>
          <w:spacing w:val="0"/>
          <w:position w:val="0"/>
          <w:sz w:val="20"/>
          <w:shd w:fill="auto" w:val="clear"/>
        </w:rPr>
        <w:tab/>
        <w:t xml:space="preserve">82</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Tabela 64: Karakteristike kapaciteta op</w:t>
      </w:r>
      <w:r>
        <w:rPr>
          <w:rFonts w:ascii="Calibri" w:hAnsi="Calibri" w:cs="Calibri" w:eastAsia="Calibri"/>
          <w:color w:val="0000FF"/>
          <w:spacing w:val="0"/>
          <w:position w:val="0"/>
          <w:sz w:val="20"/>
          <w:u w:val="single"/>
          <w:shd w:fill="auto" w:val="clear"/>
        </w:rPr>
        <w:t xml:space="preserve">ćine Doboj Istok za prilagođavanje na klimatske promjene</w:t>
      </w:r>
      <w:r>
        <w:rPr>
          <w:rFonts w:ascii="Calibri" w:hAnsi="Calibri" w:cs="Calibri" w:eastAsia="Calibri"/>
          <w:color w:val="auto"/>
          <w:spacing w:val="0"/>
          <w:position w:val="0"/>
          <w:sz w:val="20"/>
          <w:shd w:fill="auto" w:val="clear"/>
        </w:rPr>
        <w:tab/>
        <w:t xml:space="preserve">84</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Tabela 65: Dinamika i financijski okvir realizacije plana mjera za prilago</w:t>
      </w:r>
      <w:r>
        <w:rPr>
          <w:rFonts w:ascii="Calibri" w:hAnsi="Calibri" w:cs="Calibri" w:eastAsia="Calibri"/>
          <w:color w:val="0000FF"/>
          <w:spacing w:val="0"/>
          <w:position w:val="0"/>
          <w:sz w:val="20"/>
          <w:u w:val="single"/>
          <w:shd w:fill="auto" w:val="clear"/>
        </w:rPr>
        <w:t xml:space="preserve">đavanje klimatskim promjenama na području općine Doboj Istok</w:t>
      </w:r>
      <w:r>
        <w:rPr>
          <w:rFonts w:ascii="Calibri" w:hAnsi="Calibri" w:cs="Calibri" w:eastAsia="Calibri"/>
          <w:color w:val="auto"/>
          <w:spacing w:val="0"/>
          <w:position w:val="0"/>
          <w:sz w:val="20"/>
          <w:shd w:fill="auto" w:val="clear"/>
        </w:rPr>
        <w:tab/>
        <w:t xml:space="preserve">96</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Tabela 71: Pregled dostupnih izvora financiranja planiranih mjera</w:t>
      </w:r>
      <w:r>
        <w:rPr>
          <w:rFonts w:ascii="Calibri" w:hAnsi="Calibri" w:cs="Calibri" w:eastAsia="Calibri"/>
          <w:color w:val="auto"/>
          <w:spacing w:val="0"/>
          <w:position w:val="0"/>
          <w:sz w:val="20"/>
          <w:shd w:fill="auto" w:val="clear"/>
        </w:rPr>
        <w:tab/>
        <w:t xml:space="preserve">99</w:t>
      </w:r>
    </w:p>
    <w:p>
      <w:pPr>
        <w:spacing w:before="360" w:after="0" w:line="240"/>
        <w:ind w:right="0" w:left="0" w:firstLine="0"/>
        <w:jc w:val="both"/>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LISTA DIJAGRAMA</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Dijagram 31: Vremenski  tok realizacije pripremnih radnji za pokretanje procesa izrade SECAP-a Doboj Istok</w:t>
      </w:r>
      <w:r>
        <w:rPr>
          <w:rFonts w:ascii="Calibri" w:hAnsi="Calibri" w:cs="Calibri" w:eastAsia="Calibri"/>
          <w:color w:val="auto"/>
          <w:spacing w:val="0"/>
          <w:position w:val="0"/>
          <w:sz w:val="20"/>
          <w:shd w:fill="auto" w:val="clear"/>
        </w:rPr>
        <w:tab/>
        <w:t xml:space="preserve">15</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Dijagram 32: Vremenski  tok realizacije aktivnosti na izradi dokumenta SECAP Doboj Istok</w:t>
      </w:r>
      <w:r>
        <w:rPr>
          <w:rFonts w:ascii="Calibri" w:hAnsi="Calibri" w:cs="Calibri" w:eastAsia="Calibri"/>
          <w:color w:val="auto"/>
          <w:spacing w:val="0"/>
          <w:position w:val="0"/>
          <w:sz w:val="20"/>
          <w:shd w:fill="auto" w:val="clear"/>
        </w:rPr>
        <w:tab/>
        <w:t xml:space="preserve">16</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Dijagram 51: Udio razmatranih energenata u potrebnoj finalnoj energiji za grijanje javnih zgrada u vlasništvu Op</w:t>
      </w:r>
      <w:r>
        <w:rPr>
          <w:rFonts w:ascii="Calibri" w:hAnsi="Calibri" w:cs="Calibri" w:eastAsia="Calibri"/>
          <w:color w:val="0000FF"/>
          <w:spacing w:val="0"/>
          <w:position w:val="0"/>
          <w:sz w:val="20"/>
          <w:u w:val="single"/>
          <w:shd w:fill="auto" w:val="clear"/>
        </w:rPr>
        <w:t xml:space="preserve">ćine u baznoj godini</w:t>
      </w:r>
      <w:r>
        <w:rPr>
          <w:rFonts w:ascii="Calibri" w:hAnsi="Calibri" w:cs="Calibri" w:eastAsia="Calibri"/>
          <w:color w:val="auto"/>
          <w:spacing w:val="0"/>
          <w:position w:val="0"/>
          <w:sz w:val="20"/>
          <w:shd w:fill="auto" w:val="clear"/>
        </w:rPr>
        <w:tab/>
        <w:t xml:space="preserve">26</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Dijagram 52: Udio razmatranih energenata u godišnjim emisijama CO</w:t>
      </w:r>
      <w:r>
        <w:rPr>
          <w:rFonts w:ascii="Calibri" w:hAnsi="Calibri" w:cs="Calibri" w:eastAsia="Calibri"/>
          <w:color w:val="0000FF"/>
          <w:spacing w:val="0"/>
          <w:position w:val="0"/>
          <w:sz w:val="20"/>
          <w:u w:val="single"/>
          <w:shd w:fill="auto" w:val="clear"/>
          <w:vertAlign w:val="subscript"/>
        </w:rPr>
        <w:t xml:space="preserve">2</w:t>
      </w:r>
      <w:r>
        <w:rPr>
          <w:rFonts w:ascii="Calibri" w:hAnsi="Calibri" w:cs="Calibri" w:eastAsia="Calibri"/>
          <w:color w:val="0000FF"/>
          <w:spacing w:val="0"/>
          <w:position w:val="0"/>
          <w:sz w:val="20"/>
          <w:u w:val="single"/>
          <w:shd w:fill="auto" w:val="clear"/>
        </w:rPr>
        <w:t xml:space="preserve"> iz podsektora </w:t>
      </w:r>
      <w:r>
        <w:rPr>
          <w:rFonts w:ascii="Calibri" w:hAnsi="Calibri" w:cs="Calibri" w:eastAsia="Calibri"/>
          <w:color w:val="0000FF"/>
          <w:spacing w:val="0"/>
          <w:position w:val="0"/>
          <w:sz w:val="20"/>
          <w:u w:val="single"/>
          <w:shd w:fill="auto" w:val="clear"/>
          <w:vertAlign w:val="subscript"/>
        </w:rPr>
        <w:t xml:space="preserve"> </w:t>
      </w:r>
      <w:r>
        <w:rPr>
          <w:rFonts w:ascii="Calibri" w:hAnsi="Calibri" w:cs="Calibri" w:eastAsia="Calibri"/>
          <w:color w:val="0000FF"/>
          <w:spacing w:val="0"/>
          <w:position w:val="0"/>
          <w:sz w:val="20"/>
          <w:u w:val="single"/>
          <w:shd w:fill="auto" w:val="clear"/>
        </w:rPr>
        <w:t xml:space="preserve">javnih zgrada u vlasništvu Op</w:t>
      </w:r>
      <w:r>
        <w:rPr>
          <w:rFonts w:ascii="Calibri" w:hAnsi="Calibri" w:cs="Calibri" w:eastAsia="Calibri"/>
          <w:color w:val="0000FF"/>
          <w:spacing w:val="0"/>
          <w:position w:val="0"/>
          <w:sz w:val="20"/>
          <w:u w:val="single"/>
          <w:shd w:fill="auto" w:val="clear"/>
        </w:rPr>
        <w:t xml:space="preserve">ćine u baznoj godini</w:t>
      </w:r>
      <w:r>
        <w:rPr>
          <w:rFonts w:ascii="Calibri" w:hAnsi="Calibri" w:cs="Calibri" w:eastAsia="Calibri"/>
          <w:color w:val="auto"/>
          <w:spacing w:val="0"/>
          <w:position w:val="0"/>
          <w:sz w:val="20"/>
          <w:shd w:fill="auto" w:val="clear"/>
        </w:rPr>
        <w:tab/>
        <w:t xml:space="preserve">26</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Dijagram 53: Udio razmatranih energenata u potrebnoj finalnoj energiji za grijanje javnih zgrada koje nisu u vlasništvu Op</w:t>
      </w:r>
      <w:r>
        <w:rPr>
          <w:rFonts w:ascii="Calibri" w:hAnsi="Calibri" w:cs="Calibri" w:eastAsia="Calibri"/>
          <w:color w:val="0000FF"/>
          <w:spacing w:val="0"/>
          <w:position w:val="0"/>
          <w:sz w:val="20"/>
          <w:u w:val="single"/>
          <w:shd w:fill="auto" w:val="clear"/>
        </w:rPr>
        <w:t xml:space="preserve">ćine u baznoj godini</w:t>
      </w:r>
      <w:r>
        <w:rPr>
          <w:rFonts w:ascii="Calibri" w:hAnsi="Calibri" w:cs="Calibri" w:eastAsia="Calibri"/>
          <w:color w:val="auto"/>
          <w:spacing w:val="0"/>
          <w:position w:val="0"/>
          <w:sz w:val="20"/>
          <w:shd w:fill="auto" w:val="clear"/>
        </w:rPr>
        <w:tab/>
        <w:t xml:space="preserve">28</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Dijagram 54: Udio razmatranih energenata u godišnjim emisijama CO</w:t>
      </w:r>
      <w:r>
        <w:rPr>
          <w:rFonts w:ascii="Calibri" w:hAnsi="Calibri" w:cs="Calibri" w:eastAsia="Calibri"/>
          <w:color w:val="0000FF"/>
          <w:spacing w:val="0"/>
          <w:position w:val="0"/>
          <w:sz w:val="20"/>
          <w:u w:val="single"/>
          <w:shd w:fill="auto" w:val="clear"/>
          <w:vertAlign w:val="subscript"/>
        </w:rPr>
        <w:t xml:space="preserve">2 </w:t>
      </w:r>
      <w:r>
        <w:rPr>
          <w:rFonts w:ascii="Calibri" w:hAnsi="Calibri" w:cs="Calibri" w:eastAsia="Calibri"/>
          <w:color w:val="0000FF"/>
          <w:spacing w:val="0"/>
          <w:position w:val="0"/>
          <w:sz w:val="20"/>
          <w:u w:val="single"/>
          <w:shd w:fill="auto" w:val="clear"/>
        </w:rPr>
        <w:t xml:space="preserve">iz podsektora javnih zgrada koje nisu u vlasništvu Op</w:t>
      </w:r>
      <w:r>
        <w:rPr>
          <w:rFonts w:ascii="Calibri" w:hAnsi="Calibri" w:cs="Calibri" w:eastAsia="Calibri"/>
          <w:color w:val="0000FF"/>
          <w:spacing w:val="0"/>
          <w:position w:val="0"/>
          <w:sz w:val="20"/>
          <w:u w:val="single"/>
          <w:shd w:fill="auto" w:val="clear"/>
        </w:rPr>
        <w:t xml:space="preserve">ćine u baznoj godini</w:t>
      </w:r>
      <w:r>
        <w:rPr>
          <w:rFonts w:ascii="Calibri" w:hAnsi="Calibri" w:cs="Calibri" w:eastAsia="Calibri"/>
          <w:color w:val="auto"/>
          <w:spacing w:val="0"/>
          <w:position w:val="0"/>
          <w:sz w:val="20"/>
          <w:shd w:fill="auto" w:val="clear"/>
        </w:rPr>
        <w:tab/>
        <w:t xml:space="preserve">28</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Dijagram 55: Udio razmatranih energenata u finalnoj energiji za grijanje stambenih zgrada u baznoj godini</w:t>
      </w:r>
      <w:r>
        <w:rPr>
          <w:rFonts w:ascii="Calibri" w:hAnsi="Calibri" w:cs="Calibri" w:eastAsia="Calibri"/>
          <w:color w:val="auto"/>
          <w:spacing w:val="0"/>
          <w:position w:val="0"/>
          <w:sz w:val="20"/>
          <w:shd w:fill="auto" w:val="clear"/>
        </w:rPr>
        <w:tab/>
        <w:t xml:space="preserve">31</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Dijagram 56: Udio razmatranih energenata u emisijama CO</w:t>
      </w:r>
      <w:r>
        <w:rPr>
          <w:rFonts w:ascii="Calibri" w:hAnsi="Calibri" w:cs="Calibri" w:eastAsia="Calibri"/>
          <w:color w:val="0000FF"/>
          <w:spacing w:val="0"/>
          <w:position w:val="0"/>
          <w:sz w:val="20"/>
          <w:u w:val="single"/>
          <w:shd w:fill="auto" w:val="clear"/>
          <w:vertAlign w:val="subscript"/>
        </w:rPr>
        <w:t xml:space="preserve">2 </w:t>
      </w:r>
      <w:r>
        <w:rPr>
          <w:rFonts w:ascii="Calibri" w:hAnsi="Calibri" w:cs="Calibri" w:eastAsia="Calibri"/>
          <w:color w:val="0000FF"/>
          <w:spacing w:val="0"/>
          <w:position w:val="0"/>
          <w:sz w:val="20"/>
          <w:u w:val="single"/>
          <w:shd w:fill="auto" w:val="clear"/>
        </w:rPr>
        <w:t xml:space="preserve">iz podsektora stambenih zgrada u baznoj godini</w:t>
      </w:r>
      <w:r>
        <w:rPr>
          <w:rFonts w:ascii="Calibri" w:hAnsi="Calibri" w:cs="Calibri" w:eastAsia="Calibri"/>
          <w:color w:val="auto"/>
          <w:spacing w:val="0"/>
          <w:position w:val="0"/>
          <w:sz w:val="20"/>
          <w:shd w:fill="auto" w:val="clear"/>
        </w:rPr>
        <w:tab/>
        <w:t xml:space="preserve">31</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Dijagram 57: Struktura vozila u sektoru saobra</w:t>
      </w:r>
      <w:r>
        <w:rPr>
          <w:rFonts w:ascii="Calibri" w:hAnsi="Calibri" w:cs="Calibri" w:eastAsia="Calibri"/>
          <w:color w:val="0000FF"/>
          <w:spacing w:val="0"/>
          <w:position w:val="0"/>
          <w:sz w:val="20"/>
          <w:u w:val="single"/>
          <w:shd w:fill="auto" w:val="clear"/>
        </w:rPr>
        <w:t xml:space="preserve">ćaja općine Doboj Istok prema kategorijama vozila u baznoj godini</w:t>
      </w:r>
      <w:r>
        <w:rPr>
          <w:rFonts w:ascii="Calibri" w:hAnsi="Calibri" w:cs="Calibri" w:eastAsia="Calibri"/>
          <w:color w:val="auto"/>
          <w:spacing w:val="0"/>
          <w:position w:val="0"/>
          <w:sz w:val="20"/>
          <w:shd w:fill="auto" w:val="clear"/>
        </w:rPr>
        <w:tab/>
        <w:t xml:space="preserve">31</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Dijagram 58: Udio broja vozila u razmatranim podsektorima saobra</w:t>
      </w:r>
      <w:r>
        <w:rPr>
          <w:rFonts w:ascii="Calibri" w:hAnsi="Calibri" w:cs="Calibri" w:eastAsia="Calibri"/>
          <w:color w:val="0000FF"/>
          <w:spacing w:val="0"/>
          <w:position w:val="0"/>
          <w:sz w:val="20"/>
          <w:u w:val="single"/>
          <w:shd w:fill="auto" w:val="clear"/>
        </w:rPr>
        <w:t xml:space="preserve">ćajnog sektora u baznoj godini</w:t>
      </w:r>
      <w:r>
        <w:rPr>
          <w:rFonts w:ascii="Calibri" w:hAnsi="Calibri" w:cs="Calibri" w:eastAsia="Calibri"/>
          <w:color w:val="auto"/>
          <w:spacing w:val="0"/>
          <w:position w:val="0"/>
          <w:sz w:val="20"/>
          <w:shd w:fill="auto" w:val="clear"/>
        </w:rPr>
        <w:tab/>
        <w:t xml:space="preserve">31</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Dijagram 59: Potrošnja energije u podsektoru vozila u vlasništvu Op</w:t>
      </w:r>
      <w:r>
        <w:rPr>
          <w:rFonts w:ascii="Calibri" w:hAnsi="Calibri" w:cs="Calibri" w:eastAsia="Calibri"/>
          <w:color w:val="0000FF"/>
          <w:spacing w:val="0"/>
          <w:position w:val="0"/>
          <w:sz w:val="20"/>
          <w:u w:val="single"/>
          <w:shd w:fill="auto" w:val="clear"/>
        </w:rPr>
        <w:t xml:space="preserve">ćine u baznoj godini po energentima</w:t>
      </w:r>
      <w:r>
        <w:rPr>
          <w:rFonts w:ascii="Calibri" w:hAnsi="Calibri" w:cs="Calibri" w:eastAsia="Calibri"/>
          <w:color w:val="auto"/>
          <w:spacing w:val="0"/>
          <w:position w:val="0"/>
          <w:sz w:val="20"/>
          <w:shd w:fill="auto" w:val="clear"/>
        </w:rPr>
        <w:tab/>
        <w:t xml:space="preserve">32</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Dijagram 510: Udio razmatranih energenata u emisijama CO</w:t>
      </w:r>
      <w:r>
        <w:rPr>
          <w:rFonts w:ascii="Calibri" w:hAnsi="Calibri" w:cs="Calibri" w:eastAsia="Calibri"/>
          <w:color w:val="0000FF"/>
          <w:spacing w:val="0"/>
          <w:position w:val="0"/>
          <w:sz w:val="20"/>
          <w:u w:val="single"/>
          <w:shd w:fill="auto" w:val="clear"/>
          <w:vertAlign w:val="subscript"/>
        </w:rPr>
        <w:t xml:space="preserve">2</w:t>
      </w:r>
      <w:r>
        <w:rPr>
          <w:rFonts w:ascii="Calibri" w:hAnsi="Calibri" w:cs="Calibri" w:eastAsia="Calibri"/>
          <w:color w:val="0000FF"/>
          <w:spacing w:val="0"/>
          <w:position w:val="0"/>
          <w:sz w:val="20"/>
          <w:u w:val="single"/>
          <w:shd w:fill="auto" w:val="clear"/>
        </w:rPr>
        <w:t xml:space="preserve"> iz podsektora vozila u vlasništvu Op</w:t>
      </w:r>
      <w:r>
        <w:rPr>
          <w:rFonts w:ascii="Calibri" w:hAnsi="Calibri" w:cs="Calibri" w:eastAsia="Calibri"/>
          <w:color w:val="0000FF"/>
          <w:spacing w:val="0"/>
          <w:position w:val="0"/>
          <w:sz w:val="20"/>
          <w:u w:val="single"/>
          <w:shd w:fill="auto" w:val="clear"/>
        </w:rPr>
        <w:t xml:space="preserve">ćine u baznoj godini</w:t>
      </w:r>
      <w:r>
        <w:rPr>
          <w:rFonts w:ascii="Calibri" w:hAnsi="Calibri" w:cs="Calibri" w:eastAsia="Calibri"/>
          <w:color w:val="auto"/>
          <w:spacing w:val="0"/>
          <w:position w:val="0"/>
          <w:sz w:val="20"/>
          <w:shd w:fill="auto" w:val="clear"/>
        </w:rPr>
        <w:tab/>
        <w:t xml:space="preserve">32</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Dijagram 511: Struktura osobnih i komercijalnih vozila u baznoj godini prema ekološkim kategorijama</w:t>
      </w:r>
      <w:r>
        <w:rPr>
          <w:rFonts w:ascii="Calibri" w:hAnsi="Calibri" w:cs="Calibri" w:eastAsia="Calibri"/>
          <w:color w:val="auto"/>
          <w:spacing w:val="0"/>
          <w:position w:val="0"/>
          <w:sz w:val="20"/>
          <w:shd w:fill="auto" w:val="clear"/>
        </w:rPr>
        <w:tab/>
        <w:t xml:space="preserve">33</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Dijagram 512: Potrošnja energije u podsektoru osobnih  i komercijalnih vozila u baznoj godini prema energentima</w:t>
      </w:r>
      <w:r>
        <w:rPr>
          <w:rFonts w:ascii="Calibri" w:hAnsi="Calibri" w:cs="Calibri" w:eastAsia="Calibri"/>
          <w:color w:val="auto"/>
          <w:spacing w:val="0"/>
          <w:position w:val="0"/>
          <w:sz w:val="20"/>
          <w:shd w:fill="auto" w:val="clear"/>
        </w:rPr>
        <w:tab/>
        <w:t xml:space="preserve">33</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Dijagram 513: Udio razmatranih energenata u emisijama CO</w:t>
      </w:r>
      <w:r>
        <w:rPr>
          <w:rFonts w:ascii="Calibri" w:hAnsi="Calibri" w:cs="Calibri" w:eastAsia="Calibri"/>
          <w:b/>
          <w:color w:val="0000FF"/>
          <w:spacing w:val="0"/>
          <w:position w:val="0"/>
          <w:sz w:val="20"/>
          <w:u w:val="single"/>
          <w:shd w:fill="auto" w:val="clear"/>
          <w:vertAlign w:val="subscript"/>
        </w:rPr>
        <w:t xml:space="preserve">2</w:t>
      </w:r>
      <w:r>
        <w:rPr>
          <w:rFonts w:ascii="Calibri" w:hAnsi="Calibri" w:cs="Calibri" w:eastAsia="Calibri"/>
          <w:color w:val="0000FF"/>
          <w:spacing w:val="0"/>
          <w:position w:val="0"/>
          <w:sz w:val="20"/>
          <w:u w:val="single"/>
          <w:shd w:fill="auto" w:val="clear"/>
        </w:rPr>
        <w:t xml:space="preserve"> iz podsektora osobnih i komercijalnih vozila u baznoj godini</w:t>
      </w:r>
      <w:r>
        <w:rPr>
          <w:rFonts w:ascii="Calibri" w:hAnsi="Calibri" w:cs="Calibri" w:eastAsia="Calibri"/>
          <w:color w:val="auto"/>
          <w:spacing w:val="0"/>
          <w:position w:val="0"/>
          <w:sz w:val="20"/>
          <w:shd w:fill="auto" w:val="clear"/>
        </w:rPr>
        <w:tab/>
        <w:t xml:space="preserve">33</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Dijagram 514: Udio razmatranih sektora u ukupnoj finalnoj energiji u  baznoj godini</w:t>
      </w:r>
      <w:r>
        <w:rPr>
          <w:rFonts w:ascii="Calibri" w:hAnsi="Calibri" w:cs="Calibri" w:eastAsia="Calibri"/>
          <w:color w:val="auto"/>
          <w:spacing w:val="0"/>
          <w:position w:val="0"/>
          <w:sz w:val="20"/>
          <w:shd w:fill="auto" w:val="clear"/>
        </w:rPr>
        <w:tab/>
        <w:t xml:space="preserve">35</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Dijagram 515: Udio razmatranih energenata u ukupnoj finalnoj energiji u baznoj godini</w:t>
      </w:r>
      <w:r>
        <w:rPr>
          <w:rFonts w:ascii="Calibri" w:hAnsi="Calibri" w:cs="Calibri" w:eastAsia="Calibri"/>
          <w:color w:val="auto"/>
          <w:spacing w:val="0"/>
          <w:position w:val="0"/>
          <w:sz w:val="20"/>
          <w:shd w:fill="auto" w:val="clear"/>
        </w:rPr>
        <w:tab/>
        <w:t xml:space="preserve">35</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Dijagram 516: Udio razmatranih sektora u ukupnim emisijama CO</w:t>
      </w:r>
      <w:r>
        <w:rPr>
          <w:rFonts w:ascii="Calibri" w:hAnsi="Calibri" w:cs="Calibri" w:eastAsia="Calibri"/>
          <w:color w:val="0000FF"/>
          <w:spacing w:val="0"/>
          <w:position w:val="0"/>
          <w:sz w:val="20"/>
          <w:u w:val="single"/>
          <w:shd w:fill="auto" w:val="clear"/>
          <w:vertAlign w:val="subscript"/>
        </w:rPr>
        <w:t xml:space="preserve">2</w:t>
      </w:r>
      <w:r>
        <w:rPr>
          <w:rFonts w:ascii="Calibri" w:hAnsi="Calibri" w:cs="Calibri" w:eastAsia="Calibri"/>
          <w:color w:val="0000FF"/>
          <w:spacing w:val="0"/>
          <w:position w:val="0"/>
          <w:sz w:val="20"/>
          <w:u w:val="single"/>
          <w:shd w:fill="auto" w:val="clear"/>
        </w:rPr>
        <w:t xml:space="preserve"> u baznoj godini</w:t>
      </w:r>
      <w:r>
        <w:rPr>
          <w:rFonts w:ascii="Calibri" w:hAnsi="Calibri" w:cs="Calibri" w:eastAsia="Calibri"/>
          <w:color w:val="auto"/>
          <w:spacing w:val="0"/>
          <w:position w:val="0"/>
          <w:sz w:val="20"/>
          <w:shd w:fill="auto" w:val="clear"/>
        </w:rPr>
        <w:tab/>
        <w:t xml:space="preserve">36</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Dijagram 517: Udio razmatranih energenata u ukupnim emisijama CO</w:t>
      </w:r>
      <w:r>
        <w:rPr>
          <w:rFonts w:ascii="Calibri" w:hAnsi="Calibri" w:cs="Calibri" w:eastAsia="Calibri"/>
          <w:color w:val="0000FF"/>
          <w:spacing w:val="0"/>
          <w:position w:val="0"/>
          <w:sz w:val="20"/>
          <w:u w:val="single"/>
          <w:shd w:fill="auto" w:val="clear"/>
          <w:vertAlign w:val="subscript"/>
        </w:rPr>
        <w:t xml:space="preserve">2</w:t>
      </w:r>
      <w:r>
        <w:rPr>
          <w:rFonts w:ascii="Calibri" w:hAnsi="Calibri" w:cs="Calibri" w:eastAsia="Calibri"/>
          <w:color w:val="0000FF"/>
          <w:spacing w:val="0"/>
          <w:position w:val="0"/>
          <w:sz w:val="20"/>
          <w:u w:val="single"/>
          <w:shd w:fill="auto" w:val="clear"/>
        </w:rPr>
        <w:t xml:space="preserve"> u baznoj godini</w:t>
      </w:r>
      <w:r>
        <w:rPr>
          <w:rFonts w:ascii="Calibri" w:hAnsi="Calibri" w:cs="Calibri" w:eastAsia="Calibri"/>
          <w:color w:val="auto"/>
          <w:spacing w:val="0"/>
          <w:position w:val="0"/>
          <w:sz w:val="20"/>
          <w:shd w:fill="auto" w:val="clear"/>
        </w:rPr>
        <w:tab/>
        <w:t xml:space="preserve">36</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Dijagram 518: Udio razmatranih energenata u potrebnoj finalnoj energiji za grijanje javnih zgrada u vlasništvu Op</w:t>
      </w:r>
      <w:r>
        <w:rPr>
          <w:rFonts w:ascii="Calibri" w:hAnsi="Calibri" w:cs="Calibri" w:eastAsia="Calibri"/>
          <w:color w:val="0000FF"/>
          <w:spacing w:val="0"/>
          <w:position w:val="0"/>
          <w:sz w:val="20"/>
          <w:u w:val="single"/>
          <w:shd w:fill="auto" w:val="clear"/>
        </w:rPr>
        <w:t xml:space="preserve">ćine u kontrolnoj 2020. godini</w:t>
      </w:r>
      <w:r>
        <w:rPr>
          <w:rFonts w:ascii="Calibri" w:hAnsi="Calibri" w:cs="Calibri" w:eastAsia="Calibri"/>
          <w:color w:val="auto"/>
          <w:spacing w:val="0"/>
          <w:position w:val="0"/>
          <w:sz w:val="20"/>
          <w:shd w:fill="auto" w:val="clear"/>
        </w:rPr>
        <w:tab/>
        <w:t xml:space="preserve">39</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Dijagram 519: Udio razmatranih energenata u godišnjim emisijama CO</w:t>
      </w:r>
      <w:r>
        <w:rPr>
          <w:rFonts w:ascii="Calibri" w:hAnsi="Calibri" w:cs="Calibri" w:eastAsia="Calibri"/>
          <w:color w:val="0000FF"/>
          <w:spacing w:val="0"/>
          <w:position w:val="0"/>
          <w:sz w:val="20"/>
          <w:u w:val="single"/>
          <w:shd w:fill="auto" w:val="clear"/>
          <w:vertAlign w:val="subscript"/>
        </w:rPr>
        <w:t xml:space="preserve">2 </w:t>
      </w:r>
      <w:r>
        <w:rPr>
          <w:rFonts w:ascii="Calibri" w:hAnsi="Calibri" w:cs="Calibri" w:eastAsia="Calibri"/>
          <w:color w:val="0000FF"/>
          <w:spacing w:val="0"/>
          <w:position w:val="0"/>
          <w:sz w:val="20"/>
          <w:u w:val="single"/>
          <w:shd w:fill="auto" w:val="clear"/>
        </w:rPr>
        <w:t xml:space="preserve">iz podsektora javnih zgrada u vlasništvu Op</w:t>
      </w:r>
      <w:r>
        <w:rPr>
          <w:rFonts w:ascii="Calibri" w:hAnsi="Calibri" w:cs="Calibri" w:eastAsia="Calibri"/>
          <w:color w:val="0000FF"/>
          <w:spacing w:val="0"/>
          <w:position w:val="0"/>
          <w:sz w:val="20"/>
          <w:u w:val="single"/>
          <w:shd w:fill="auto" w:val="clear"/>
        </w:rPr>
        <w:t xml:space="preserve">ćine u kontrolnoj 2020. godini</w:t>
      </w:r>
      <w:r>
        <w:rPr>
          <w:rFonts w:ascii="Calibri" w:hAnsi="Calibri" w:cs="Calibri" w:eastAsia="Calibri"/>
          <w:color w:val="auto"/>
          <w:spacing w:val="0"/>
          <w:position w:val="0"/>
          <w:sz w:val="20"/>
          <w:shd w:fill="auto" w:val="clear"/>
        </w:rPr>
        <w:tab/>
        <w:t xml:space="preserve">39</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i/>
          <w:color w:val="0000FF"/>
          <w:spacing w:val="0"/>
          <w:position w:val="0"/>
          <w:sz w:val="20"/>
          <w:u w:val="single"/>
          <w:shd w:fill="auto" w:val="clear"/>
        </w:rPr>
        <w:t xml:space="preserve">Dijagram 520: Udio razmatranih energenata u potrebnoj finalnoj energiji za grijanje javnih zgrada koje nisu u vlasništvu Op</w:t>
      </w:r>
      <w:r>
        <w:rPr>
          <w:rFonts w:ascii="Calibri" w:hAnsi="Calibri" w:cs="Calibri" w:eastAsia="Calibri"/>
          <w:i/>
          <w:color w:val="0000FF"/>
          <w:spacing w:val="0"/>
          <w:position w:val="0"/>
          <w:sz w:val="20"/>
          <w:u w:val="single"/>
          <w:shd w:fill="auto" w:val="clear"/>
        </w:rPr>
        <w:t xml:space="preserve">ćine u kontrolnoj 2020. godini</w:t>
      </w:r>
      <w:r>
        <w:rPr>
          <w:rFonts w:ascii="Calibri" w:hAnsi="Calibri" w:cs="Calibri" w:eastAsia="Calibri"/>
          <w:color w:val="auto"/>
          <w:spacing w:val="0"/>
          <w:position w:val="0"/>
          <w:sz w:val="20"/>
          <w:shd w:fill="auto" w:val="clear"/>
        </w:rPr>
        <w:tab/>
        <w:t xml:space="preserve">41</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Dijagram 521: Udio razmatranih energenata u godišnjim emisijama CO</w:t>
      </w:r>
      <w:r>
        <w:rPr>
          <w:rFonts w:ascii="Calibri" w:hAnsi="Calibri" w:cs="Calibri" w:eastAsia="Calibri"/>
          <w:color w:val="0000FF"/>
          <w:spacing w:val="0"/>
          <w:position w:val="0"/>
          <w:sz w:val="20"/>
          <w:u w:val="single"/>
          <w:shd w:fill="auto" w:val="clear"/>
          <w:vertAlign w:val="subscript"/>
        </w:rPr>
        <w:t xml:space="preserve">2</w:t>
      </w:r>
      <w:r>
        <w:rPr>
          <w:rFonts w:ascii="Calibri" w:hAnsi="Calibri" w:cs="Calibri" w:eastAsia="Calibri"/>
          <w:color w:val="0000FF"/>
          <w:spacing w:val="0"/>
          <w:position w:val="0"/>
          <w:sz w:val="20"/>
          <w:u w:val="single"/>
          <w:shd w:fill="auto" w:val="clear"/>
        </w:rPr>
        <w:t xml:space="preserve"> iz podsektora javnih zgrada koje nisu u vlasništvu Op</w:t>
      </w:r>
      <w:r>
        <w:rPr>
          <w:rFonts w:ascii="Calibri" w:hAnsi="Calibri" w:cs="Calibri" w:eastAsia="Calibri"/>
          <w:color w:val="0000FF"/>
          <w:spacing w:val="0"/>
          <w:position w:val="0"/>
          <w:sz w:val="20"/>
          <w:u w:val="single"/>
          <w:shd w:fill="auto" w:val="clear"/>
        </w:rPr>
        <w:t xml:space="preserve">ćine u kontrolnoj 2020. godini</w:t>
      </w:r>
      <w:r>
        <w:rPr>
          <w:rFonts w:ascii="Calibri" w:hAnsi="Calibri" w:cs="Calibri" w:eastAsia="Calibri"/>
          <w:color w:val="auto"/>
          <w:spacing w:val="0"/>
          <w:position w:val="0"/>
          <w:sz w:val="20"/>
          <w:shd w:fill="auto" w:val="clear"/>
        </w:rPr>
        <w:tab/>
        <w:t xml:space="preserve">41</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Dijagram 522: Udio razmatranih energenata u potrebnoj finalnoj energiji za grijanje stambenih zgrada u kontrolnoj 2020. godini</w:t>
      </w:r>
      <w:r>
        <w:rPr>
          <w:rFonts w:ascii="Calibri" w:hAnsi="Calibri" w:cs="Calibri" w:eastAsia="Calibri"/>
          <w:color w:val="auto"/>
          <w:spacing w:val="0"/>
          <w:position w:val="0"/>
          <w:sz w:val="20"/>
          <w:shd w:fill="auto" w:val="clear"/>
        </w:rPr>
        <w:tab/>
        <w:t xml:space="preserve">43</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Dijagram 523: Udio razmatranih energenata u emisijama CO</w:t>
      </w:r>
      <w:r>
        <w:rPr>
          <w:rFonts w:ascii="Calibri" w:hAnsi="Calibri" w:cs="Calibri" w:eastAsia="Calibri"/>
          <w:color w:val="0000FF"/>
          <w:spacing w:val="0"/>
          <w:position w:val="0"/>
          <w:sz w:val="20"/>
          <w:u w:val="single"/>
          <w:shd w:fill="auto" w:val="clear"/>
          <w:vertAlign w:val="subscript"/>
        </w:rPr>
        <w:t xml:space="preserve">2</w:t>
      </w:r>
      <w:r>
        <w:rPr>
          <w:rFonts w:ascii="Calibri" w:hAnsi="Calibri" w:cs="Calibri" w:eastAsia="Calibri"/>
          <w:color w:val="0000FF"/>
          <w:spacing w:val="0"/>
          <w:position w:val="0"/>
          <w:sz w:val="20"/>
          <w:u w:val="single"/>
          <w:shd w:fill="auto" w:val="clear"/>
        </w:rPr>
        <w:t xml:space="preserve"> iz podsektora stambenih zgrada u kontrolnoj 2020. godini</w:t>
      </w:r>
      <w:r>
        <w:rPr>
          <w:rFonts w:ascii="Calibri" w:hAnsi="Calibri" w:cs="Calibri" w:eastAsia="Calibri"/>
          <w:color w:val="auto"/>
          <w:spacing w:val="0"/>
          <w:position w:val="0"/>
          <w:sz w:val="20"/>
          <w:shd w:fill="auto" w:val="clear"/>
        </w:rPr>
        <w:tab/>
        <w:t xml:space="preserve">43</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Dijagram 524: Struktura vozila u sektoru saobra</w:t>
      </w:r>
      <w:r>
        <w:rPr>
          <w:rFonts w:ascii="Calibri" w:hAnsi="Calibri" w:cs="Calibri" w:eastAsia="Calibri"/>
          <w:color w:val="0000FF"/>
          <w:spacing w:val="0"/>
          <w:position w:val="0"/>
          <w:sz w:val="20"/>
          <w:u w:val="single"/>
          <w:shd w:fill="auto" w:val="clear"/>
        </w:rPr>
        <w:t xml:space="preserve">ćaja u kontrolnoj godini prema kategorijama vozila</w:t>
      </w:r>
      <w:r>
        <w:rPr>
          <w:rFonts w:ascii="Calibri" w:hAnsi="Calibri" w:cs="Calibri" w:eastAsia="Calibri"/>
          <w:color w:val="auto"/>
          <w:spacing w:val="0"/>
          <w:position w:val="0"/>
          <w:sz w:val="20"/>
          <w:shd w:fill="auto" w:val="clear"/>
        </w:rPr>
        <w:tab/>
        <w:t xml:space="preserve">44</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Dijagram 525: Udio broja vozila iz pojedinih sektora u kontrolnoj godini</w:t>
      </w:r>
      <w:r>
        <w:rPr>
          <w:rFonts w:ascii="Calibri" w:hAnsi="Calibri" w:cs="Calibri" w:eastAsia="Calibri"/>
          <w:color w:val="auto"/>
          <w:spacing w:val="0"/>
          <w:position w:val="0"/>
          <w:sz w:val="20"/>
          <w:shd w:fill="auto" w:val="clear"/>
        </w:rPr>
        <w:tab/>
        <w:t xml:space="preserve">44</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Dijagram 526: Potrošnja energije prema energentima u podsektoru vozila u vlasništvu Op</w:t>
      </w:r>
      <w:r>
        <w:rPr>
          <w:rFonts w:ascii="Calibri" w:hAnsi="Calibri" w:cs="Calibri" w:eastAsia="Calibri"/>
          <w:color w:val="0000FF"/>
          <w:spacing w:val="0"/>
          <w:position w:val="0"/>
          <w:sz w:val="20"/>
          <w:u w:val="single"/>
          <w:shd w:fill="auto" w:val="clear"/>
        </w:rPr>
        <w:t xml:space="preserve">ćine u kontrolnoj godini</w:t>
      </w:r>
      <w:r>
        <w:rPr>
          <w:rFonts w:ascii="Calibri" w:hAnsi="Calibri" w:cs="Calibri" w:eastAsia="Calibri"/>
          <w:color w:val="auto"/>
          <w:spacing w:val="0"/>
          <w:position w:val="0"/>
          <w:sz w:val="20"/>
          <w:shd w:fill="auto" w:val="clear"/>
        </w:rPr>
        <w:tab/>
        <w:t xml:space="preserve">45</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Dijagram 527: Udio razmatranih energenata u emisijama CO</w:t>
      </w:r>
      <w:r>
        <w:rPr>
          <w:rFonts w:ascii="Calibri" w:hAnsi="Calibri" w:cs="Calibri" w:eastAsia="Calibri"/>
          <w:color w:val="0000FF"/>
          <w:spacing w:val="0"/>
          <w:position w:val="0"/>
          <w:sz w:val="20"/>
          <w:u w:val="single"/>
          <w:shd w:fill="auto" w:val="clear"/>
          <w:vertAlign w:val="subscript"/>
        </w:rPr>
        <w:t xml:space="preserve">2</w:t>
      </w:r>
      <w:r>
        <w:rPr>
          <w:rFonts w:ascii="Calibri" w:hAnsi="Calibri" w:cs="Calibri" w:eastAsia="Calibri"/>
          <w:color w:val="0000FF"/>
          <w:spacing w:val="0"/>
          <w:position w:val="0"/>
          <w:sz w:val="20"/>
          <w:u w:val="single"/>
          <w:shd w:fill="auto" w:val="clear"/>
        </w:rPr>
        <w:t xml:space="preserve"> iz podsektora vozila u vlasništvu Op</w:t>
      </w:r>
      <w:r>
        <w:rPr>
          <w:rFonts w:ascii="Calibri" w:hAnsi="Calibri" w:cs="Calibri" w:eastAsia="Calibri"/>
          <w:color w:val="0000FF"/>
          <w:spacing w:val="0"/>
          <w:position w:val="0"/>
          <w:sz w:val="20"/>
          <w:u w:val="single"/>
          <w:shd w:fill="auto" w:val="clear"/>
        </w:rPr>
        <w:t xml:space="preserve">ćine u kontrolnoj godini</w:t>
      </w:r>
      <w:r>
        <w:rPr>
          <w:rFonts w:ascii="Calibri" w:hAnsi="Calibri" w:cs="Calibri" w:eastAsia="Calibri"/>
          <w:color w:val="auto"/>
          <w:spacing w:val="0"/>
          <w:position w:val="0"/>
          <w:sz w:val="20"/>
          <w:shd w:fill="auto" w:val="clear"/>
        </w:rPr>
        <w:tab/>
        <w:t xml:space="preserve">45</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Dijagram 528: Struktura vozila iz podsektora osobnih i komercijalnih vozila prema eko kategorijama u kontrolnoj godini</w:t>
      </w:r>
      <w:r>
        <w:rPr>
          <w:rFonts w:ascii="Calibri" w:hAnsi="Calibri" w:cs="Calibri" w:eastAsia="Calibri"/>
          <w:color w:val="auto"/>
          <w:spacing w:val="0"/>
          <w:position w:val="0"/>
          <w:sz w:val="20"/>
          <w:shd w:fill="auto" w:val="clear"/>
        </w:rPr>
        <w:tab/>
        <w:t xml:space="preserve">46</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Dijagram 529: Potrošnja energije prema energentima za osobna i komercijalna vozila u kontrolnoj godini</w:t>
      </w:r>
      <w:r>
        <w:rPr>
          <w:rFonts w:ascii="Calibri" w:hAnsi="Calibri" w:cs="Calibri" w:eastAsia="Calibri"/>
          <w:color w:val="auto"/>
          <w:spacing w:val="0"/>
          <w:position w:val="0"/>
          <w:sz w:val="20"/>
          <w:shd w:fill="auto" w:val="clear"/>
        </w:rPr>
        <w:tab/>
        <w:t xml:space="preserve">47</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Dijagram 530: Udio energenata u emisijama CO</w:t>
      </w:r>
      <w:r>
        <w:rPr>
          <w:rFonts w:ascii="Calibri" w:hAnsi="Calibri" w:cs="Calibri" w:eastAsia="Calibri"/>
          <w:color w:val="0000FF"/>
          <w:spacing w:val="0"/>
          <w:position w:val="0"/>
          <w:sz w:val="20"/>
          <w:u w:val="single"/>
          <w:shd w:fill="auto" w:val="clear"/>
          <w:vertAlign w:val="subscript"/>
        </w:rPr>
        <w:t xml:space="preserve">2</w:t>
      </w:r>
      <w:r>
        <w:rPr>
          <w:rFonts w:ascii="Calibri" w:hAnsi="Calibri" w:cs="Calibri" w:eastAsia="Calibri"/>
          <w:color w:val="0000FF"/>
          <w:spacing w:val="0"/>
          <w:position w:val="0"/>
          <w:sz w:val="20"/>
          <w:u w:val="single"/>
          <w:shd w:fill="auto" w:val="clear"/>
        </w:rPr>
        <w:t xml:space="preserve"> iz podsektora osobnih i komercijalnih vozila u kontrolnoj godini</w:t>
      </w:r>
      <w:r>
        <w:rPr>
          <w:rFonts w:ascii="Calibri" w:hAnsi="Calibri" w:cs="Calibri" w:eastAsia="Calibri"/>
          <w:color w:val="auto"/>
          <w:spacing w:val="0"/>
          <w:position w:val="0"/>
          <w:sz w:val="20"/>
          <w:shd w:fill="auto" w:val="clear"/>
        </w:rPr>
        <w:tab/>
        <w:t xml:space="preserve">47</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Dijagram 531: Udio razmatranih sektora u ukupnoj finalnoj energiji u kontrolnoj godini</w:t>
      </w:r>
      <w:r>
        <w:rPr>
          <w:rFonts w:ascii="Calibri" w:hAnsi="Calibri" w:cs="Calibri" w:eastAsia="Calibri"/>
          <w:color w:val="auto"/>
          <w:spacing w:val="0"/>
          <w:position w:val="0"/>
          <w:sz w:val="20"/>
          <w:shd w:fill="auto" w:val="clear"/>
        </w:rPr>
        <w:tab/>
        <w:t xml:space="preserve">49</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Dijagram 532: Udio razmatranih energenata u ukupnoj finalnoj energiji u kontrolnoj godini</w:t>
      </w:r>
      <w:r>
        <w:rPr>
          <w:rFonts w:ascii="Calibri" w:hAnsi="Calibri" w:cs="Calibri" w:eastAsia="Calibri"/>
          <w:color w:val="auto"/>
          <w:spacing w:val="0"/>
          <w:position w:val="0"/>
          <w:sz w:val="20"/>
          <w:shd w:fill="auto" w:val="clear"/>
        </w:rPr>
        <w:tab/>
        <w:t xml:space="preserve">49</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Dijagram 533:Udio razmatranih sektora u ukupnim emisijama CO</w:t>
      </w:r>
      <w:r>
        <w:rPr>
          <w:rFonts w:ascii="Calibri" w:hAnsi="Calibri" w:cs="Calibri" w:eastAsia="Calibri"/>
          <w:color w:val="0000FF"/>
          <w:spacing w:val="0"/>
          <w:position w:val="0"/>
          <w:sz w:val="20"/>
          <w:u w:val="single"/>
          <w:shd w:fill="auto" w:val="clear"/>
          <w:vertAlign w:val="subscript"/>
        </w:rPr>
        <w:t xml:space="preserve">2 </w:t>
      </w:r>
      <w:r>
        <w:rPr>
          <w:rFonts w:ascii="Calibri" w:hAnsi="Calibri" w:cs="Calibri" w:eastAsia="Calibri"/>
          <w:color w:val="0000FF"/>
          <w:spacing w:val="0"/>
          <w:position w:val="0"/>
          <w:sz w:val="20"/>
          <w:u w:val="single"/>
          <w:shd w:fill="auto" w:val="clear"/>
        </w:rPr>
        <w:t xml:space="preserve">u kontrolnoj godini</w:t>
      </w:r>
      <w:r>
        <w:rPr>
          <w:rFonts w:ascii="Calibri" w:hAnsi="Calibri" w:cs="Calibri" w:eastAsia="Calibri"/>
          <w:color w:val="auto"/>
          <w:spacing w:val="0"/>
          <w:position w:val="0"/>
          <w:sz w:val="20"/>
          <w:shd w:fill="auto" w:val="clear"/>
        </w:rPr>
        <w:tab/>
        <w:t xml:space="preserve">50</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Dijagram 534: Udio razmatranih energenata u ukupnim emisijama CO</w:t>
      </w:r>
      <w:r>
        <w:rPr>
          <w:rFonts w:ascii="Calibri" w:hAnsi="Calibri" w:cs="Calibri" w:eastAsia="Calibri"/>
          <w:color w:val="0000FF"/>
          <w:spacing w:val="0"/>
          <w:position w:val="0"/>
          <w:sz w:val="20"/>
          <w:u w:val="single"/>
          <w:shd w:fill="auto" w:val="clear"/>
          <w:vertAlign w:val="subscript"/>
        </w:rPr>
        <w:t xml:space="preserve">2 </w:t>
      </w:r>
      <w:r>
        <w:rPr>
          <w:rFonts w:ascii="Calibri" w:hAnsi="Calibri" w:cs="Calibri" w:eastAsia="Calibri"/>
          <w:color w:val="0000FF"/>
          <w:spacing w:val="0"/>
          <w:position w:val="0"/>
          <w:sz w:val="20"/>
          <w:u w:val="single"/>
          <w:shd w:fill="auto" w:val="clear"/>
        </w:rPr>
        <w:t xml:space="preserve">u kontrolnoj godini</w:t>
      </w:r>
      <w:r>
        <w:rPr>
          <w:rFonts w:ascii="Calibri" w:hAnsi="Calibri" w:cs="Calibri" w:eastAsia="Calibri"/>
          <w:color w:val="auto"/>
          <w:spacing w:val="0"/>
          <w:position w:val="0"/>
          <w:sz w:val="20"/>
          <w:shd w:fill="auto" w:val="clear"/>
        </w:rPr>
        <w:tab/>
        <w:t xml:space="preserve">50</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Dijagram 535: Grafi</w:t>
      </w:r>
      <w:r>
        <w:rPr>
          <w:rFonts w:ascii="Calibri" w:hAnsi="Calibri" w:cs="Calibri" w:eastAsia="Calibri"/>
          <w:color w:val="0000FF"/>
          <w:spacing w:val="0"/>
          <w:position w:val="0"/>
          <w:sz w:val="20"/>
          <w:u w:val="single"/>
          <w:shd w:fill="auto" w:val="clear"/>
        </w:rPr>
        <w:t xml:space="preserve">čki prikaz promjena potrošnje finalne energije po razmatranim sektorima u baznoj i kontrolnoj godini</w:t>
      </w:r>
      <w:r>
        <w:rPr>
          <w:rFonts w:ascii="Calibri" w:hAnsi="Calibri" w:cs="Calibri" w:eastAsia="Calibri"/>
          <w:color w:val="auto"/>
          <w:spacing w:val="0"/>
          <w:position w:val="0"/>
          <w:sz w:val="20"/>
          <w:shd w:fill="auto" w:val="clear"/>
        </w:rPr>
        <w:tab/>
        <w:t xml:space="preserve">52</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i/>
          <w:color w:val="0000FF"/>
          <w:spacing w:val="0"/>
          <w:position w:val="0"/>
          <w:sz w:val="20"/>
          <w:u w:val="single"/>
          <w:shd w:fill="auto" w:val="clear"/>
        </w:rPr>
        <w:t xml:space="preserve">Dijagram 536: Grafi</w:t>
      </w:r>
      <w:r>
        <w:rPr>
          <w:rFonts w:ascii="Calibri" w:hAnsi="Calibri" w:cs="Calibri" w:eastAsia="Calibri"/>
          <w:i/>
          <w:color w:val="0000FF"/>
          <w:spacing w:val="0"/>
          <w:position w:val="0"/>
          <w:sz w:val="20"/>
          <w:u w:val="single"/>
          <w:shd w:fill="auto" w:val="clear"/>
        </w:rPr>
        <w:t xml:space="preserve">čki prikaz promjena emisija CO</w:t>
      </w:r>
      <w:r>
        <w:rPr>
          <w:rFonts w:ascii="Calibri" w:hAnsi="Calibri" w:cs="Calibri" w:eastAsia="Calibri"/>
          <w:i/>
          <w:color w:val="0000FF"/>
          <w:spacing w:val="0"/>
          <w:position w:val="0"/>
          <w:sz w:val="20"/>
          <w:u w:val="single"/>
          <w:shd w:fill="auto" w:val="clear"/>
          <w:vertAlign w:val="subscript"/>
        </w:rPr>
        <w:t xml:space="preserve">2</w:t>
      </w:r>
      <w:r>
        <w:rPr>
          <w:rFonts w:ascii="Calibri" w:hAnsi="Calibri" w:cs="Calibri" w:eastAsia="Calibri"/>
          <w:i/>
          <w:color w:val="0000FF"/>
          <w:spacing w:val="0"/>
          <w:position w:val="0"/>
          <w:sz w:val="20"/>
          <w:u w:val="single"/>
          <w:shd w:fill="auto" w:val="clear"/>
        </w:rPr>
        <w:t xml:space="preserve"> iz razmatranih sektora u baznoj i kontrolnoj godini</w:t>
      </w:r>
      <w:r>
        <w:rPr>
          <w:rFonts w:ascii="Calibri" w:hAnsi="Calibri" w:cs="Calibri" w:eastAsia="Calibri"/>
          <w:color w:val="auto"/>
          <w:spacing w:val="0"/>
          <w:position w:val="0"/>
          <w:sz w:val="20"/>
          <w:shd w:fill="auto" w:val="clear"/>
        </w:rPr>
        <w:tab/>
        <w:t xml:space="preserve">53</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Dijagram 537: Grafi</w:t>
      </w:r>
      <w:r>
        <w:rPr>
          <w:rFonts w:ascii="Calibri" w:hAnsi="Calibri" w:cs="Calibri" w:eastAsia="Calibri"/>
          <w:color w:val="0000FF"/>
          <w:spacing w:val="0"/>
          <w:position w:val="0"/>
          <w:sz w:val="20"/>
          <w:u w:val="single"/>
          <w:shd w:fill="auto" w:val="clear"/>
        </w:rPr>
        <w:t xml:space="preserve">čki prikaz promjena u potrošnji razmatranih energenata u baznoj i kontrolnoj godini</w:t>
      </w:r>
      <w:r>
        <w:rPr>
          <w:rFonts w:ascii="Calibri" w:hAnsi="Calibri" w:cs="Calibri" w:eastAsia="Calibri"/>
          <w:color w:val="auto"/>
          <w:spacing w:val="0"/>
          <w:position w:val="0"/>
          <w:sz w:val="20"/>
          <w:shd w:fill="auto" w:val="clear"/>
        </w:rPr>
        <w:tab/>
        <w:t xml:space="preserve">55</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Dijagram 538: Grafi</w:t>
      </w:r>
      <w:r>
        <w:rPr>
          <w:rFonts w:ascii="Calibri" w:hAnsi="Calibri" w:cs="Calibri" w:eastAsia="Calibri"/>
          <w:color w:val="0000FF"/>
          <w:spacing w:val="0"/>
          <w:position w:val="0"/>
          <w:sz w:val="20"/>
          <w:u w:val="single"/>
          <w:shd w:fill="auto" w:val="clear"/>
        </w:rPr>
        <w:t xml:space="preserve">čki prikaz promjena emisija CO</w:t>
      </w:r>
      <w:r>
        <w:rPr>
          <w:rFonts w:ascii="Calibri" w:hAnsi="Calibri" w:cs="Calibri" w:eastAsia="Calibri"/>
          <w:color w:val="0000FF"/>
          <w:spacing w:val="0"/>
          <w:position w:val="0"/>
          <w:sz w:val="20"/>
          <w:u w:val="single"/>
          <w:shd w:fill="auto" w:val="clear"/>
          <w:vertAlign w:val="subscript"/>
        </w:rPr>
        <w:t xml:space="preserve">2</w:t>
      </w:r>
      <w:r>
        <w:rPr>
          <w:rFonts w:ascii="Calibri" w:hAnsi="Calibri" w:cs="Calibri" w:eastAsia="Calibri"/>
          <w:color w:val="0000FF"/>
          <w:spacing w:val="0"/>
          <w:position w:val="0"/>
          <w:sz w:val="20"/>
          <w:u w:val="single"/>
          <w:shd w:fill="auto" w:val="clear"/>
        </w:rPr>
        <w:t xml:space="preserve"> iz razmatranih energenata u baznoj i kontrolnoj godini</w:t>
      </w:r>
      <w:r>
        <w:rPr>
          <w:rFonts w:ascii="Calibri" w:hAnsi="Calibri" w:cs="Calibri" w:eastAsia="Calibri"/>
          <w:color w:val="auto"/>
          <w:spacing w:val="0"/>
          <w:position w:val="0"/>
          <w:sz w:val="20"/>
          <w:shd w:fill="auto" w:val="clear"/>
        </w:rPr>
        <w:tab/>
        <w:t xml:space="preserve">56</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Dijagram 539: Prikaz smanjenja emisija CO</w:t>
      </w:r>
      <w:r>
        <w:rPr>
          <w:rFonts w:ascii="Calibri" w:hAnsi="Calibri" w:cs="Calibri" w:eastAsia="Calibri"/>
          <w:color w:val="0000FF"/>
          <w:spacing w:val="0"/>
          <w:position w:val="0"/>
          <w:sz w:val="20"/>
          <w:u w:val="single"/>
          <w:shd w:fill="auto" w:val="clear"/>
          <w:vertAlign w:val="subscript"/>
        </w:rPr>
        <w:t xml:space="preserve">2</w:t>
      </w:r>
      <w:r>
        <w:rPr>
          <w:rFonts w:ascii="Calibri" w:hAnsi="Calibri" w:cs="Calibri" w:eastAsia="Calibri"/>
          <w:color w:val="0000FF"/>
          <w:spacing w:val="0"/>
          <w:position w:val="0"/>
          <w:sz w:val="20"/>
          <w:u w:val="single"/>
          <w:shd w:fill="auto" w:val="clear"/>
        </w:rPr>
        <w:t xml:space="preserve"> do 2030. godine iz razmatranih sektora</w:t>
      </w:r>
      <w:r>
        <w:rPr>
          <w:rFonts w:ascii="Calibri" w:hAnsi="Calibri" w:cs="Calibri" w:eastAsia="Calibri"/>
          <w:color w:val="auto"/>
          <w:spacing w:val="0"/>
          <w:position w:val="0"/>
          <w:sz w:val="20"/>
          <w:shd w:fill="auto" w:val="clear"/>
        </w:rPr>
        <w:tab/>
        <w:t xml:space="preserve">67</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i/>
          <w:color w:val="0000FF"/>
          <w:spacing w:val="0"/>
          <w:position w:val="0"/>
          <w:sz w:val="20"/>
          <w:u w:val="single"/>
          <w:shd w:fill="auto" w:val="clear"/>
        </w:rPr>
        <w:t xml:space="preserve">Dijagram 540: Životni vijek i period povrata investicije za planirane mjere ublažavanja klimatskih promjena</w:t>
      </w:r>
      <w:r>
        <w:rPr>
          <w:rFonts w:ascii="Calibri" w:hAnsi="Calibri" w:cs="Calibri" w:eastAsia="Calibri"/>
          <w:color w:val="auto"/>
          <w:spacing w:val="0"/>
          <w:position w:val="0"/>
          <w:sz w:val="20"/>
          <w:shd w:fill="auto" w:val="clear"/>
        </w:rPr>
        <w:tab/>
        <w:t xml:space="preserve">67</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Dijagram 541: Ukupne projekcije emisija CO</w:t>
      </w:r>
      <w:r>
        <w:rPr>
          <w:rFonts w:ascii="Calibri" w:hAnsi="Calibri" w:cs="Calibri" w:eastAsia="Calibri"/>
          <w:color w:val="0000FF"/>
          <w:spacing w:val="0"/>
          <w:position w:val="0"/>
          <w:sz w:val="20"/>
          <w:u w:val="single"/>
          <w:shd w:fill="auto" w:val="clear"/>
          <w:vertAlign w:val="subscript"/>
        </w:rPr>
        <w:t xml:space="preserve">2</w:t>
      </w:r>
      <w:r>
        <w:rPr>
          <w:rFonts w:ascii="Calibri" w:hAnsi="Calibri" w:cs="Calibri" w:eastAsia="Calibri"/>
          <w:color w:val="0000FF"/>
          <w:spacing w:val="0"/>
          <w:position w:val="0"/>
          <w:sz w:val="20"/>
          <w:u w:val="single"/>
          <w:shd w:fill="auto" w:val="clear"/>
        </w:rPr>
        <w:t xml:space="preserve"> u odnosu na baznu godinu i indikativni cilj</w:t>
      </w:r>
      <w:r>
        <w:rPr>
          <w:rFonts w:ascii="Calibri" w:hAnsi="Calibri" w:cs="Calibri" w:eastAsia="Calibri"/>
          <w:color w:val="auto"/>
          <w:spacing w:val="0"/>
          <w:position w:val="0"/>
          <w:sz w:val="20"/>
          <w:shd w:fill="auto" w:val="clear"/>
        </w:rPr>
        <w:tab/>
        <w:t xml:space="preserve">73</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i/>
          <w:color w:val="0000FF"/>
          <w:spacing w:val="0"/>
          <w:position w:val="0"/>
          <w:sz w:val="20"/>
          <w:u w:val="single"/>
          <w:shd w:fill="auto" w:val="clear"/>
        </w:rPr>
        <w:t xml:space="preserve">Dijagram  61: Promjene godišnjih temperatura i koli</w:t>
      </w:r>
      <w:r>
        <w:rPr>
          <w:rFonts w:ascii="Calibri" w:hAnsi="Calibri" w:cs="Calibri" w:eastAsia="Calibri"/>
          <w:i/>
          <w:color w:val="0000FF"/>
          <w:spacing w:val="0"/>
          <w:position w:val="0"/>
          <w:sz w:val="20"/>
          <w:u w:val="single"/>
          <w:shd w:fill="auto" w:val="clear"/>
        </w:rPr>
        <w:t xml:space="preserve">čina padavina u Bosni i Hercegovini dobivene poređenjem perioda 1981-2010 sa periodom 1961-1990</w:t>
      </w:r>
      <w:r>
        <w:rPr>
          <w:rFonts w:ascii="Calibri" w:hAnsi="Calibri" w:cs="Calibri" w:eastAsia="Calibri"/>
          <w:color w:val="auto"/>
          <w:spacing w:val="0"/>
          <w:position w:val="0"/>
          <w:sz w:val="20"/>
          <w:shd w:fill="auto" w:val="clear"/>
        </w:rPr>
        <w:tab/>
        <w:t xml:space="preserve">74</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i/>
          <w:color w:val="0000FF"/>
          <w:spacing w:val="0"/>
          <w:position w:val="0"/>
          <w:sz w:val="20"/>
          <w:u w:val="single"/>
          <w:shd w:fill="auto" w:val="clear"/>
        </w:rPr>
        <w:t xml:space="preserve">Dijagram 62</w:t>
      </w:r>
      <w:r>
        <w:rPr>
          <w:rFonts w:ascii="Calibri" w:hAnsi="Calibri" w:cs="Calibri" w:eastAsia="Calibri"/>
          <w:b/>
          <w:i/>
          <w:color w:val="0000FF"/>
          <w:spacing w:val="0"/>
          <w:position w:val="0"/>
          <w:sz w:val="20"/>
          <w:u w:val="single"/>
          <w:shd w:fill="auto" w:val="clear"/>
        </w:rPr>
        <w:t xml:space="preserve">: </w:t>
      </w:r>
      <w:r>
        <w:rPr>
          <w:rFonts w:ascii="Calibri" w:hAnsi="Calibri" w:cs="Calibri" w:eastAsia="Calibri"/>
          <w:i/>
          <w:color w:val="0000FF"/>
          <w:spacing w:val="0"/>
          <w:position w:val="0"/>
          <w:sz w:val="20"/>
          <w:u w:val="single"/>
          <w:shd w:fill="auto" w:val="clear"/>
        </w:rPr>
        <w:t xml:space="preserve">Pore</w:t>
      </w:r>
      <w:r>
        <w:rPr>
          <w:rFonts w:ascii="Calibri" w:hAnsi="Calibri" w:cs="Calibri" w:eastAsia="Calibri"/>
          <w:i/>
          <w:color w:val="0000FF"/>
          <w:spacing w:val="0"/>
          <w:position w:val="0"/>
          <w:sz w:val="20"/>
          <w:u w:val="single"/>
          <w:shd w:fill="auto" w:val="clear"/>
        </w:rPr>
        <w:t xml:space="preserve">đenje srednje temperature za područje općine Doboj Istok za periode 1981-2010 i 2001-2018</w:t>
      </w:r>
      <w:r>
        <w:rPr>
          <w:rFonts w:ascii="Calibri" w:hAnsi="Calibri" w:cs="Calibri" w:eastAsia="Calibri"/>
          <w:color w:val="auto"/>
          <w:spacing w:val="0"/>
          <w:position w:val="0"/>
          <w:sz w:val="20"/>
          <w:shd w:fill="auto" w:val="clear"/>
        </w:rPr>
        <w:tab/>
        <w:t xml:space="preserve">75</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i/>
          <w:color w:val="0000FF"/>
          <w:spacing w:val="0"/>
          <w:position w:val="0"/>
          <w:sz w:val="20"/>
          <w:u w:val="single"/>
          <w:shd w:fill="auto" w:val="clear"/>
        </w:rPr>
        <w:t xml:space="preserve">Dijagram 63. Srednje godišnje temperature na podru</w:t>
      </w:r>
      <w:r>
        <w:rPr>
          <w:rFonts w:ascii="Calibri" w:hAnsi="Calibri" w:cs="Calibri" w:eastAsia="Calibri"/>
          <w:i/>
          <w:color w:val="0000FF"/>
          <w:spacing w:val="0"/>
          <w:position w:val="0"/>
          <w:sz w:val="20"/>
          <w:u w:val="single"/>
          <w:shd w:fill="auto" w:val="clear"/>
        </w:rPr>
        <w:t xml:space="preserve">čju općine Doboj istok u periodu 2016-2019</w:t>
      </w:r>
      <w:r>
        <w:rPr>
          <w:rFonts w:ascii="Calibri" w:hAnsi="Calibri" w:cs="Calibri" w:eastAsia="Calibri"/>
          <w:color w:val="auto"/>
          <w:spacing w:val="0"/>
          <w:position w:val="0"/>
          <w:sz w:val="20"/>
          <w:shd w:fill="auto" w:val="clear"/>
        </w:rPr>
        <w:tab/>
        <w:t xml:space="preserve">76</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Dijagram 64: Pore</w:t>
      </w:r>
      <w:r>
        <w:rPr>
          <w:rFonts w:ascii="Calibri" w:hAnsi="Calibri" w:cs="Calibri" w:eastAsia="Calibri"/>
          <w:color w:val="0000FF"/>
          <w:spacing w:val="0"/>
          <w:position w:val="0"/>
          <w:sz w:val="20"/>
          <w:u w:val="single"/>
          <w:shd w:fill="auto" w:val="clear"/>
        </w:rPr>
        <w:t xml:space="preserve">đenje količine padavina za područje općine Doboj Istok za periode 1981-2010 i 1989.-2018</w:t>
      </w:r>
      <w:r>
        <w:rPr>
          <w:rFonts w:ascii="Calibri" w:hAnsi="Calibri" w:cs="Calibri" w:eastAsia="Calibri"/>
          <w:color w:val="auto"/>
          <w:spacing w:val="0"/>
          <w:position w:val="0"/>
          <w:sz w:val="20"/>
          <w:shd w:fill="auto" w:val="clear"/>
        </w:rPr>
        <w:tab/>
        <w:t xml:space="preserve">76</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Dijagram 65: Razlika prosje</w:t>
      </w:r>
      <w:r>
        <w:rPr>
          <w:rFonts w:ascii="Calibri" w:hAnsi="Calibri" w:cs="Calibri" w:eastAsia="Calibri"/>
          <w:color w:val="0000FF"/>
          <w:spacing w:val="0"/>
          <w:position w:val="0"/>
          <w:sz w:val="20"/>
          <w:u w:val="single"/>
          <w:shd w:fill="auto" w:val="clear"/>
        </w:rPr>
        <w:t xml:space="preserve">čnih mjesečnih količina padavina (mm) na području općine Doboj istok u periodima 1981-2010. i 1989-2018</w:t>
      </w:r>
      <w:r>
        <w:rPr>
          <w:rFonts w:ascii="Calibri" w:hAnsi="Calibri" w:cs="Calibri" w:eastAsia="Calibri"/>
          <w:color w:val="auto"/>
          <w:spacing w:val="0"/>
          <w:position w:val="0"/>
          <w:sz w:val="20"/>
          <w:shd w:fill="auto" w:val="clear"/>
        </w:rPr>
        <w:tab/>
        <w:t xml:space="preserve">77</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i/>
          <w:color w:val="0000FF"/>
          <w:spacing w:val="0"/>
          <w:position w:val="0"/>
          <w:sz w:val="20"/>
          <w:u w:val="single"/>
          <w:shd w:fill="auto" w:val="clear"/>
        </w:rPr>
        <w:t xml:space="preserve">Dijagram 66: Srednja godišnja temperatura za period 2001-2030. (lijevo) i za period 2071-2100.  (desno) prema scenariju A1B</w:t>
      </w:r>
      <w:r>
        <w:rPr>
          <w:rFonts w:ascii="Calibri" w:hAnsi="Calibri" w:cs="Calibri" w:eastAsia="Calibri"/>
          <w:color w:val="auto"/>
          <w:spacing w:val="0"/>
          <w:position w:val="0"/>
          <w:sz w:val="20"/>
          <w:shd w:fill="auto" w:val="clear"/>
        </w:rPr>
        <w:tab/>
        <w:t xml:space="preserve">78</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i/>
          <w:color w:val="0000FF"/>
          <w:spacing w:val="0"/>
          <w:position w:val="0"/>
          <w:sz w:val="20"/>
          <w:u w:val="single"/>
          <w:shd w:fill="auto" w:val="clear"/>
        </w:rPr>
        <w:t xml:space="preserve">Dijagram 67: Srednja godišnja koli</w:t>
      </w:r>
      <w:r>
        <w:rPr>
          <w:rFonts w:ascii="Calibri" w:hAnsi="Calibri" w:cs="Calibri" w:eastAsia="Calibri"/>
          <w:i/>
          <w:color w:val="0000FF"/>
          <w:spacing w:val="0"/>
          <w:position w:val="0"/>
          <w:sz w:val="20"/>
          <w:u w:val="single"/>
          <w:shd w:fill="auto" w:val="clear"/>
        </w:rPr>
        <w:t xml:space="preserve">čina padavina za period 2001-2030. godina (lijevo) i za period 2071-2100.godina  (desno) prema scenariju A1B.</w:t>
      </w:r>
      <w:r>
        <w:rPr>
          <w:rFonts w:ascii="Calibri" w:hAnsi="Calibri" w:cs="Calibri" w:eastAsia="Calibri"/>
          <w:color w:val="auto"/>
          <w:spacing w:val="0"/>
          <w:position w:val="0"/>
          <w:sz w:val="20"/>
          <w:shd w:fill="auto" w:val="clear"/>
        </w:rPr>
        <w:tab/>
        <w:t xml:space="preserve">79</w:t>
      </w:r>
    </w:p>
    <w:p>
      <w:pPr>
        <w:tabs>
          <w:tab w:val="right" w:pos="9508" w:leader="dot"/>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0"/>
          <w:u w:val="single"/>
          <w:shd w:fill="auto" w:val="clear"/>
        </w:rPr>
        <w:t xml:space="preserve">Dijagram 68: Organizaciona shema radne grupe za implementaciju Akcionog plana</w:t>
      </w:r>
      <w:r>
        <w:rPr>
          <w:rFonts w:ascii="Calibri" w:hAnsi="Calibri" w:cs="Calibri" w:eastAsia="Calibri"/>
          <w:color w:val="auto"/>
          <w:spacing w:val="0"/>
          <w:position w:val="0"/>
          <w:sz w:val="20"/>
          <w:shd w:fill="auto" w:val="clear"/>
        </w:rPr>
        <w:tab/>
        <w:t xml:space="preserve">98</w:t>
      </w:r>
    </w:p>
    <w:p>
      <w:pPr>
        <w:spacing w:before="0" w:after="200" w:line="240"/>
        <w:ind w:right="0" w:left="0" w:firstLine="0"/>
        <w:jc w:val="both"/>
        <w:rPr>
          <w:rFonts w:ascii="Calibri" w:hAnsi="Calibri" w:cs="Calibri" w:eastAsia="Calibri"/>
          <w:color w:val="auto"/>
          <w:spacing w:val="0"/>
          <w:position w:val="0"/>
          <w:sz w:val="22"/>
          <w:shd w:fill="auto" w:val="clear"/>
        </w:rPr>
      </w:pPr>
    </w:p>
    <w:p>
      <w:pPr>
        <w:spacing w:before="0" w:after="200" w:line="240"/>
        <w:ind w:right="0" w:left="0" w:firstLine="0"/>
        <w:jc w:val="both"/>
        <w:rPr>
          <w:rFonts w:ascii="Calibri" w:hAnsi="Calibri" w:cs="Calibri" w:eastAsia="Calibri"/>
          <w:color w:val="auto"/>
          <w:spacing w:val="0"/>
          <w:position w:val="0"/>
          <w:sz w:val="22"/>
          <w:shd w:fill="auto" w:val="clear"/>
        </w:rPr>
      </w:pPr>
    </w:p>
    <w:p>
      <w:pPr>
        <w:spacing w:before="0" w:after="200" w:line="240"/>
        <w:ind w:right="0" w:left="0" w:firstLine="0"/>
        <w:jc w:val="both"/>
        <w:rPr>
          <w:rFonts w:ascii="Calibri" w:hAnsi="Calibri" w:cs="Calibri" w:eastAsia="Calibri"/>
          <w:color w:val="auto"/>
          <w:spacing w:val="0"/>
          <w:position w:val="0"/>
          <w:sz w:val="22"/>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abstractNum w:abstractNumId="60">
    <w:lvl w:ilvl="0">
      <w:start w:val="1"/>
      <w:numFmt w:val="bullet"/>
      <w:lvlText w:val="•"/>
    </w:lvl>
  </w:abstractNum>
  <w:abstractNum w:abstractNumId="66">
    <w:lvl w:ilvl="0">
      <w:start w:val="1"/>
      <w:numFmt w:val="bullet"/>
      <w:lvlText w:val="•"/>
    </w:lvl>
  </w:abstractNum>
  <w:abstractNum w:abstractNumId="72">
    <w:lvl w:ilvl="0">
      <w:start w:val="1"/>
      <w:numFmt w:val="bullet"/>
      <w:lvlText w:val="•"/>
    </w:lvl>
  </w:abstractNum>
  <w:abstractNum w:abstractNumId="78">
    <w:lvl w:ilvl="0">
      <w:start w:val="1"/>
      <w:numFmt w:val="bullet"/>
      <w:lvlText w:val="•"/>
    </w:lvl>
  </w:abstractNum>
  <w:abstractNum w:abstractNumId="84">
    <w:lvl w:ilvl="0">
      <w:start w:val="1"/>
      <w:numFmt w:val="bullet"/>
      <w:lvlText w:val="•"/>
    </w:lvl>
  </w:abstractNum>
  <w:abstractNum w:abstractNumId="90">
    <w:lvl w:ilvl="0">
      <w:start w:val="1"/>
      <w:numFmt w:val="bullet"/>
      <w:lvlText w:val="•"/>
    </w:lvl>
  </w:abstractNum>
  <w:abstractNum w:abstractNumId="96">
    <w:lvl w:ilvl="0">
      <w:start w:val="1"/>
      <w:numFmt w:val="bullet"/>
      <w:lvlText w:val="•"/>
    </w:lvl>
  </w:abstractNum>
  <w:abstractNum w:abstractNumId="102">
    <w:lvl w:ilvl="0">
      <w:start w:val="1"/>
      <w:numFmt w:val="bullet"/>
      <w:lvlText w:val="•"/>
    </w:lvl>
  </w:abstractNum>
  <w:abstractNum w:abstractNumId="108">
    <w:lvl w:ilvl="0">
      <w:start w:val="1"/>
      <w:numFmt w:val="bullet"/>
      <w:lvlText w:val="•"/>
    </w:lvl>
  </w:abstractNum>
  <w:abstractNum w:abstractNumId="114">
    <w:lvl w:ilvl="0">
      <w:start w:val="1"/>
      <w:numFmt w:val="bullet"/>
      <w:lvlText w:val="•"/>
    </w:lvl>
  </w:abstractNum>
  <w:abstractNum w:abstractNumId="120">
    <w:lvl w:ilvl="0">
      <w:start w:val="1"/>
      <w:numFmt w:val="bullet"/>
      <w:lvlText w:val="•"/>
    </w:lvl>
  </w:abstractNum>
  <w:abstractNum w:abstractNumId="126">
    <w:lvl w:ilvl="0">
      <w:start w:val="1"/>
      <w:numFmt w:val="bullet"/>
      <w:lvlText w:val="•"/>
    </w:lvl>
  </w:abstractNum>
  <w:abstractNum w:abstractNumId="132">
    <w:lvl w:ilvl="0">
      <w:start w:val="1"/>
      <w:numFmt w:val="bullet"/>
      <w:lvlText w:val="•"/>
    </w:lvl>
  </w:abstractNum>
  <w:abstractNum w:abstractNumId="138">
    <w:lvl w:ilvl="0">
      <w:start w:val="1"/>
      <w:numFmt w:val="bullet"/>
      <w:lvlText w:val="•"/>
    </w:lvl>
  </w:abstractNum>
  <w:abstractNum w:abstractNumId="144">
    <w:lvl w:ilvl="0">
      <w:start w:val="1"/>
      <w:numFmt w:val="bullet"/>
      <w:lvlText w:val="•"/>
    </w:lvl>
  </w:abstractNum>
  <w:abstractNum w:abstractNumId="150">
    <w:lvl w:ilvl="0">
      <w:start w:val="1"/>
      <w:numFmt w:val="bullet"/>
      <w:lvlText w:val="•"/>
    </w:lvl>
  </w:abstractNum>
  <w:abstractNum w:abstractNumId="156">
    <w:lvl w:ilvl="0">
      <w:start w:val="1"/>
      <w:numFmt w:val="bullet"/>
      <w:lvlText w:val="•"/>
    </w:lvl>
  </w:abstractNum>
  <w:abstractNum w:abstractNumId="162">
    <w:lvl w:ilvl="0">
      <w:start w:val="1"/>
      <w:numFmt w:val="bullet"/>
      <w:lvlText w:val="•"/>
    </w:lvl>
  </w:abstractNum>
  <w:abstractNum w:abstractNumId="168">
    <w:lvl w:ilvl="0">
      <w:start w:val="1"/>
      <w:numFmt w:val="bullet"/>
      <w:lvlText w:val="•"/>
    </w:lvl>
  </w:abstractNum>
  <w:abstractNum w:abstractNumId="174">
    <w:lvl w:ilvl="0">
      <w:start w:val="1"/>
      <w:numFmt w:val="bullet"/>
      <w:lvlText w:val="•"/>
    </w:lvl>
  </w:abstractNum>
  <w:abstractNum w:abstractNumId="180">
    <w:lvl w:ilvl="0">
      <w:start w:val="1"/>
      <w:numFmt w:val="bullet"/>
      <w:lvlText w:val="•"/>
    </w:lvl>
  </w:abstractNum>
  <w:abstractNum w:abstractNumId="186">
    <w:lvl w:ilvl="0">
      <w:start w:val="1"/>
      <w:numFmt w:val="bullet"/>
      <w:lvlText w:val="•"/>
    </w:lvl>
  </w:abstractNum>
  <w:abstractNum w:abstractNumId="192">
    <w:lvl w:ilvl="0">
      <w:start w:val="1"/>
      <w:numFmt w:val="bullet"/>
      <w:lvlText w:val="•"/>
    </w:lvl>
  </w:abstractNum>
  <w:abstractNum w:abstractNumId="198">
    <w:lvl w:ilvl="0">
      <w:start w:val="1"/>
      <w:numFmt w:val="bullet"/>
      <w:lvlText w:val="•"/>
    </w:lvl>
  </w:abstractNum>
  <w:abstractNum w:abstractNumId="204">
    <w:lvl w:ilvl="0">
      <w:start w:val="1"/>
      <w:numFmt w:val="bullet"/>
      <w:lvlText w:val="•"/>
    </w:lvl>
  </w:abstractNum>
  <w:abstractNum w:abstractNumId="210">
    <w:lvl w:ilvl="0">
      <w:start w:val="1"/>
      <w:numFmt w:val="bullet"/>
      <w:lvlText w:val="•"/>
    </w:lvl>
  </w:abstractNum>
  <w:abstractNum w:abstractNumId="216">
    <w:lvl w:ilvl="0">
      <w:start w:val="1"/>
      <w:numFmt w:val="bullet"/>
      <w:lvlText w:val="•"/>
    </w:lvl>
  </w:abstractNum>
  <w:abstractNum w:abstractNumId="222">
    <w:lvl w:ilvl="0">
      <w:start w:val="1"/>
      <w:numFmt w:val="bullet"/>
      <w:lvlText w:val="•"/>
    </w:lvl>
  </w:abstractNum>
  <w:abstractNum w:abstractNumId="228">
    <w:lvl w:ilvl="0">
      <w:start w:val="1"/>
      <w:numFmt w:val="bullet"/>
      <w:lvlText w:val="•"/>
    </w:lvl>
  </w:abstractNum>
  <w:abstractNum w:abstractNumId="234">
    <w:lvl w:ilvl="0">
      <w:start w:val="1"/>
      <w:numFmt w:val="bullet"/>
      <w:lvlText w:val="•"/>
    </w:lvl>
  </w:abstractNum>
  <w:abstractNum w:abstractNumId="240">
    <w:lvl w:ilvl="0">
      <w:start w:val="1"/>
      <w:numFmt w:val="bullet"/>
      <w:lvlText w:val="•"/>
    </w:lvl>
  </w:abstractNum>
  <w:abstractNum w:abstractNumId="246">
    <w:lvl w:ilvl="0">
      <w:start w:val="1"/>
      <w:numFmt w:val="bullet"/>
      <w:lvlText w:val="•"/>
    </w:lvl>
  </w:abstractNum>
  <w:abstractNum w:abstractNumId="252">
    <w:lvl w:ilvl="0">
      <w:start w:val="1"/>
      <w:numFmt w:val="bullet"/>
      <w:lvlText w:val="•"/>
    </w:lvl>
  </w:abstractNum>
  <w:abstractNum w:abstractNumId="258">
    <w:lvl w:ilvl="0">
      <w:start w:val="1"/>
      <w:numFmt w:val="bullet"/>
      <w:lvlText w:val="•"/>
    </w:lvl>
  </w:abstractNum>
  <w:abstractNum w:abstractNumId="264">
    <w:lvl w:ilvl="0">
      <w:start w:val="1"/>
      <w:numFmt w:val="bullet"/>
      <w:lvlText w:val="•"/>
    </w:lvl>
  </w:abstractNum>
  <w:abstractNum w:abstractNumId="270">
    <w:lvl w:ilvl="0">
      <w:start w:val="1"/>
      <w:numFmt w:val="bullet"/>
      <w:lvlText w:val="•"/>
    </w:lvl>
  </w:abstractNum>
  <w:abstractNum w:abstractNumId="276">
    <w:lvl w:ilvl="0">
      <w:start w:val="1"/>
      <w:numFmt w:val="bullet"/>
      <w:lvlText w:val="•"/>
    </w:lvl>
  </w:abstractNum>
  <w:abstractNum w:abstractNumId="282">
    <w:lvl w:ilvl="0">
      <w:start w:val="1"/>
      <w:numFmt w:val="bullet"/>
      <w:lvlText w:val="•"/>
    </w:lvl>
  </w:abstractNum>
  <w:abstractNum w:abstractNumId="288">
    <w:lvl w:ilvl="0">
      <w:start w:val="1"/>
      <w:numFmt w:val="bullet"/>
      <w:lvlText w:val="•"/>
    </w:lvl>
  </w:abstractNum>
  <w:abstractNum w:abstractNumId="294">
    <w:lvl w:ilvl="0">
      <w:start w:val="1"/>
      <w:numFmt w:val="bullet"/>
      <w:lvlText w:val="•"/>
    </w:lvl>
  </w:abstractNum>
  <w:abstractNum w:abstractNumId="300">
    <w:lvl w:ilvl="0">
      <w:start w:val="1"/>
      <w:numFmt w:val="bullet"/>
      <w:lvlText w:val="•"/>
    </w:lvl>
  </w:abstractNum>
  <w:abstractNum w:abstractNumId="306">
    <w:lvl w:ilvl="0">
      <w:start w:val="1"/>
      <w:numFmt w:val="bullet"/>
      <w:lvlText w:val="•"/>
    </w:lvl>
  </w:abstractNum>
  <w:abstractNum w:abstractNumId="312">
    <w:lvl w:ilvl="0">
      <w:start w:val="1"/>
      <w:numFmt w:val="bullet"/>
      <w:lvlText w:val="•"/>
    </w:lvl>
  </w:abstractNum>
  <w:abstractNum w:abstractNumId="318">
    <w:lvl w:ilvl="0">
      <w:start w:val="1"/>
      <w:numFmt w:val="bullet"/>
      <w:lvlText w:val="•"/>
    </w:lvl>
  </w:abstractNum>
  <w:abstractNum w:abstractNumId="324">
    <w:lvl w:ilvl="0">
      <w:start w:val="1"/>
      <w:numFmt w:val="bullet"/>
      <w:lvlText w:val="•"/>
    </w:lvl>
  </w:abstractNum>
  <w:abstractNum w:abstractNumId="330">
    <w:lvl w:ilvl="0">
      <w:start w:val="1"/>
      <w:numFmt w:val="bullet"/>
      <w:lvlText w:val="•"/>
    </w:lvl>
  </w:abstractNum>
  <w:abstractNum w:abstractNumId="336">
    <w:lvl w:ilvl="0">
      <w:start w:val="1"/>
      <w:numFmt w:val="bullet"/>
      <w:lvlText w:val="•"/>
    </w:lvl>
  </w:abstractNum>
  <w:abstractNum w:abstractNumId="342">
    <w:lvl w:ilvl="0">
      <w:start w:val="1"/>
      <w:numFmt w:val="bullet"/>
      <w:lvlText w:val="•"/>
    </w:lvl>
  </w:abstractNum>
  <w:abstractNum w:abstractNumId="348">
    <w:lvl w:ilvl="0">
      <w:start w:val="1"/>
      <w:numFmt w:val="bullet"/>
      <w:lvlText w:val="•"/>
    </w:lvl>
  </w:abstractNum>
  <w:abstractNum w:abstractNumId="354">
    <w:lvl w:ilvl="0">
      <w:start w:val="1"/>
      <w:numFmt w:val="bullet"/>
      <w:lvlText w:val="•"/>
    </w:lvl>
  </w:abstractNum>
  <w:abstractNum w:abstractNumId="360">
    <w:lvl w:ilvl="0">
      <w:start w:val="1"/>
      <w:numFmt w:val="bullet"/>
      <w:lvlText w:val="•"/>
    </w:lvl>
  </w:abstractNum>
  <w:abstractNum w:abstractNumId="366">
    <w:lvl w:ilvl="0">
      <w:start w:val="1"/>
      <w:numFmt w:val="bullet"/>
      <w:lvlText w:val="•"/>
    </w:lvl>
  </w:abstractNum>
  <w:abstractNum w:abstractNumId="372">
    <w:lvl w:ilvl="0">
      <w:start w:val="1"/>
      <w:numFmt w:val="bullet"/>
      <w:lvlText w:val="•"/>
    </w:lvl>
  </w:abstractNum>
  <w:abstractNum w:abstractNumId="378">
    <w:lvl w:ilvl="0">
      <w:start w:val="1"/>
      <w:numFmt w:val="bullet"/>
      <w:lvlText w:val="•"/>
    </w:lvl>
  </w:abstractNum>
  <w:abstractNum w:abstractNumId="384">
    <w:lvl w:ilvl="0">
      <w:start w:val="1"/>
      <w:numFmt w:val="bullet"/>
      <w:lvlText w:val="•"/>
    </w:lvl>
  </w:abstractNum>
  <w:abstractNum w:abstractNumId="390">
    <w:lvl w:ilvl="0">
      <w:start w:val="1"/>
      <w:numFmt w:val="bullet"/>
      <w:lvlText w:val="•"/>
    </w:lvl>
  </w:abstractNum>
  <w:abstractNum w:abstractNumId="396">
    <w:lvl w:ilvl="0">
      <w:start w:val="1"/>
      <w:numFmt w:val="bullet"/>
      <w:lvlText w:val="•"/>
    </w:lvl>
  </w:abstractNum>
  <w:abstractNum w:abstractNumId="402">
    <w:lvl w:ilvl="0">
      <w:start w:val="1"/>
      <w:numFmt w:val="bullet"/>
      <w:lvlText w:val="•"/>
    </w:lvl>
  </w:abstractNum>
  <w:abstractNum w:abstractNumId="408">
    <w:lvl w:ilvl="0">
      <w:start w:val="1"/>
      <w:numFmt w:val="bullet"/>
      <w:lvlText w:val="•"/>
    </w:lvl>
  </w:abstractNum>
  <w:abstractNum w:abstractNumId="414">
    <w:lvl w:ilvl="0">
      <w:start w:val="1"/>
      <w:numFmt w:val="bullet"/>
      <w:lvlText w:val="•"/>
    </w:lvl>
  </w:abstractNum>
  <w:abstractNum w:abstractNumId="420">
    <w:lvl w:ilvl="0">
      <w:start w:val="1"/>
      <w:numFmt w:val="bullet"/>
      <w:lvlText w:val="•"/>
    </w:lvl>
  </w:abstractNum>
  <w:abstractNum w:abstractNumId="426">
    <w:lvl w:ilvl="0">
      <w:start w:val="1"/>
      <w:numFmt w:val="bullet"/>
      <w:lvlText w:val="•"/>
    </w:lvl>
  </w:abstractNum>
  <w:abstractNum w:abstractNumId="432">
    <w:lvl w:ilvl="0">
      <w:start w:val="1"/>
      <w:numFmt w:val="bullet"/>
      <w:lvlText w:val="•"/>
    </w:lvl>
  </w:abstractNum>
  <w:abstractNum w:abstractNumId="438">
    <w:lvl w:ilvl="0">
      <w:start w:val="1"/>
      <w:numFmt w:val="bullet"/>
      <w:lvlText w:val="•"/>
    </w:lvl>
  </w:abstractNum>
  <w:abstractNum w:abstractNumId="444">
    <w:lvl w:ilvl="0">
      <w:start w:val="1"/>
      <w:numFmt w:val="bullet"/>
      <w:lvlText w:val="•"/>
    </w:lvl>
  </w:abstractNum>
  <w:abstractNum w:abstractNumId="450">
    <w:lvl w:ilvl="0">
      <w:start w:val="1"/>
      <w:numFmt w:val="bullet"/>
      <w:lvlText w:val="•"/>
    </w:lvl>
  </w:abstractNum>
  <w:abstractNum w:abstractNumId="456">
    <w:lvl w:ilvl="0">
      <w:start w:val="1"/>
      <w:numFmt w:val="bullet"/>
      <w:lvlText w:val="•"/>
    </w:lvl>
  </w:abstractNum>
  <w:abstractNum w:abstractNumId="462">
    <w:lvl w:ilvl="0">
      <w:start w:val="1"/>
      <w:numFmt w:val="bullet"/>
      <w:lvlText w:val="•"/>
    </w:lvl>
  </w:abstractNum>
  <w:abstractNum w:abstractNumId="468">
    <w:lvl w:ilvl="0">
      <w:start w:val="1"/>
      <w:numFmt w:val="bullet"/>
      <w:lvlText w:val="•"/>
    </w:lvl>
  </w:abstractNum>
  <w:abstractNum w:abstractNumId="474">
    <w:lvl w:ilvl="0">
      <w:start w:val="1"/>
      <w:numFmt w:val="bullet"/>
      <w:lvlText w:val="•"/>
    </w:lvl>
  </w:abstractNum>
  <w:abstractNum w:abstractNumId="480">
    <w:lvl w:ilvl="0">
      <w:start w:val="1"/>
      <w:numFmt w:val="bullet"/>
      <w:lvlText w:val="•"/>
    </w:lvl>
  </w:abstractNum>
  <w:abstractNum w:abstractNumId="486">
    <w:lvl w:ilvl="0">
      <w:start w:val="1"/>
      <w:numFmt w:val="bullet"/>
      <w:lvlText w:val="•"/>
    </w:lvl>
  </w:abstractNum>
  <w:abstractNum w:abstractNumId="492">
    <w:lvl w:ilvl="0">
      <w:start w:val="1"/>
      <w:numFmt w:val="bullet"/>
      <w:lvlText w:val="•"/>
    </w:lvl>
  </w:abstractNum>
  <w:abstractNum w:abstractNumId="498">
    <w:lvl w:ilvl="0">
      <w:start w:val="1"/>
      <w:numFmt w:val="bullet"/>
      <w:lvlText w:val="•"/>
    </w:lvl>
  </w:abstractNum>
  <w:abstractNum w:abstractNumId="504">
    <w:lvl w:ilvl="0">
      <w:start w:val="1"/>
      <w:numFmt w:val="bullet"/>
      <w:lvlText w:val="•"/>
    </w:lvl>
  </w:abstractNum>
  <w:abstractNum w:abstractNumId="510">
    <w:lvl w:ilvl="0">
      <w:start w:val="1"/>
      <w:numFmt w:val="bullet"/>
      <w:lvlText w:val="•"/>
    </w:lvl>
  </w:abstractNum>
  <w:abstractNum w:abstractNumId="516">
    <w:lvl w:ilvl="0">
      <w:start w:val="1"/>
      <w:numFmt w:val="bullet"/>
      <w:lvlText w:val="•"/>
    </w:lvl>
  </w:abstractNum>
  <w:abstractNum w:abstractNumId="522">
    <w:lvl w:ilvl="0">
      <w:start w:val="1"/>
      <w:numFmt w:val="bullet"/>
      <w:lvlText w:val="•"/>
    </w:lvl>
  </w:abstractNum>
  <w:abstractNum w:abstractNumId="528">
    <w:lvl w:ilvl="0">
      <w:start w:val="1"/>
      <w:numFmt w:val="bullet"/>
      <w:lvlText w:val="•"/>
    </w:lvl>
  </w:abstractNum>
  <w:abstractNum w:abstractNumId="534">
    <w:lvl w:ilvl="0">
      <w:start w:val="1"/>
      <w:numFmt w:val="bullet"/>
      <w:lvlText w:val="•"/>
    </w:lvl>
  </w:abstractNum>
  <w:abstractNum w:abstractNumId="540">
    <w:lvl w:ilvl="0">
      <w:start w:val="1"/>
      <w:numFmt w:val="bullet"/>
      <w:lvlText w:val="•"/>
    </w:lvl>
  </w:abstractNum>
  <w:abstractNum w:abstractNumId="546">
    <w:lvl w:ilvl="0">
      <w:start w:val="1"/>
      <w:numFmt w:val="bullet"/>
      <w:lvlText w:val="•"/>
    </w:lvl>
  </w:abstractNum>
  <w:abstractNum w:abstractNumId="552">
    <w:lvl w:ilvl="0">
      <w:start w:val="1"/>
      <w:numFmt w:val="bullet"/>
      <w:lvlText w:val="•"/>
    </w:lvl>
  </w:abstractNum>
  <w:abstractNum w:abstractNumId="558">
    <w:lvl w:ilvl="0">
      <w:start w:val="1"/>
      <w:numFmt w:val="bullet"/>
      <w:lvlText w:val="•"/>
    </w:lvl>
  </w:abstractNum>
  <w:abstractNum w:abstractNumId="564">
    <w:lvl w:ilvl="0">
      <w:start w:val="1"/>
      <w:numFmt w:val="bullet"/>
      <w:lvlText w:val="•"/>
    </w:lvl>
  </w:abstractNum>
  <w:abstractNum w:abstractNumId="570">
    <w:lvl w:ilvl="0">
      <w:start w:val="1"/>
      <w:numFmt w:val="bullet"/>
      <w:lvlText w:val="•"/>
    </w:lvl>
  </w:abstractNum>
  <w:abstractNum w:abstractNumId="576">
    <w:lvl w:ilvl="0">
      <w:start w:val="1"/>
      <w:numFmt w:val="bullet"/>
      <w:lvlText w:val="•"/>
    </w:lvl>
  </w:abstractNum>
  <w:abstractNum w:abstractNumId="582">
    <w:lvl w:ilvl="0">
      <w:start w:val="1"/>
      <w:numFmt w:val="bullet"/>
      <w:lvlText w:val="•"/>
    </w:lvl>
  </w:abstractNum>
  <w:abstractNum w:abstractNumId="588">
    <w:lvl w:ilvl="0">
      <w:start w:val="1"/>
      <w:numFmt w:val="bullet"/>
      <w:lvlText w:val="•"/>
    </w:lvl>
  </w:abstractNum>
  <w:abstractNum w:abstractNumId="594">
    <w:lvl w:ilvl="0">
      <w:start w:val="1"/>
      <w:numFmt w:val="bullet"/>
      <w:lvlText w:val="•"/>
    </w:lvl>
  </w:abstractNum>
  <w:abstractNum w:abstractNumId="600">
    <w:lvl w:ilvl="0">
      <w:start w:val="1"/>
      <w:numFmt w:val="bullet"/>
      <w:lvlText w:val="•"/>
    </w:lvl>
  </w:abstractNum>
  <w:abstractNum w:abstractNumId="606">
    <w:lvl w:ilvl="0">
      <w:start w:val="1"/>
      <w:numFmt w:val="bullet"/>
      <w:lvlText w:val="•"/>
    </w:lvl>
  </w:abstractNum>
  <w:abstractNum w:abstractNumId="612">
    <w:lvl w:ilvl="0">
      <w:start w:val="1"/>
      <w:numFmt w:val="bullet"/>
      <w:lvlText w:val="•"/>
    </w:lvl>
  </w:abstractNum>
  <w:abstractNum w:abstractNumId="618">
    <w:lvl w:ilvl="0">
      <w:start w:val="1"/>
      <w:numFmt w:val="bullet"/>
      <w:lvlText w:val="•"/>
    </w:lvl>
  </w:abstractNum>
  <w:abstractNum w:abstractNumId="624">
    <w:lvl w:ilvl="0">
      <w:start w:val="1"/>
      <w:numFmt w:val="bullet"/>
      <w:lvlText w:val="•"/>
    </w:lvl>
  </w:abstractNum>
  <w:abstractNum w:abstractNumId="630">
    <w:lvl w:ilvl="0">
      <w:start w:val="1"/>
      <w:numFmt w:val="bullet"/>
      <w:lvlText w:val="•"/>
    </w:lvl>
  </w:abstractNum>
  <w:abstractNum w:abstractNumId="636">
    <w:lvl w:ilvl="0">
      <w:start w:val="1"/>
      <w:numFmt w:val="bullet"/>
      <w:lvlText w:val="•"/>
    </w:lvl>
  </w:abstractNum>
  <w:abstractNum w:abstractNumId="642">
    <w:lvl w:ilvl="0">
      <w:start w:val="1"/>
      <w:numFmt w:val="bullet"/>
      <w:lvlText w:val="•"/>
    </w:lvl>
  </w:abstractNum>
  <w:abstractNum w:abstractNumId="648">
    <w:lvl w:ilvl="0">
      <w:start w:val="1"/>
      <w:numFmt w:val="bullet"/>
      <w:lvlText w:val="•"/>
    </w:lvl>
  </w:abstractNum>
  <w:abstractNum w:abstractNumId="654">
    <w:lvl w:ilvl="0">
      <w:start w:val="1"/>
      <w:numFmt w:val="bullet"/>
      <w:lvlText w:val="•"/>
    </w:lvl>
  </w:abstractNum>
  <w:abstractNum w:abstractNumId="660">
    <w:lvl w:ilvl="0">
      <w:start w:val="1"/>
      <w:numFmt w:val="bullet"/>
      <w:lvlText w:val="•"/>
    </w:lvl>
  </w:abstractNum>
  <w:abstractNum w:abstractNumId="666">
    <w:lvl w:ilvl="0">
      <w:start w:val="1"/>
      <w:numFmt w:val="bullet"/>
      <w:lvlText w:val="•"/>
    </w:lvl>
  </w:abstractNum>
  <w:abstractNum w:abstractNumId="672">
    <w:lvl w:ilvl="0">
      <w:start w:val="1"/>
      <w:numFmt w:val="bullet"/>
      <w:lvlText w:val="•"/>
    </w:lvl>
  </w:abstractNum>
  <w:abstractNum w:abstractNumId="678">
    <w:lvl w:ilvl="0">
      <w:start w:val="1"/>
      <w:numFmt w:val="bullet"/>
      <w:lvlText w:val="•"/>
    </w:lvl>
  </w:abstractNum>
  <w:abstractNum w:abstractNumId="684">
    <w:lvl w:ilvl="0">
      <w:start w:val="1"/>
      <w:numFmt w:val="bullet"/>
      <w:lvlText w:val="•"/>
    </w:lvl>
  </w:abstractNum>
  <w:abstractNum w:abstractNumId="690">
    <w:lvl w:ilvl="0">
      <w:start w:val="1"/>
      <w:numFmt w:val="bullet"/>
      <w:lvlText w:val="•"/>
    </w:lvl>
  </w:abstractNum>
  <w:abstractNum w:abstractNumId="696">
    <w:lvl w:ilvl="0">
      <w:start w:val="1"/>
      <w:numFmt w:val="bullet"/>
      <w:lvlText w:val="•"/>
    </w:lvl>
  </w:abstractNum>
  <w:abstractNum w:abstractNumId="702">
    <w:lvl w:ilvl="0">
      <w:start w:val="1"/>
      <w:numFmt w:val="bullet"/>
      <w:lvlText w:val="•"/>
    </w:lvl>
  </w:abstractNum>
  <w:abstractNum w:abstractNumId="708">
    <w:lvl w:ilvl="0">
      <w:start w:val="1"/>
      <w:numFmt w:val="bullet"/>
      <w:lvlText w:val="•"/>
    </w:lvl>
  </w:abstractNum>
  <w:abstractNum w:abstractNumId="714">
    <w:lvl w:ilvl="0">
      <w:start w:val="1"/>
      <w:numFmt w:val="bullet"/>
      <w:lvlText w:val="•"/>
    </w:lvl>
  </w:abstractNum>
  <w:abstractNum w:abstractNumId="720">
    <w:lvl w:ilvl="0">
      <w:start w:val="1"/>
      <w:numFmt w:val="bullet"/>
      <w:lvlText w:val="•"/>
    </w:lvl>
  </w:abstractNum>
  <w:abstractNum w:abstractNumId="726">
    <w:lvl w:ilvl="0">
      <w:start w:val="1"/>
      <w:numFmt w:val="bullet"/>
      <w:lvlText w:val="•"/>
    </w:lvl>
  </w:abstractNum>
  <w:abstractNum w:abstractNumId="732">
    <w:lvl w:ilvl="0">
      <w:start w:val="1"/>
      <w:numFmt w:val="bullet"/>
      <w:lvlText w:val="•"/>
    </w:lvl>
  </w:abstractNum>
  <w:abstractNum w:abstractNumId="738">
    <w:lvl w:ilvl="0">
      <w:start w:val="1"/>
      <w:numFmt w:val="bullet"/>
      <w:lvlText w:val="•"/>
    </w:lvl>
  </w:abstractNum>
  <w:abstractNum w:abstractNumId="744">
    <w:lvl w:ilvl="0">
      <w:start w:val="1"/>
      <w:numFmt w:val="bullet"/>
      <w:lvlText w:val="•"/>
    </w:lvl>
  </w:abstractNum>
  <w:abstractNum w:abstractNumId="750">
    <w:lvl w:ilvl="0">
      <w:start w:val="1"/>
      <w:numFmt w:val="bullet"/>
      <w:lvlText w:val="•"/>
    </w:lvl>
  </w:abstractNum>
  <w:abstractNum w:abstractNumId="756">
    <w:lvl w:ilvl="0">
      <w:start w:val="1"/>
      <w:numFmt w:val="bullet"/>
      <w:lvlText w:val="•"/>
    </w:lvl>
  </w:abstractNum>
  <w:abstractNum w:abstractNumId="762">
    <w:lvl w:ilvl="0">
      <w:start w:val="1"/>
      <w:numFmt w:val="bullet"/>
      <w:lvlText w:val="•"/>
    </w:lvl>
  </w:abstractNum>
  <w:abstractNum w:abstractNumId="768">
    <w:lvl w:ilvl="0">
      <w:start w:val="1"/>
      <w:numFmt w:val="bullet"/>
      <w:lvlText w:val="•"/>
    </w:lvl>
  </w:abstractNum>
  <w:abstractNum w:abstractNumId="774">
    <w:lvl w:ilvl="0">
      <w:start w:val="1"/>
      <w:numFmt w:val="bullet"/>
      <w:lvlText w:val="•"/>
    </w:lvl>
  </w:abstractNum>
  <w:abstractNum w:abstractNumId="780">
    <w:lvl w:ilvl="0">
      <w:start w:val="1"/>
      <w:numFmt w:val="bullet"/>
      <w:lvlText w:val="•"/>
    </w:lvl>
  </w:abstractNum>
  <w:abstractNum w:abstractNumId="786">
    <w:lvl w:ilvl="0">
      <w:start w:val="1"/>
      <w:numFmt w:val="bullet"/>
      <w:lvlText w:val="•"/>
    </w:lvl>
  </w:abstractNum>
  <w:abstractNum w:abstractNumId="792">
    <w:lvl w:ilvl="0">
      <w:start w:val="1"/>
      <w:numFmt w:val="bullet"/>
      <w:lvlText w:val="•"/>
    </w:lvl>
  </w:abstractNum>
  <w:abstractNum w:abstractNumId="798">
    <w:lvl w:ilvl="0">
      <w:start w:val="1"/>
      <w:numFmt w:val="bullet"/>
      <w:lvlText w:val="•"/>
    </w:lvl>
  </w:abstractNum>
  <w:abstractNum w:abstractNumId="804">
    <w:lvl w:ilvl="0">
      <w:start w:val="1"/>
      <w:numFmt w:val="bullet"/>
      <w:lvlText w:val="•"/>
    </w:lvl>
  </w:abstractNum>
  <w:abstractNum w:abstractNumId="810">
    <w:lvl w:ilvl="0">
      <w:start w:val="1"/>
      <w:numFmt w:val="bullet"/>
      <w:lvlText w:val="•"/>
    </w:lvl>
  </w:abstractNum>
  <w:abstractNum w:abstractNumId="816">
    <w:lvl w:ilvl="0">
      <w:start w:val="1"/>
      <w:numFmt w:val="bullet"/>
      <w:lvlText w:val="•"/>
    </w:lvl>
  </w:abstractNum>
  <w:abstractNum w:abstractNumId="822">
    <w:lvl w:ilvl="0">
      <w:start w:val="1"/>
      <w:numFmt w:val="bullet"/>
      <w:lvlText w:val="•"/>
    </w:lvl>
  </w:abstractNum>
  <w:abstractNum w:abstractNumId="828">
    <w:lvl w:ilvl="0">
      <w:start w:val="1"/>
      <w:numFmt w:val="bullet"/>
      <w:lvlText w:val="•"/>
    </w:lvl>
  </w:abstractNum>
  <w:abstractNum w:abstractNumId="834">
    <w:lvl w:ilvl="0">
      <w:start w:val="1"/>
      <w:numFmt w:val="bullet"/>
      <w:lvlText w:val="•"/>
    </w:lvl>
  </w:abstractNum>
  <w:abstractNum w:abstractNumId="840">
    <w:lvl w:ilvl="0">
      <w:start w:val="1"/>
      <w:numFmt w:val="bullet"/>
      <w:lvlText w:val="•"/>
    </w:lvl>
  </w:abstractNum>
  <w:abstractNum w:abstractNumId="846">
    <w:lvl w:ilvl="0">
      <w:start w:val="1"/>
      <w:numFmt w:val="bullet"/>
      <w:lvlText w:val="•"/>
    </w:lvl>
  </w:abstractNum>
  <w:abstractNum w:abstractNumId="852">
    <w:lvl w:ilvl="0">
      <w:start w:val="1"/>
      <w:numFmt w:val="bullet"/>
      <w:lvlText w:val="•"/>
    </w:lvl>
  </w:abstractNum>
  <w:abstractNum w:abstractNumId="858">
    <w:lvl w:ilvl="0">
      <w:start w:val="1"/>
      <w:numFmt w:val="bullet"/>
      <w:lvlText w:val="•"/>
    </w:lvl>
  </w:abstractNum>
  <w:abstractNum w:abstractNumId="864">
    <w:lvl w:ilvl="0">
      <w:start w:val="1"/>
      <w:numFmt w:val="bullet"/>
      <w:lvlText w:val="•"/>
    </w:lvl>
  </w:abstractNum>
  <w:abstractNum w:abstractNumId="870">
    <w:lvl w:ilvl="0">
      <w:start w:val="1"/>
      <w:numFmt w:val="bullet"/>
      <w:lvlText w:val="•"/>
    </w:lvl>
  </w:abstractNum>
  <w:abstractNum w:abstractNumId="876">
    <w:lvl w:ilvl="0">
      <w:start w:val="1"/>
      <w:numFmt w:val="bullet"/>
      <w:lvlText w:val="•"/>
    </w:lvl>
  </w:abstractNum>
  <w:abstractNum w:abstractNumId="882">
    <w:lvl w:ilvl="0">
      <w:start w:val="1"/>
      <w:numFmt w:val="bullet"/>
      <w:lvlText w:val="•"/>
    </w:lvl>
  </w:abstractNum>
  <w:abstractNum w:abstractNumId="888">
    <w:lvl w:ilvl="0">
      <w:start w:val="1"/>
      <w:numFmt w:val="bullet"/>
      <w:lvlText w:val="•"/>
    </w:lvl>
  </w:abstractNum>
  <w:abstractNum w:abstractNumId="894">
    <w:lvl w:ilvl="0">
      <w:start w:val="1"/>
      <w:numFmt w:val="bullet"/>
      <w:lvlText w:val="•"/>
    </w:lvl>
  </w:abstractNum>
  <w:abstractNum w:abstractNumId="900">
    <w:lvl w:ilvl="0">
      <w:start w:val="1"/>
      <w:numFmt w:val="bullet"/>
      <w:lvlText w:val="•"/>
    </w:lvl>
  </w:abstractNum>
  <w:abstractNum w:abstractNumId="906">
    <w:lvl w:ilvl="0">
      <w:start w:val="1"/>
      <w:numFmt w:val="bullet"/>
      <w:lvlText w:val="•"/>
    </w:lvl>
  </w:abstractNum>
  <w:abstractNum w:abstractNumId="912">
    <w:lvl w:ilvl="0">
      <w:start w:val="1"/>
      <w:numFmt w:val="bullet"/>
      <w:lvlText w:val="•"/>
    </w:lvl>
  </w:abstractNum>
  <w:abstractNum w:abstractNumId="918">
    <w:lvl w:ilvl="0">
      <w:start w:val="1"/>
      <w:numFmt w:val="bullet"/>
      <w:lvlText w:val="•"/>
    </w:lvl>
  </w:abstractNum>
  <w:abstractNum w:abstractNumId="924">
    <w:lvl w:ilvl="0">
      <w:start w:val="1"/>
      <w:numFmt w:val="bullet"/>
      <w:lvlText w:val="•"/>
    </w:lvl>
  </w:abstractNum>
  <w:abstractNum w:abstractNumId="930">
    <w:lvl w:ilvl="0">
      <w:start w:val="1"/>
      <w:numFmt w:val="bullet"/>
      <w:lvlText w:val="•"/>
    </w:lvl>
  </w:abstractNum>
  <w:abstractNum w:abstractNumId="936">
    <w:lvl w:ilvl="0">
      <w:start w:val="1"/>
      <w:numFmt w:val="bullet"/>
      <w:lvlText w:val="•"/>
    </w:lvl>
  </w:abstractNum>
  <w:abstractNum w:abstractNumId="942">
    <w:lvl w:ilvl="0">
      <w:start w:val="1"/>
      <w:numFmt w:val="bullet"/>
      <w:lvlText w:val="•"/>
    </w:lvl>
  </w:abstractNum>
  <w:abstractNum w:abstractNumId="948">
    <w:lvl w:ilvl="0">
      <w:start w:val="1"/>
      <w:numFmt w:val="bullet"/>
      <w:lvlText w:val="•"/>
    </w:lvl>
  </w:abstractNum>
  <w:abstractNum w:abstractNumId="954">
    <w:lvl w:ilvl="0">
      <w:start w:val="1"/>
      <w:numFmt w:val="bullet"/>
      <w:lvlText w:val="•"/>
    </w:lvl>
  </w:abstractNum>
  <w:abstractNum w:abstractNumId="960">
    <w:lvl w:ilvl="0">
      <w:start w:val="1"/>
      <w:numFmt w:val="bullet"/>
      <w:lvlText w:val="•"/>
    </w:lvl>
  </w:abstractNum>
  <w:abstractNum w:abstractNumId="966">
    <w:lvl w:ilvl="0">
      <w:start w:val="1"/>
      <w:numFmt w:val="bullet"/>
      <w:lvlText w:val="•"/>
    </w:lvl>
  </w:abstractNum>
  <w:abstractNum w:abstractNumId="972">
    <w:lvl w:ilvl="0">
      <w:start w:val="1"/>
      <w:numFmt w:val="bullet"/>
      <w:lvlText w:val="•"/>
    </w:lvl>
  </w:abstractNum>
  <w:abstractNum w:abstractNumId="978">
    <w:lvl w:ilvl="0">
      <w:start w:val="1"/>
      <w:numFmt w:val="bullet"/>
      <w:lvlText w:val="•"/>
    </w:lvl>
  </w:abstractNum>
  <w:abstractNum w:abstractNumId="984">
    <w:lvl w:ilvl="0">
      <w:start w:val="1"/>
      <w:numFmt w:val="bullet"/>
      <w:lvlText w:val="•"/>
    </w:lvl>
  </w:abstractNum>
  <w:abstractNum w:abstractNumId="990">
    <w:lvl w:ilvl="0">
      <w:start w:val="1"/>
      <w:numFmt w:val="bullet"/>
      <w:lvlText w:val="•"/>
    </w:lvl>
  </w:abstractNum>
  <w:abstractNum w:abstractNumId="996">
    <w:lvl w:ilvl="0">
      <w:start w:val="1"/>
      <w:numFmt w:val="bullet"/>
      <w:lvlText w:val="•"/>
    </w:lvl>
  </w:abstractNum>
  <w:abstractNum w:abstractNumId="1002">
    <w:lvl w:ilvl="0">
      <w:start w:val="1"/>
      <w:numFmt w:val="bullet"/>
      <w:lvlText w:val="•"/>
    </w:lvl>
  </w:abstractNum>
  <w:abstractNum w:abstractNumId="1008">
    <w:lvl w:ilvl="0">
      <w:start w:val="1"/>
      <w:numFmt w:val="bullet"/>
      <w:lvlText w:val="•"/>
    </w:lvl>
  </w:abstractNum>
  <w:abstractNum w:abstractNumId="1014">
    <w:lvl w:ilvl="0">
      <w:start w:val="1"/>
      <w:numFmt w:val="bullet"/>
      <w:lvlText w:val="•"/>
    </w:lvl>
  </w:abstractNum>
  <w:abstractNum w:abstractNumId="1020">
    <w:lvl w:ilvl="0">
      <w:start w:val="1"/>
      <w:numFmt w:val="bullet"/>
      <w:lvlText w:val="•"/>
    </w:lvl>
  </w:abstractNum>
  <w:abstractNum w:abstractNumId="1026">
    <w:lvl w:ilvl="0">
      <w:start w:val="1"/>
      <w:numFmt w:val="bullet"/>
      <w:lvlText w:val="•"/>
    </w:lvl>
  </w:abstractNum>
  <w:abstractNum w:abstractNumId="1032">
    <w:lvl w:ilvl="0">
      <w:start w:val="1"/>
      <w:numFmt w:val="bullet"/>
      <w:lvlText w:val="•"/>
    </w:lvl>
  </w:abstractNum>
  <w:abstractNum w:abstractNumId="1038">
    <w:lvl w:ilvl="0">
      <w:start w:val="1"/>
      <w:numFmt w:val="bullet"/>
      <w:lvlText w:val="•"/>
    </w:lvl>
  </w:abstractNum>
  <w:abstractNum w:abstractNumId="1044">
    <w:lvl w:ilvl="0">
      <w:start w:val="1"/>
      <w:numFmt w:val="bullet"/>
      <w:lvlText w:val="•"/>
    </w:lvl>
  </w:abstractNum>
  <w:abstractNum w:abstractNumId="1050">
    <w:lvl w:ilvl="0">
      <w:start w:val="1"/>
      <w:numFmt w:val="bullet"/>
      <w:lvlText w:val="•"/>
    </w:lvl>
  </w:abstractNum>
  <w:abstractNum w:abstractNumId="1056">
    <w:lvl w:ilvl="0">
      <w:start w:val="1"/>
      <w:numFmt w:val="bullet"/>
      <w:lvlText w:val="•"/>
    </w:lvl>
  </w:abstractNum>
  <w:abstractNum w:abstractNumId="1062">
    <w:lvl w:ilvl="0">
      <w:start w:val="1"/>
      <w:numFmt w:val="bullet"/>
      <w:lvlText w:val="•"/>
    </w:lvl>
  </w:abstractNum>
  <w:abstractNum w:abstractNumId="1068">
    <w:lvl w:ilvl="0">
      <w:start w:val="1"/>
      <w:numFmt w:val="bullet"/>
      <w:lvlText w:val="•"/>
    </w:lvl>
  </w:abstractNum>
  <w:abstractNum w:abstractNumId="1074">
    <w:lvl w:ilvl="0">
      <w:start w:val="1"/>
      <w:numFmt w:val="bullet"/>
      <w:lvlText w:val="•"/>
    </w:lvl>
  </w:abstractNum>
  <w:abstractNum w:abstractNumId="1080">
    <w:lvl w:ilvl="0">
      <w:start w:val="1"/>
      <w:numFmt w:val="bullet"/>
      <w:lvlText w:val="•"/>
    </w:lvl>
  </w:abstractNum>
  <w:abstractNum w:abstractNumId="1086">
    <w:lvl w:ilvl="0">
      <w:start w:val="1"/>
      <w:numFmt w:val="bullet"/>
      <w:lvlText w:val="•"/>
    </w:lvl>
  </w:abstractNum>
  <w:abstractNum w:abstractNumId="1092">
    <w:lvl w:ilvl="0">
      <w:start w:val="1"/>
      <w:numFmt w:val="bullet"/>
      <w:lvlText w:val="•"/>
    </w:lvl>
  </w:abstractNum>
  <w:abstractNum w:abstractNumId="1098">
    <w:lvl w:ilvl="0">
      <w:start w:val="1"/>
      <w:numFmt w:val="bullet"/>
      <w:lvlText w:val="•"/>
    </w:lvl>
  </w:abstractNum>
  <w:abstractNum w:abstractNumId="1104">
    <w:lvl w:ilvl="0">
      <w:start w:val="1"/>
      <w:numFmt w:val="bullet"/>
      <w:lvlText w:val="•"/>
    </w:lvl>
  </w:abstractNum>
  <w:abstractNum w:abstractNumId="1110">
    <w:lvl w:ilvl="0">
      <w:start w:val="1"/>
      <w:numFmt w:val="bullet"/>
      <w:lvlText w:val="•"/>
    </w:lvl>
  </w:abstractNum>
  <w:abstractNum w:abstractNumId="1116">
    <w:lvl w:ilvl="0">
      <w:start w:val="1"/>
      <w:numFmt w:val="bullet"/>
      <w:lvlText w:val="•"/>
    </w:lvl>
  </w:abstractNum>
  <w:abstractNum w:abstractNumId="1122">
    <w:lvl w:ilvl="0">
      <w:start w:val="1"/>
      <w:numFmt w:val="bullet"/>
      <w:lvlText w:val="•"/>
    </w:lvl>
  </w:abstractNum>
  <w:abstractNum w:abstractNumId="1128">
    <w:lvl w:ilvl="0">
      <w:start w:val="1"/>
      <w:numFmt w:val="bullet"/>
      <w:lvlText w:val="•"/>
    </w:lvl>
  </w:abstractNum>
  <w:abstractNum w:abstractNumId="1134">
    <w:lvl w:ilvl="0">
      <w:start w:val="1"/>
      <w:numFmt w:val="bullet"/>
      <w:lvlText w:val="•"/>
    </w:lvl>
  </w:abstractNum>
  <w:abstractNum w:abstractNumId="1140">
    <w:lvl w:ilvl="0">
      <w:start w:val="1"/>
      <w:numFmt w:val="bullet"/>
      <w:lvlText w:val="•"/>
    </w:lvl>
  </w:abstractNum>
  <w:abstractNum w:abstractNumId="1146">
    <w:lvl w:ilvl="0">
      <w:start w:val="1"/>
      <w:numFmt w:val="bullet"/>
      <w:lvlText w:val="•"/>
    </w:lvl>
  </w:abstractNum>
  <w:abstractNum w:abstractNumId="1152">
    <w:lvl w:ilvl="0">
      <w:start w:val="1"/>
      <w:numFmt w:val="bullet"/>
      <w:lvlText w:val="•"/>
    </w:lvl>
  </w:abstractNum>
  <w:abstractNum w:abstractNumId="1158">
    <w:lvl w:ilvl="0">
      <w:start w:val="1"/>
      <w:numFmt w:val="bullet"/>
      <w:lvlText w:val="•"/>
    </w:lvl>
  </w:abstractNum>
  <w:abstractNum w:abstractNumId="1164">
    <w:lvl w:ilvl="0">
      <w:start w:val="1"/>
      <w:numFmt w:val="bullet"/>
      <w:lvlText w:val="•"/>
    </w:lvl>
  </w:abstractNum>
  <w:abstractNum w:abstractNumId="1170">
    <w:lvl w:ilvl="0">
      <w:start w:val="1"/>
      <w:numFmt w:val="bullet"/>
      <w:lvlText w:val="•"/>
    </w:lvl>
  </w:abstractNum>
  <w:abstractNum w:abstractNumId="1176">
    <w:lvl w:ilvl="0">
      <w:start w:val="1"/>
      <w:numFmt w:val="bullet"/>
      <w:lvlText w:val="•"/>
    </w:lvl>
  </w:abstractNum>
  <w:abstractNum w:abstractNumId="1182">
    <w:lvl w:ilvl="0">
      <w:start w:val="1"/>
      <w:numFmt w:val="bullet"/>
      <w:lvlText w:val="•"/>
    </w:lvl>
  </w:abstractNum>
  <w:abstractNum w:abstractNumId="1188">
    <w:lvl w:ilvl="0">
      <w:start w:val="1"/>
      <w:numFmt w:val="bullet"/>
      <w:lvlText w:val="•"/>
    </w:lvl>
  </w:abstractNum>
  <w:abstractNum w:abstractNumId="1194">
    <w:lvl w:ilvl="0">
      <w:start w:val="1"/>
      <w:numFmt w:val="bullet"/>
      <w:lvlText w:val="•"/>
    </w:lvl>
  </w:abstractNum>
  <w:abstractNum w:abstractNumId="1200">
    <w:lvl w:ilvl="0">
      <w:start w:val="1"/>
      <w:numFmt w:val="bullet"/>
      <w:lvlText w:val="•"/>
    </w:lvl>
  </w:abstractNum>
  <w:abstractNum w:abstractNumId="1206">
    <w:lvl w:ilvl="0">
      <w:start w:val="1"/>
      <w:numFmt w:val="bullet"/>
      <w:lvlText w:val="•"/>
    </w:lvl>
  </w:abstractNum>
  <w:abstractNum w:abstractNumId="1212">
    <w:lvl w:ilvl="0">
      <w:start w:val="1"/>
      <w:numFmt w:val="bullet"/>
      <w:lvlText w:val="•"/>
    </w:lvl>
  </w:abstractNum>
  <w:abstractNum w:abstractNumId="1218">
    <w:lvl w:ilvl="0">
      <w:start w:val="1"/>
      <w:numFmt w:val="bullet"/>
      <w:lvlText w:val="•"/>
    </w:lvl>
  </w:abstractNum>
  <w:abstractNum w:abstractNumId="1224">
    <w:lvl w:ilvl="0">
      <w:start w:val="1"/>
      <w:numFmt w:val="bullet"/>
      <w:lvlText w:val="•"/>
    </w:lvl>
  </w:abstractNum>
  <w:abstractNum w:abstractNumId="1230">
    <w:lvl w:ilvl="0">
      <w:start w:val="1"/>
      <w:numFmt w:val="bullet"/>
      <w:lvlText w:val="•"/>
    </w:lvl>
  </w:abstractNum>
  <w:abstractNum w:abstractNumId="1236">
    <w:lvl w:ilvl="0">
      <w:start w:val="1"/>
      <w:numFmt w:val="bullet"/>
      <w:lvlText w:val="•"/>
    </w:lvl>
  </w:abstractNum>
  <w:abstractNum w:abstractNumId="1242">
    <w:lvl w:ilvl="0">
      <w:start w:val="1"/>
      <w:numFmt w:val="bullet"/>
      <w:lvlText w:val="•"/>
    </w:lvl>
  </w:abstractNum>
  <w:abstractNum w:abstractNumId="1248">
    <w:lvl w:ilvl="0">
      <w:start w:val="1"/>
      <w:numFmt w:val="bullet"/>
      <w:lvlText w:val="•"/>
    </w:lvl>
  </w:abstractNum>
  <w:abstractNum w:abstractNumId="1254">
    <w:lvl w:ilvl="0">
      <w:start w:val="1"/>
      <w:numFmt w:val="bullet"/>
      <w:lvlText w:val="•"/>
    </w:lvl>
  </w:abstractNum>
  <w:abstractNum w:abstractNumId="1260">
    <w:lvl w:ilvl="0">
      <w:start w:val="1"/>
      <w:numFmt w:val="bullet"/>
      <w:lvlText w:val="•"/>
    </w:lvl>
  </w:abstractNum>
  <w:abstractNum w:abstractNumId="1266">
    <w:lvl w:ilvl="0">
      <w:start w:val="1"/>
      <w:numFmt w:val="bullet"/>
      <w:lvlText w:val="•"/>
    </w:lvl>
  </w:abstractNum>
  <w:abstractNum w:abstractNumId="1272">
    <w:lvl w:ilvl="0">
      <w:start w:val="1"/>
      <w:numFmt w:val="bullet"/>
      <w:lvlText w:val="•"/>
    </w:lvl>
  </w:abstractNum>
  <w:abstractNum w:abstractNumId="1278">
    <w:lvl w:ilvl="0">
      <w:start w:val="1"/>
      <w:numFmt w:val="bullet"/>
      <w:lvlText w:val="•"/>
    </w:lvl>
  </w:abstractNum>
  <w:abstractNum w:abstractNumId="1284">
    <w:lvl w:ilvl="0">
      <w:start w:val="1"/>
      <w:numFmt w:val="bullet"/>
      <w:lvlText w:val="•"/>
    </w:lvl>
  </w:abstractNum>
  <w:abstractNum w:abstractNumId="1290">
    <w:lvl w:ilvl="0">
      <w:start w:val="1"/>
      <w:numFmt w:val="bullet"/>
      <w:lvlText w:val="•"/>
    </w:lvl>
  </w:abstractNum>
  <w:abstractNum w:abstractNumId="1296">
    <w:lvl w:ilvl="0">
      <w:start w:val="1"/>
      <w:numFmt w:val="bullet"/>
      <w:lvlText w:val="•"/>
    </w:lvl>
  </w:abstractNum>
  <w:abstractNum w:abstractNumId="1302">
    <w:lvl w:ilvl="0">
      <w:start w:val="1"/>
      <w:numFmt w:val="bullet"/>
      <w:lvlText w:val="•"/>
    </w:lvl>
  </w:abstractNum>
  <w:num w:numId="95">
    <w:abstractNumId w:val="1302"/>
  </w:num>
  <w:num w:numId="98">
    <w:abstractNumId w:val="1296"/>
  </w:num>
  <w:num w:numId="101">
    <w:abstractNumId w:val="1290"/>
  </w:num>
  <w:num w:numId="103">
    <w:abstractNumId w:val="1284"/>
  </w:num>
  <w:num w:numId="105">
    <w:abstractNumId w:val="1278"/>
  </w:num>
  <w:num w:numId="109">
    <w:abstractNumId w:val="1272"/>
  </w:num>
  <w:num w:numId="111">
    <w:abstractNumId w:val="1266"/>
  </w:num>
  <w:num w:numId="114">
    <w:abstractNumId w:val="1260"/>
  </w:num>
  <w:num w:numId="120">
    <w:abstractNumId w:val="1254"/>
  </w:num>
  <w:num w:numId="230">
    <w:abstractNumId w:val="1248"/>
  </w:num>
  <w:num w:numId="279">
    <w:abstractNumId w:val="1242"/>
  </w:num>
  <w:num w:numId="281">
    <w:abstractNumId w:val="1236"/>
  </w:num>
  <w:num w:numId="283">
    <w:abstractNumId w:val="1230"/>
  </w:num>
  <w:num w:numId="285">
    <w:abstractNumId w:val="1224"/>
  </w:num>
  <w:num w:numId="290">
    <w:abstractNumId w:val="1218"/>
  </w:num>
  <w:num w:numId="292">
    <w:abstractNumId w:val="1212"/>
  </w:num>
  <w:num w:numId="296">
    <w:abstractNumId w:val="1206"/>
  </w:num>
  <w:num w:numId="304">
    <w:abstractNumId w:val="1200"/>
  </w:num>
  <w:num w:numId="309">
    <w:abstractNumId w:val="1194"/>
  </w:num>
  <w:num w:numId="317">
    <w:abstractNumId w:val="1188"/>
  </w:num>
  <w:num w:numId="322">
    <w:abstractNumId w:val="1182"/>
  </w:num>
  <w:num w:numId="326">
    <w:abstractNumId w:val="1176"/>
  </w:num>
  <w:num w:numId="332">
    <w:abstractNumId w:val="1170"/>
  </w:num>
  <w:num w:numId="334">
    <w:abstractNumId w:val="1164"/>
  </w:num>
  <w:num w:numId="341">
    <w:abstractNumId w:val="1158"/>
  </w:num>
  <w:num w:numId="359">
    <w:abstractNumId w:val="1152"/>
  </w:num>
  <w:num w:numId="362">
    <w:abstractNumId w:val="1146"/>
  </w:num>
  <w:num w:numId="374">
    <w:abstractNumId w:val="1140"/>
  </w:num>
  <w:num w:numId="377">
    <w:abstractNumId w:val="1134"/>
  </w:num>
  <w:num w:numId="381">
    <w:abstractNumId w:val="1128"/>
  </w:num>
  <w:num w:numId="383">
    <w:abstractNumId w:val="1122"/>
  </w:num>
  <w:num w:numId="385">
    <w:abstractNumId w:val="1116"/>
  </w:num>
  <w:num w:numId="392">
    <w:abstractNumId w:val="1110"/>
  </w:num>
  <w:num w:numId="395">
    <w:abstractNumId w:val="1104"/>
  </w:num>
  <w:num w:numId="400">
    <w:abstractNumId w:val="1098"/>
  </w:num>
  <w:num w:numId="405">
    <w:abstractNumId w:val="1092"/>
  </w:num>
  <w:num w:numId="409">
    <w:abstractNumId w:val="1086"/>
  </w:num>
  <w:num w:numId="412">
    <w:abstractNumId w:val="1080"/>
  </w:num>
  <w:num w:numId="414">
    <w:abstractNumId w:val="1074"/>
  </w:num>
  <w:num w:numId="417">
    <w:abstractNumId w:val="1068"/>
  </w:num>
  <w:num w:numId="420">
    <w:abstractNumId w:val="1062"/>
  </w:num>
  <w:num w:numId="423">
    <w:abstractNumId w:val="1056"/>
  </w:num>
  <w:num w:numId="427">
    <w:abstractNumId w:val="1050"/>
  </w:num>
  <w:num w:numId="468">
    <w:abstractNumId w:val="1044"/>
  </w:num>
  <w:num w:numId="470">
    <w:abstractNumId w:val="1038"/>
  </w:num>
  <w:num w:numId="472">
    <w:abstractNumId w:val="1032"/>
  </w:num>
  <w:num w:numId="477">
    <w:abstractNumId w:val="1026"/>
  </w:num>
  <w:num w:numId="482">
    <w:abstractNumId w:val="1020"/>
  </w:num>
  <w:num w:numId="484">
    <w:abstractNumId w:val="1014"/>
  </w:num>
  <w:num w:numId="488">
    <w:abstractNumId w:val="1008"/>
  </w:num>
  <w:num w:numId="491">
    <w:abstractNumId w:val="1002"/>
  </w:num>
  <w:num w:numId="685">
    <w:abstractNumId w:val="996"/>
  </w:num>
  <w:num w:numId="865">
    <w:abstractNumId w:val="990"/>
  </w:num>
  <w:num w:numId="867">
    <w:abstractNumId w:val="984"/>
  </w:num>
  <w:num w:numId="906">
    <w:abstractNumId w:val="978"/>
  </w:num>
  <w:num w:numId="984">
    <w:abstractNumId w:val="972"/>
  </w:num>
  <w:num w:numId="1038">
    <w:abstractNumId w:val="966"/>
  </w:num>
  <w:num w:numId="1070">
    <w:abstractNumId w:val="960"/>
  </w:num>
  <w:num w:numId="1089">
    <w:abstractNumId w:val="954"/>
  </w:num>
  <w:num w:numId="1179">
    <w:abstractNumId w:val="948"/>
  </w:num>
  <w:num w:numId="1196">
    <w:abstractNumId w:val="942"/>
  </w:num>
  <w:num w:numId="1213">
    <w:abstractNumId w:val="936"/>
  </w:num>
  <w:num w:numId="1262">
    <w:abstractNumId w:val="930"/>
  </w:num>
  <w:num w:numId="1264">
    <w:abstractNumId w:val="924"/>
  </w:num>
  <w:num w:numId="1321">
    <w:abstractNumId w:val="918"/>
  </w:num>
  <w:num w:numId="1323">
    <w:abstractNumId w:val="912"/>
  </w:num>
  <w:num w:numId="1325">
    <w:abstractNumId w:val="906"/>
  </w:num>
  <w:num w:numId="1461">
    <w:abstractNumId w:val="900"/>
  </w:num>
  <w:num w:numId="1569">
    <w:abstractNumId w:val="894"/>
  </w:num>
  <w:num w:numId="1702">
    <w:abstractNumId w:val="888"/>
  </w:num>
  <w:num w:numId="1764">
    <w:abstractNumId w:val="882"/>
  </w:num>
  <w:num w:numId="1796">
    <w:abstractNumId w:val="876"/>
  </w:num>
  <w:num w:numId="1814">
    <w:abstractNumId w:val="870"/>
  </w:num>
  <w:num w:numId="1901">
    <w:abstractNumId w:val="864"/>
  </w:num>
  <w:num w:numId="1918">
    <w:abstractNumId w:val="858"/>
  </w:num>
  <w:num w:numId="1936">
    <w:abstractNumId w:val="852"/>
  </w:num>
  <w:num w:numId="2000">
    <w:abstractNumId w:val="846"/>
  </w:num>
  <w:num w:numId="2002">
    <w:abstractNumId w:val="840"/>
  </w:num>
  <w:num w:numId="2062">
    <w:abstractNumId w:val="834"/>
  </w:num>
  <w:num w:numId="2118">
    <w:abstractNumId w:val="828"/>
  </w:num>
  <w:num w:numId="2175">
    <w:abstractNumId w:val="822"/>
  </w:num>
  <w:num w:numId="2218">
    <w:abstractNumId w:val="816"/>
  </w:num>
  <w:num w:numId="2223">
    <w:abstractNumId w:val="810"/>
  </w:num>
  <w:num w:numId="2268">
    <w:abstractNumId w:val="804"/>
  </w:num>
  <w:num w:numId="2270">
    <w:abstractNumId w:val="798"/>
  </w:num>
  <w:num w:numId="2305">
    <w:abstractNumId w:val="792"/>
  </w:num>
  <w:num w:numId="2319">
    <w:abstractNumId w:val="786"/>
  </w:num>
  <w:num w:numId="2334">
    <w:abstractNumId w:val="780"/>
  </w:num>
  <w:num w:numId="2349">
    <w:abstractNumId w:val="774"/>
  </w:num>
  <w:num w:numId="2410">
    <w:abstractNumId w:val="768"/>
  </w:num>
  <w:num w:numId="2459">
    <w:abstractNumId w:val="762"/>
  </w:num>
  <w:num w:numId="2474">
    <w:abstractNumId w:val="756"/>
  </w:num>
  <w:num w:numId="2492">
    <w:abstractNumId w:val="750"/>
  </w:num>
  <w:num w:numId="2499">
    <w:abstractNumId w:val="744"/>
  </w:num>
  <w:num w:numId="2504">
    <w:abstractNumId w:val="738"/>
  </w:num>
  <w:num w:numId="2521">
    <w:abstractNumId w:val="732"/>
  </w:num>
  <w:num w:numId="2541">
    <w:abstractNumId w:val="726"/>
  </w:num>
  <w:num w:numId="2547">
    <w:abstractNumId w:val="720"/>
  </w:num>
  <w:num w:numId="2549">
    <w:abstractNumId w:val="714"/>
  </w:num>
  <w:num w:numId="2568">
    <w:abstractNumId w:val="708"/>
  </w:num>
  <w:num w:numId="2586">
    <w:abstractNumId w:val="702"/>
  </w:num>
  <w:num w:numId="2593">
    <w:abstractNumId w:val="696"/>
  </w:num>
  <w:num w:numId="2613">
    <w:abstractNumId w:val="690"/>
  </w:num>
  <w:num w:numId="2633">
    <w:abstractNumId w:val="684"/>
  </w:num>
  <w:num w:numId="2640">
    <w:abstractNumId w:val="678"/>
  </w:num>
  <w:num w:numId="2643">
    <w:abstractNumId w:val="672"/>
  </w:num>
  <w:num w:numId="2658">
    <w:abstractNumId w:val="666"/>
  </w:num>
  <w:num w:numId="2678">
    <w:abstractNumId w:val="660"/>
  </w:num>
  <w:num w:numId="2685">
    <w:abstractNumId w:val="654"/>
  </w:num>
  <w:num w:numId="2688">
    <w:abstractNumId w:val="648"/>
  </w:num>
  <w:num w:numId="2703">
    <w:abstractNumId w:val="642"/>
  </w:num>
  <w:num w:numId="2721">
    <w:abstractNumId w:val="636"/>
  </w:num>
  <w:num w:numId="2728">
    <w:abstractNumId w:val="630"/>
  </w:num>
  <w:num w:numId="2732">
    <w:abstractNumId w:val="624"/>
  </w:num>
  <w:num w:numId="2746">
    <w:abstractNumId w:val="618"/>
  </w:num>
  <w:num w:numId="2765">
    <w:abstractNumId w:val="612"/>
  </w:num>
  <w:num w:numId="2771">
    <w:abstractNumId w:val="606"/>
  </w:num>
  <w:num w:numId="2787">
    <w:abstractNumId w:val="600"/>
  </w:num>
  <w:num w:numId="2805">
    <w:abstractNumId w:val="594"/>
  </w:num>
  <w:num w:numId="2814">
    <w:abstractNumId w:val="588"/>
  </w:num>
  <w:num w:numId="2829">
    <w:abstractNumId w:val="582"/>
  </w:num>
  <w:num w:numId="2847">
    <w:abstractNumId w:val="576"/>
  </w:num>
  <w:num w:numId="2856">
    <w:abstractNumId w:val="570"/>
  </w:num>
  <w:num w:numId="3030">
    <w:abstractNumId w:val="564"/>
  </w:num>
  <w:num w:numId="3032">
    <w:abstractNumId w:val="558"/>
  </w:num>
  <w:num w:numId="3068">
    <w:abstractNumId w:val="552"/>
  </w:num>
  <w:num w:numId="3082">
    <w:abstractNumId w:val="546"/>
  </w:num>
  <w:num w:numId="3096">
    <w:abstractNumId w:val="540"/>
  </w:num>
  <w:num w:numId="3110">
    <w:abstractNumId w:val="534"/>
  </w:num>
  <w:num w:numId="3221">
    <w:abstractNumId w:val="528"/>
  </w:num>
  <w:num w:numId="3223">
    <w:abstractNumId w:val="522"/>
  </w:num>
  <w:num w:numId="3233">
    <w:abstractNumId w:val="516"/>
  </w:num>
  <w:num w:numId="3255">
    <w:abstractNumId w:val="510"/>
  </w:num>
  <w:num w:numId="3264">
    <w:abstractNumId w:val="504"/>
  </w:num>
  <w:num w:numId="3266">
    <w:abstractNumId w:val="498"/>
  </w:num>
  <w:num w:numId="3271">
    <w:abstractNumId w:val="492"/>
  </w:num>
  <w:num w:numId="3274">
    <w:abstractNumId w:val="486"/>
  </w:num>
  <w:num w:numId="3305">
    <w:abstractNumId w:val="480"/>
  </w:num>
  <w:num w:numId="3308">
    <w:abstractNumId w:val="474"/>
  </w:num>
  <w:num w:numId="3367">
    <w:abstractNumId w:val="468"/>
  </w:num>
  <w:num w:numId="3371">
    <w:abstractNumId w:val="462"/>
  </w:num>
  <w:num w:numId="3441">
    <w:abstractNumId w:val="456"/>
  </w:num>
  <w:num w:numId="3443">
    <w:abstractNumId w:val="450"/>
  </w:num>
  <w:num w:numId="3457">
    <w:abstractNumId w:val="444"/>
  </w:num>
  <w:num w:numId="3468">
    <w:abstractNumId w:val="438"/>
  </w:num>
  <w:num w:numId="3491">
    <w:abstractNumId w:val="432"/>
  </w:num>
  <w:num w:numId="3501">
    <w:abstractNumId w:val="426"/>
  </w:num>
  <w:num w:numId="3522">
    <w:abstractNumId w:val="420"/>
  </w:num>
  <w:num w:numId="3533">
    <w:abstractNumId w:val="414"/>
  </w:num>
  <w:num w:numId="3540">
    <w:abstractNumId w:val="408"/>
  </w:num>
  <w:num w:numId="3554">
    <w:abstractNumId w:val="402"/>
  </w:num>
  <w:num w:numId="3567">
    <w:abstractNumId w:val="396"/>
  </w:num>
  <w:num w:numId="3588">
    <w:abstractNumId w:val="390"/>
  </w:num>
  <w:num w:numId="3600">
    <w:abstractNumId w:val="384"/>
  </w:num>
  <w:num w:numId="3607">
    <w:abstractNumId w:val="378"/>
  </w:num>
  <w:num w:numId="3622">
    <w:abstractNumId w:val="372"/>
  </w:num>
  <w:num w:numId="3634">
    <w:abstractNumId w:val="366"/>
  </w:num>
  <w:num w:numId="3656">
    <w:abstractNumId w:val="360"/>
  </w:num>
  <w:num w:numId="3668">
    <w:abstractNumId w:val="354"/>
  </w:num>
  <w:num w:numId="3692">
    <w:abstractNumId w:val="348"/>
  </w:num>
  <w:num w:numId="3704">
    <w:abstractNumId w:val="342"/>
  </w:num>
  <w:num w:numId="3725">
    <w:abstractNumId w:val="336"/>
  </w:num>
  <w:num w:numId="3734">
    <w:abstractNumId w:val="330"/>
  </w:num>
  <w:num w:numId="3740">
    <w:abstractNumId w:val="324"/>
  </w:num>
  <w:num w:numId="3755">
    <w:abstractNumId w:val="318"/>
  </w:num>
  <w:num w:numId="3766">
    <w:abstractNumId w:val="312"/>
  </w:num>
  <w:num w:numId="3785">
    <w:abstractNumId w:val="306"/>
  </w:num>
  <w:num w:numId="3793">
    <w:abstractNumId w:val="300"/>
  </w:num>
  <w:num w:numId="3814">
    <w:abstractNumId w:val="294"/>
  </w:num>
  <w:num w:numId="3823">
    <w:abstractNumId w:val="288"/>
  </w:num>
  <w:num w:numId="3842">
    <w:abstractNumId w:val="282"/>
  </w:num>
  <w:num w:numId="3851">
    <w:abstractNumId w:val="276"/>
  </w:num>
  <w:num w:numId="3874">
    <w:abstractNumId w:val="270"/>
  </w:num>
  <w:num w:numId="3885">
    <w:abstractNumId w:val="264"/>
  </w:num>
  <w:num w:numId="3894">
    <w:abstractNumId w:val="258"/>
  </w:num>
  <w:num w:numId="3908">
    <w:abstractNumId w:val="252"/>
  </w:num>
  <w:num w:numId="3919">
    <w:abstractNumId w:val="246"/>
  </w:num>
  <w:num w:numId="3941">
    <w:abstractNumId w:val="240"/>
  </w:num>
  <w:num w:numId="3952">
    <w:abstractNumId w:val="234"/>
  </w:num>
  <w:num w:numId="3976">
    <w:abstractNumId w:val="228"/>
  </w:num>
  <w:num w:numId="3987">
    <w:abstractNumId w:val="222"/>
  </w:num>
  <w:num w:numId="3995">
    <w:abstractNumId w:val="216"/>
  </w:num>
  <w:num w:numId="4153">
    <w:abstractNumId w:val="210"/>
  </w:num>
  <w:num w:numId="4156">
    <w:abstractNumId w:val="204"/>
  </w:num>
  <w:num w:numId="4158">
    <w:abstractNumId w:val="198"/>
  </w:num>
  <w:num w:numId="4161">
    <w:abstractNumId w:val="192"/>
  </w:num>
  <w:num w:numId="4163">
    <w:abstractNumId w:val="186"/>
  </w:num>
  <w:num w:numId="4170">
    <w:abstractNumId w:val="180"/>
  </w:num>
  <w:num w:numId="4202">
    <w:abstractNumId w:val="174"/>
  </w:num>
  <w:num w:numId="4207">
    <w:abstractNumId w:val="168"/>
  </w:num>
  <w:num w:numId="4209">
    <w:abstractNumId w:val="162"/>
  </w:num>
  <w:num w:numId="4211">
    <w:abstractNumId w:val="156"/>
  </w:num>
  <w:num w:numId="4213">
    <w:abstractNumId w:val="150"/>
  </w:num>
  <w:num w:numId="4215">
    <w:abstractNumId w:val="144"/>
  </w:num>
  <w:num w:numId="4218">
    <w:abstractNumId w:val="138"/>
  </w:num>
  <w:num w:numId="4221">
    <w:abstractNumId w:val="132"/>
  </w:num>
  <w:num w:numId="4224">
    <w:abstractNumId w:val="126"/>
  </w:num>
  <w:num w:numId="4227">
    <w:abstractNumId w:val="120"/>
  </w:num>
  <w:num w:numId="4229">
    <w:abstractNumId w:val="114"/>
  </w:num>
  <w:num w:numId="4231">
    <w:abstractNumId w:val="108"/>
  </w:num>
  <w:num w:numId="4233">
    <w:abstractNumId w:val="102"/>
  </w:num>
  <w:num w:numId="4236">
    <w:abstractNumId w:val="96"/>
  </w:num>
  <w:num w:numId="4238">
    <w:abstractNumId w:val="90"/>
  </w:num>
  <w:num w:numId="4240">
    <w:abstractNumId w:val="84"/>
  </w:num>
  <w:num w:numId="4246">
    <w:abstractNumId w:val="78"/>
  </w:num>
  <w:num w:numId="4249">
    <w:abstractNumId w:val="72"/>
  </w:num>
  <w:num w:numId="4254">
    <w:abstractNumId w:val="66"/>
  </w:num>
  <w:num w:numId="4257">
    <w:abstractNumId w:val="60"/>
  </w:num>
  <w:num w:numId="4259">
    <w:abstractNumId w:val="54"/>
  </w:num>
  <w:num w:numId="4261">
    <w:abstractNumId w:val="48"/>
  </w:num>
  <w:num w:numId="4263">
    <w:abstractNumId w:val="42"/>
  </w:num>
  <w:num w:numId="4265">
    <w:abstractNumId w:val="36"/>
  </w:num>
  <w:num w:numId="4267">
    <w:abstractNumId w:val="30"/>
  </w:num>
  <w:num w:numId="4269">
    <w:abstractNumId w:val="24"/>
  </w:num>
  <w:num w:numId="4271">
    <w:abstractNumId w:val="18"/>
  </w:num>
  <w:num w:numId="4274">
    <w:abstractNumId w:val="12"/>
  </w:num>
  <w:num w:numId="4277">
    <w:abstractNumId w:val="6"/>
  </w:num>
  <w:num w:numId="4280">
    <w:abstractNumId w:val="0"/>
  </w:num>
</w:numbering>
</file>

<file path=word/styles.xml><?xml version="1.0" encoding="utf-8"?>
<w:styles xmlns:w="http://schemas.openxmlformats.org/wordprocessingml/2006/main"/>
</file>

<file path=word/_rels/document.xml.rels><?xml version="1.0"?><Relationships xmlns="http://schemas.openxmlformats.org/package/2006/relationships"><Relationship Target="media/image1.wmf" Id="docRId3" Type="http://schemas.openxmlformats.org/officeDocument/2006/relationships/image"/><Relationship Target="media/image3.wmf" Id="docRId7" Type="http://schemas.openxmlformats.org/officeDocument/2006/relationships/image"/><Relationship Target="embeddings/oleObject0.bin" Id="docRId0" Type="http://schemas.openxmlformats.org/officeDocument/2006/relationships/oleObject"/><Relationship Target="numbering.xml" Id="docRId10" Type="http://schemas.openxmlformats.org/officeDocument/2006/relationships/numbering"/><Relationship Target="embeddings/oleObject1.bin" Id="docRId2" Type="http://schemas.openxmlformats.org/officeDocument/2006/relationships/oleObject"/><Relationship Target="embeddings/oleObject2.bin" Id="docRId4" Type="http://schemas.openxmlformats.org/officeDocument/2006/relationships/oleObject"/><Relationship Target="embeddings/oleObject3.bin" Id="docRId6" Type="http://schemas.openxmlformats.org/officeDocument/2006/relationships/oleObject"/><Relationship Target="embeddings/oleObject4.bin" Id="docRId8" Type="http://schemas.openxmlformats.org/officeDocument/2006/relationships/oleObject"/><Relationship Target="media/image0.wmf" Id="docRId1" Type="http://schemas.openxmlformats.org/officeDocument/2006/relationships/image"/><Relationship Target="styles.xml" Id="docRId11" Type="http://schemas.openxmlformats.org/officeDocument/2006/relationships/styles"/><Relationship Target="media/image2.wmf" Id="docRId5" Type="http://schemas.openxmlformats.org/officeDocument/2006/relationships/image"/><Relationship Target="media/image4.wmf" Id="docRId9" Type="http://schemas.openxmlformats.org/officeDocument/2006/relationships/image"/></Relationships>
</file>